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9B7B7E" w14:textId="77777777" w:rsidR="007604DD" w:rsidRPr="006B5B91" w:rsidRDefault="007604DD" w:rsidP="007604DD">
      <w:pPr>
        <w:jc w:val="center"/>
        <w:rPr>
          <w:rFonts w:cs="Times New Roman"/>
          <w:u w:val="single"/>
        </w:rPr>
      </w:pPr>
      <w:bookmarkStart w:id="0" w:name="_Hlk36561096"/>
    </w:p>
    <w:p w14:paraId="47DD81B1" w14:textId="77777777" w:rsidR="007604DD" w:rsidRPr="006B5B91" w:rsidRDefault="007604DD" w:rsidP="007604DD">
      <w:pPr>
        <w:jc w:val="center"/>
        <w:rPr>
          <w:rFonts w:cs="Times New Roman"/>
          <w:u w:val="single"/>
        </w:rPr>
      </w:pPr>
    </w:p>
    <w:p w14:paraId="17C532E1" w14:textId="77777777" w:rsidR="007604DD" w:rsidRPr="006B5B91" w:rsidRDefault="007604DD" w:rsidP="007604DD">
      <w:pPr>
        <w:jc w:val="center"/>
        <w:rPr>
          <w:rFonts w:cs="Times New Roman"/>
          <w:u w:val="single"/>
        </w:rPr>
      </w:pPr>
    </w:p>
    <w:p w14:paraId="033D9179" w14:textId="77777777" w:rsidR="007604DD" w:rsidRPr="006B5B91" w:rsidRDefault="007604DD" w:rsidP="007604DD">
      <w:pPr>
        <w:jc w:val="center"/>
        <w:rPr>
          <w:rFonts w:cs="Times New Roman"/>
          <w:u w:val="single"/>
        </w:rPr>
      </w:pPr>
    </w:p>
    <w:p w14:paraId="6C02771E" w14:textId="77777777" w:rsidR="007604DD" w:rsidRPr="006B5B91" w:rsidRDefault="007604DD" w:rsidP="007604DD">
      <w:pPr>
        <w:jc w:val="center"/>
        <w:rPr>
          <w:rFonts w:cs="Times New Roman"/>
          <w:u w:val="single"/>
        </w:rPr>
      </w:pPr>
    </w:p>
    <w:p w14:paraId="35A0A187" w14:textId="77777777" w:rsidR="007604DD" w:rsidRPr="006B5B91" w:rsidRDefault="007604DD" w:rsidP="007604DD">
      <w:pPr>
        <w:jc w:val="center"/>
        <w:rPr>
          <w:rFonts w:cs="Times New Roman"/>
          <w:u w:val="single"/>
        </w:rPr>
      </w:pPr>
      <w:r w:rsidRPr="006B5B91">
        <w:rPr>
          <w:rFonts w:cs="Times New Roman"/>
          <w:u w:val="single"/>
        </w:rPr>
        <w:t>Economic Forecasting in Canada using the Near-Term Forward Spread</w:t>
      </w:r>
    </w:p>
    <w:p w14:paraId="6E618A89" w14:textId="77777777" w:rsidR="007604DD" w:rsidRPr="006B5B91" w:rsidRDefault="007604DD" w:rsidP="007604DD">
      <w:pPr>
        <w:jc w:val="center"/>
        <w:rPr>
          <w:rFonts w:cs="Times New Roman"/>
        </w:rPr>
      </w:pPr>
      <w:r w:rsidRPr="006B5B91">
        <w:rPr>
          <w:rFonts w:cs="Times New Roman"/>
        </w:rPr>
        <w:t>by Kevin Soltani</w:t>
      </w:r>
    </w:p>
    <w:p w14:paraId="2F0CA973" w14:textId="77777777" w:rsidR="007604DD" w:rsidRPr="006B5B91" w:rsidRDefault="007604DD" w:rsidP="007604DD">
      <w:pPr>
        <w:jc w:val="center"/>
        <w:rPr>
          <w:rFonts w:cs="Times New Roman"/>
        </w:rPr>
      </w:pPr>
      <w:r w:rsidRPr="006B5B91">
        <w:rPr>
          <w:rFonts w:cs="Times New Roman"/>
        </w:rPr>
        <w:t>(3957748)</w:t>
      </w:r>
    </w:p>
    <w:p w14:paraId="13CD680A" w14:textId="77777777" w:rsidR="007604DD" w:rsidRPr="006B5B91" w:rsidRDefault="007604DD" w:rsidP="007604DD">
      <w:pPr>
        <w:jc w:val="center"/>
        <w:rPr>
          <w:rFonts w:cs="Times New Roman"/>
        </w:rPr>
      </w:pPr>
    </w:p>
    <w:p w14:paraId="4A1CF125" w14:textId="77777777" w:rsidR="007604DD" w:rsidRPr="006B5B91" w:rsidRDefault="007604DD" w:rsidP="007604DD">
      <w:pPr>
        <w:jc w:val="center"/>
        <w:rPr>
          <w:rFonts w:cs="Times New Roman"/>
        </w:rPr>
      </w:pPr>
    </w:p>
    <w:p w14:paraId="535BE40B" w14:textId="77777777" w:rsidR="007604DD" w:rsidRPr="006B5B91" w:rsidRDefault="007604DD" w:rsidP="007604DD">
      <w:pPr>
        <w:jc w:val="center"/>
        <w:rPr>
          <w:rFonts w:cs="Times New Roman"/>
        </w:rPr>
      </w:pPr>
    </w:p>
    <w:p w14:paraId="07485E67" w14:textId="77777777" w:rsidR="007604DD" w:rsidRPr="006B5B91" w:rsidRDefault="007604DD" w:rsidP="007604DD">
      <w:pPr>
        <w:jc w:val="center"/>
        <w:rPr>
          <w:rFonts w:cs="Times New Roman"/>
        </w:rPr>
      </w:pPr>
      <w:r w:rsidRPr="006B5B91">
        <w:rPr>
          <w:rFonts w:cs="Times New Roman"/>
        </w:rPr>
        <w:t>Major Paper presented to the</w:t>
      </w:r>
    </w:p>
    <w:p w14:paraId="7E5A582D" w14:textId="77777777" w:rsidR="007604DD" w:rsidRPr="006B5B91" w:rsidRDefault="007604DD" w:rsidP="007604DD">
      <w:pPr>
        <w:jc w:val="center"/>
        <w:rPr>
          <w:rFonts w:cs="Times New Roman"/>
        </w:rPr>
      </w:pPr>
      <w:r w:rsidRPr="006B5B91">
        <w:rPr>
          <w:rFonts w:cs="Times New Roman"/>
        </w:rPr>
        <w:t>Department of Economics of the University of Ottawa</w:t>
      </w:r>
    </w:p>
    <w:p w14:paraId="6AF5B07A" w14:textId="4CC8F8C1" w:rsidR="007604DD" w:rsidRPr="006B5B91" w:rsidRDefault="007604DD" w:rsidP="007604DD">
      <w:pPr>
        <w:jc w:val="center"/>
        <w:rPr>
          <w:rFonts w:cs="Times New Roman"/>
        </w:rPr>
      </w:pPr>
      <w:r w:rsidRPr="006B5B91">
        <w:rPr>
          <w:rFonts w:cs="Times New Roman"/>
        </w:rPr>
        <w:t xml:space="preserve">in partial </w:t>
      </w:r>
      <w:r w:rsidR="00DE57A5" w:rsidRPr="006B5B91">
        <w:rPr>
          <w:rFonts w:cs="Times New Roman"/>
        </w:rPr>
        <w:t>fulfilment</w:t>
      </w:r>
      <w:r w:rsidRPr="006B5B91">
        <w:rPr>
          <w:rFonts w:cs="Times New Roman"/>
        </w:rPr>
        <w:t xml:space="preserve"> of the requirements of the M.A. Degree</w:t>
      </w:r>
    </w:p>
    <w:p w14:paraId="6E803B84" w14:textId="77777777" w:rsidR="007604DD" w:rsidRPr="006B5B91" w:rsidRDefault="007604DD" w:rsidP="007604DD">
      <w:pPr>
        <w:jc w:val="center"/>
        <w:rPr>
          <w:rFonts w:cs="Times New Roman"/>
        </w:rPr>
      </w:pPr>
      <w:r w:rsidRPr="006B5B91">
        <w:rPr>
          <w:rFonts w:cs="Times New Roman"/>
        </w:rPr>
        <w:t>Supervisor: Professor Lilia Karnizova</w:t>
      </w:r>
    </w:p>
    <w:p w14:paraId="48783941" w14:textId="77777777" w:rsidR="007604DD" w:rsidRPr="006B5B91" w:rsidRDefault="007604DD" w:rsidP="007604DD">
      <w:pPr>
        <w:jc w:val="center"/>
        <w:rPr>
          <w:rFonts w:cs="Times New Roman"/>
        </w:rPr>
      </w:pPr>
    </w:p>
    <w:p w14:paraId="473947A8" w14:textId="77777777" w:rsidR="007604DD" w:rsidRPr="006B5B91" w:rsidRDefault="007604DD" w:rsidP="007604DD">
      <w:pPr>
        <w:jc w:val="center"/>
        <w:rPr>
          <w:rFonts w:cs="Times New Roman"/>
        </w:rPr>
      </w:pPr>
      <w:r w:rsidRPr="006B5B91">
        <w:rPr>
          <w:rFonts w:cs="Times New Roman"/>
        </w:rPr>
        <w:t>ECO 6999</w:t>
      </w:r>
    </w:p>
    <w:p w14:paraId="7B7ED816" w14:textId="77777777" w:rsidR="007604DD" w:rsidRPr="006B5B91" w:rsidRDefault="007604DD" w:rsidP="007604DD">
      <w:pPr>
        <w:jc w:val="center"/>
        <w:rPr>
          <w:rFonts w:cs="Times New Roman"/>
        </w:rPr>
      </w:pPr>
    </w:p>
    <w:p w14:paraId="4C34BEF3" w14:textId="77777777" w:rsidR="007604DD" w:rsidRPr="006B5B91" w:rsidRDefault="007604DD" w:rsidP="007604DD">
      <w:pPr>
        <w:jc w:val="center"/>
        <w:rPr>
          <w:rFonts w:cs="Times New Roman"/>
        </w:rPr>
      </w:pPr>
    </w:p>
    <w:p w14:paraId="1E8E4CF7" w14:textId="77777777" w:rsidR="007604DD" w:rsidRPr="006B5B91" w:rsidRDefault="007604DD" w:rsidP="007604DD">
      <w:pPr>
        <w:jc w:val="center"/>
        <w:rPr>
          <w:rFonts w:cs="Times New Roman"/>
        </w:rPr>
      </w:pPr>
    </w:p>
    <w:p w14:paraId="542B6DA8" w14:textId="77777777" w:rsidR="007604DD" w:rsidRPr="006B5B91" w:rsidRDefault="007604DD" w:rsidP="007604DD">
      <w:pPr>
        <w:jc w:val="center"/>
        <w:rPr>
          <w:rFonts w:cs="Times New Roman"/>
        </w:rPr>
      </w:pPr>
    </w:p>
    <w:p w14:paraId="211A9C47" w14:textId="77777777" w:rsidR="007604DD" w:rsidRPr="006B5B91" w:rsidRDefault="007604DD" w:rsidP="007604DD">
      <w:pPr>
        <w:jc w:val="center"/>
        <w:rPr>
          <w:rFonts w:cs="Times New Roman"/>
        </w:rPr>
      </w:pPr>
    </w:p>
    <w:p w14:paraId="14EA05E5" w14:textId="77777777" w:rsidR="007604DD" w:rsidRPr="006B5B91" w:rsidRDefault="007604DD" w:rsidP="007604DD">
      <w:pPr>
        <w:rPr>
          <w:rFonts w:cs="Times New Roman"/>
        </w:rPr>
      </w:pPr>
    </w:p>
    <w:p w14:paraId="70F0DB36" w14:textId="77777777" w:rsidR="007604DD" w:rsidRPr="006B5B91" w:rsidRDefault="007604DD" w:rsidP="007604DD">
      <w:pPr>
        <w:jc w:val="center"/>
        <w:rPr>
          <w:rFonts w:cs="Times New Roman"/>
        </w:rPr>
      </w:pPr>
      <w:r w:rsidRPr="006B5B91">
        <w:rPr>
          <w:rFonts w:cs="Times New Roman"/>
        </w:rPr>
        <w:t>Ottawa, Ontario</w:t>
      </w:r>
    </w:p>
    <w:p w14:paraId="2DF56DE9" w14:textId="77777777" w:rsidR="00F10756" w:rsidRDefault="001D0CD4" w:rsidP="007604DD">
      <w:pPr>
        <w:jc w:val="center"/>
        <w:rPr>
          <w:rFonts w:cs="Times New Roman"/>
        </w:rPr>
      </w:pPr>
      <w:r>
        <w:rPr>
          <w:rFonts w:cs="Times New Roman"/>
        </w:rPr>
        <w:t>April</w:t>
      </w:r>
      <w:r w:rsidR="007604DD" w:rsidRPr="006B5B91">
        <w:rPr>
          <w:rFonts w:cs="Times New Roman"/>
        </w:rPr>
        <w:t xml:space="preserve"> 202</w:t>
      </w:r>
      <w:r w:rsidR="00C01279">
        <w:rPr>
          <w:rFonts w:cs="Times New Roman"/>
        </w:rPr>
        <w:t>0</w:t>
      </w:r>
    </w:p>
    <w:p w14:paraId="073E0B40" w14:textId="2861E1E6" w:rsidR="000A5626" w:rsidRDefault="000A5626" w:rsidP="000A5626">
      <w:pPr>
        <w:rPr>
          <w:rFonts w:cs="Times New Roman"/>
        </w:rPr>
        <w:sectPr w:rsidR="000A5626" w:rsidSect="007A21D3">
          <w:headerReference w:type="default" r:id="rId8"/>
          <w:headerReference w:type="first" r:id="rId9"/>
          <w:pgSz w:w="12240" w:h="15840"/>
          <w:pgMar w:top="1440" w:right="1440" w:bottom="1440" w:left="1440" w:header="720" w:footer="720" w:gutter="0"/>
          <w:cols w:space="720"/>
          <w:titlePg/>
          <w:docGrid w:linePitch="360"/>
        </w:sectPr>
      </w:pPr>
    </w:p>
    <w:p w14:paraId="74264BE2" w14:textId="3D7F6BB2" w:rsidR="000A5626" w:rsidRDefault="000A5626" w:rsidP="000A5626">
      <w:pPr>
        <w:spacing w:line="480" w:lineRule="auto"/>
        <w:jc w:val="center"/>
        <w:rPr>
          <w:rFonts w:cs="Times New Roman"/>
        </w:rPr>
      </w:pPr>
      <w:r>
        <w:rPr>
          <w:rFonts w:cs="Times New Roman"/>
        </w:rPr>
        <w:lastRenderedPageBreak/>
        <w:t>Acknowledgements</w:t>
      </w:r>
    </w:p>
    <w:p w14:paraId="5C536FEB" w14:textId="77777777" w:rsidR="005D13A0" w:rsidRDefault="005D13A0" w:rsidP="005D13A0">
      <w:pPr>
        <w:spacing w:line="240" w:lineRule="auto"/>
        <w:jc w:val="center"/>
        <w:rPr>
          <w:rFonts w:cs="Times New Roman"/>
        </w:rPr>
      </w:pPr>
    </w:p>
    <w:p w14:paraId="7C3A1655" w14:textId="208338C3" w:rsidR="000A5626" w:rsidRDefault="000A5626" w:rsidP="000A5626">
      <w:pPr>
        <w:spacing w:line="480" w:lineRule="auto"/>
        <w:rPr>
          <w:rFonts w:cs="Times New Roman"/>
        </w:rPr>
      </w:pPr>
      <w:r>
        <w:rPr>
          <w:rFonts w:cs="Times New Roman"/>
        </w:rPr>
        <w:t xml:space="preserve">I thank Professor Lilia Karnizova for her </w:t>
      </w:r>
      <w:r w:rsidR="00372D98">
        <w:rPr>
          <w:rFonts w:cs="Times New Roman"/>
        </w:rPr>
        <w:t>in</w:t>
      </w:r>
      <w:r>
        <w:rPr>
          <w:rFonts w:cs="Times New Roman"/>
        </w:rPr>
        <w:t>valuable</w:t>
      </w:r>
      <w:r w:rsidR="00F22782">
        <w:rPr>
          <w:rFonts w:cs="Times New Roman"/>
        </w:rPr>
        <w:t xml:space="preserve"> guidance</w:t>
      </w:r>
      <w:r>
        <w:rPr>
          <w:rFonts w:cs="Times New Roman"/>
        </w:rPr>
        <w:t xml:space="preserve"> and insightful suggestions during the supervision of this paper, and for her exceptional teaching, mentor</w:t>
      </w:r>
      <w:r w:rsidR="001208AF">
        <w:rPr>
          <w:rFonts w:cs="Times New Roman"/>
        </w:rPr>
        <w:t>ing</w:t>
      </w:r>
      <w:r>
        <w:rPr>
          <w:rFonts w:cs="Times New Roman"/>
        </w:rPr>
        <w:t xml:space="preserve"> and support over the years.</w:t>
      </w:r>
    </w:p>
    <w:p w14:paraId="3DEF58FA" w14:textId="77777777" w:rsidR="000A5626" w:rsidRDefault="000A5626" w:rsidP="009F3C68">
      <w:pPr>
        <w:spacing w:line="480" w:lineRule="auto"/>
        <w:jc w:val="center"/>
        <w:rPr>
          <w:rFonts w:cs="Times New Roman"/>
        </w:rPr>
      </w:pPr>
    </w:p>
    <w:p w14:paraId="72ACBBFE" w14:textId="77777777" w:rsidR="000A5626" w:rsidRDefault="000A5626" w:rsidP="009F3C68">
      <w:pPr>
        <w:spacing w:line="480" w:lineRule="auto"/>
        <w:jc w:val="center"/>
        <w:rPr>
          <w:rFonts w:cs="Times New Roman"/>
        </w:rPr>
      </w:pPr>
    </w:p>
    <w:p w14:paraId="24A009BE" w14:textId="77777777" w:rsidR="000A5626" w:rsidRDefault="000A5626" w:rsidP="009F3C68">
      <w:pPr>
        <w:spacing w:line="480" w:lineRule="auto"/>
        <w:jc w:val="center"/>
        <w:rPr>
          <w:rFonts w:cs="Times New Roman"/>
        </w:rPr>
      </w:pPr>
    </w:p>
    <w:p w14:paraId="38EB3F01" w14:textId="77777777" w:rsidR="000A5626" w:rsidRDefault="000A5626" w:rsidP="009F3C68">
      <w:pPr>
        <w:spacing w:line="480" w:lineRule="auto"/>
        <w:jc w:val="center"/>
        <w:rPr>
          <w:rFonts w:cs="Times New Roman"/>
        </w:rPr>
      </w:pPr>
    </w:p>
    <w:p w14:paraId="39F14B7D" w14:textId="77777777" w:rsidR="000A5626" w:rsidRDefault="000A5626" w:rsidP="009F3C68">
      <w:pPr>
        <w:spacing w:line="480" w:lineRule="auto"/>
        <w:jc w:val="center"/>
        <w:rPr>
          <w:rFonts w:cs="Times New Roman"/>
        </w:rPr>
      </w:pPr>
    </w:p>
    <w:p w14:paraId="3CB4561B" w14:textId="77777777" w:rsidR="000A5626" w:rsidRDefault="000A5626" w:rsidP="009F3C68">
      <w:pPr>
        <w:spacing w:line="480" w:lineRule="auto"/>
        <w:jc w:val="center"/>
        <w:rPr>
          <w:rFonts w:cs="Times New Roman"/>
        </w:rPr>
      </w:pPr>
    </w:p>
    <w:p w14:paraId="67290253" w14:textId="77777777" w:rsidR="000A5626" w:rsidRDefault="000A5626" w:rsidP="009F3C68">
      <w:pPr>
        <w:spacing w:line="480" w:lineRule="auto"/>
        <w:jc w:val="center"/>
        <w:rPr>
          <w:rFonts w:cs="Times New Roman"/>
        </w:rPr>
      </w:pPr>
    </w:p>
    <w:p w14:paraId="7829F5D7" w14:textId="77777777" w:rsidR="000A5626" w:rsidRDefault="000A5626" w:rsidP="009F3C68">
      <w:pPr>
        <w:spacing w:line="480" w:lineRule="auto"/>
        <w:jc w:val="center"/>
        <w:rPr>
          <w:rFonts w:cs="Times New Roman"/>
        </w:rPr>
      </w:pPr>
    </w:p>
    <w:p w14:paraId="4B444481" w14:textId="77777777" w:rsidR="000A5626" w:rsidRDefault="000A5626" w:rsidP="009F3C68">
      <w:pPr>
        <w:spacing w:line="480" w:lineRule="auto"/>
        <w:jc w:val="center"/>
        <w:rPr>
          <w:rFonts w:cs="Times New Roman"/>
        </w:rPr>
      </w:pPr>
    </w:p>
    <w:p w14:paraId="7540BEAB" w14:textId="77777777" w:rsidR="000A5626" w:rsidRDefault="000A5626" w:rsidP="009F3C68">
      <w:pPr>
        <w:spacing w:line="480" w:lineRule="auto"/>
        <w:jc w:val="center"/>
        <w:rPr>
          <w:rFonts w:cs="Times New Roman"/>
        </w:rPr>
      </w:pPr>
    </w:p>
    <w:p w14:paraId="4DB8410B" w14:textId="77777777" w:rsidR="000A5626" w:rsidRDefault="000A5626" w:rsidP="009F3C68">
      <w:pPr>
        <w:spacing w:line="480" w:lineRule="auto"/>
        <w:jc w:val="center"/>
        <w:rPr>
          <w:rFonts w:cs="Times New Roman"/>
        </w:rPr>
      </w:pPr>
    </w:p>
    <w:p w14:paraId="22E4B010" w14:textId="77777777" w:rsidR="000A5626" w:rsidRDefault="000A5626" w:rsidP="009F3C68">
      <w:pPr>
        <w:spacing w:line="480" w:lineRule="auto"/>
        <w:jc w:val="center"/>
        <w:rPr>
          <w:rFonts w:cs="Times New Roman"/>
        </w:rPr>
      </w:pPr>
    </w:p>
    <w:p w14:paraId="3BCD6AC4" w14:textId="77777777" w:rsidR="000A5626" w:rsidRDefault="000A5626" w:rsidP="009F3C68">
      <w:pPr>
        <w:spacing w:line="480" w:lineRule="auto"/>
        <w:jc w:val="center"/>
        <w:rPr>
          <w:rFonts w:cs="Times New Roman"/>
        </w:rPr>
      </w:pPr>
    </w:p>
    <w:p w14:paraId="6FEC8096" w14:textId="77777777" w:rsidR="000A5626" w:rsidRDefault="000A5626" w:rsidP="009F3C68">
      <w:pPr>
        <w:spacing w:line="480" w:lineRule="auto"/>
        <w:jc w:val="center"/>
        <w:rPr>
          <w:rFonts w:cs="Times New Roman"/>
        </w:rPr>
      </w:pPr>
    </w:p>
    <w:p w14:paraId="35FE3459" w14:textId="77777777" w:rsidR="000A5626" w:rsidRDefault="000A5626" w:rsidP="009F3C68">
      <w:pPr>
        <w:spacing w:line="480" w:lineRule="auto"/>
        <w:jc w:val="center"/>
        <w:rPr>
          <w:rFonts w:cs="Times New Roman"/>
        </w:rPr>
      </w:pPr>
    </w:p>
    <w:p w14:paraId="2FC67ACB" w14:textId="77777777" w:rsidR="000A5626" w:rsidRDefault="000A5626" w:rsidP="009F3C68">
      <w:pPr>
        <w:spacing w:line="480" w:lineRule="auto"/>
        <w:jc w:val="center"/>
        <w:rPr>
          <w:rFonts w:cs="Times New Roman"/>
        </w:rPr>
      </w:pPr>
    </w:p>
    <w:p w14:paraId="74048990" w14:textId="77777777" w:rsidR="000A5626" w:rsidRDefault="000A5626" w:rsidP="009F3C68">
      <w:pPr>
        <w:spacing w:line="480" w:lineRule="auto"/>
        <w:jc w:val="center"/>
        <w:rPr>
          <w:rFonts w:cs="Times New Roman"/>
        </w:rPr>
      </w:pPr>
    </w:p>
    <w:p w14:paraId="3DD90BAB" w14:textId="77777777" w:rsidR="000A5626" w:rsidRDefault="000A5626" w:rsidP="009F3C68">
      <w:pPr>
        <w:spacing w:line="480" w:lineRule="auto"/>
        <w:jc w:val="center"/>
        <w:rPr>
          <w:rFonts w:cs="Times New Roman"/>
        </w:rPr>
      </w:pPr>
    </w:p>
    <w:p w14:paraId="7EE24DD7" w14:textId="77777777" w:rsidR="000A5626" w:rsidRDefault="000A5626" w:rsidP="000A5626">
      <w:pPr>
        <w:spacing w:line="480" w:lineRule="auto"/>
        <w:rPr>
          <w:rFonts w:cs="Times New Roman"/>
        </w:rPr>
      </w:pPr>
    </w:p>
    <w:p w14:paraId="729B2B0B" w14:textId="5EB91EE0" w:rsidR="007604DD" w:rsidRPr="006B5B91" w:rsidRDefault="007604DD" w:rsidP="009F3C68">
      <w:pPr>
        <w:spacing w:line="480" w:lineRule="auto"/>
        <w:jc w:val="center"/>
        <w:rPr>
          <w:rFonts w:cs="Times New Roman"/>
        </w:rPr>
      </w:pPr>
      <w:r w:rsidRPr="006B5B91">
        <w:rPr>
          <w:rFonts w:cs="Times New Roman"/>
        </w:rPr>
        <w:lastRenderedPageBreak/>
        <w:t>Abstract</w:t>
      </w:r>
    </w:p>
    <w:p w14:paraId="45CF2EF2" w14:textId="3BE98AEE" w:rsidR="000D55C4" w:rsidRPr="006B5B91" w:rsidRDefault="00321F38" w:rsidP="009F3C68">
      <w:pPr>
        <w:spacing w:line="480" w:lineRule="auto"/>
        <w:rPr>
          <w:rFonts w:cs="Times New Roman"/>
        </w:rPr>
      </w:pPr>
      <w:r w:rsidRPr="006B5B91">
        <w:rPr>
          <w:rFonts w:cs="Times New Roman"/>
        </w:rPr>
        <w:t xml:space="preserve">The </w:t>
      </w:r>
      <w:r w:rsidR="00AF3F70">
        <w:rPr>
          <w:rFonts w:cs="Times New Roman"/>
        </w:rPr>
        <w:t xml:space="preserve">slope of the </w:t>
      </w:r>
      <w:r w:rsidRPr="006B5B91">
        <w:rPr>
          <w:rFonts w:cs="Times New Roman"/>
        </w:rPr>
        <w:t xml:space="preserve">term structure of interest rates </w:t>
      </w:r>
      <w:r w:rsidR="001B29FA" w:rsidRPr="006B5B91">
        <w:rPr>
          <w:rFonts w:cs="Times New Roman"/>
        </w:rPr>
        <w:t xml:space="preserve">has been shown to </w:t>
      </w:r>
      <w:r w:rsidR="00AF3F70">
        <w:rPr>
          <w:rFonts w:cs="Times New Roman"/>
        </w:rPr>
        <w:t>provide useful information about future</w:t>
      </w:r>
      <w:r w:rsidR="001B29FA" w:rsidRPr="006B5B91">
        <w:rPr>
          <w:rFonts w:cs="Times New Roman"/>
        </w:rPr>
        <w:t xml:space="preserve"> </w:t>
      </w:r>
      <w:r w:rsidR="00AF3F70">
        <w:rPr>
          <w:rFonts w:cs="Times New Roman"/>
        </w:rPr>
        <w:t xml:space="preserve">economic </w:t>
      </w:r>
      <w:r w:rsidR="001B29FA" w:rsidRPr="006B5B91">
        <w:rPr>
          <w:rFonts w:cs="Times New Roman"/>
        </w:rPr>
        <w:t>conditions.</w:t>
      </w:r>
      <w:r w:rsidR="00AF3F70">
        <w:rPr>
          <w:rFonts w:cs="Times New Roman"/>
        </w:rPr>
        <w:t xml:space="preserve"> </w:t>
      </w:r>
      <w:r w:rsidR="00C94EA8">
        <w:rPr>
          <w:rFonts w:cs="Times New Roman"/>
        </w:rPr>
        <w:t>Measures of yield spreads between long</w:t>
      </w:r>
      <w:r w:rsidR="00575FFB">
        <w:rPr>
          <w:rFonts w:cs="Times New Roman"/>
        </w:rPr>
        <w:t>-term</w:t>
      </w:r>
      <w:r w:rsidR="00C94EA8">
        <w:rPr>
          <w:rFonts w:cs="Times New Roman"/>
        </w:rPr>
        <w:t xml:space="preserve"> and short</w:t>
      </w:r>
      <w:r w:rsidR="00575FFB">
        <w:rPr>
          <w:rFonts w:cs="Times New Roman"/>
        </w:rPr>
        <w:t>-</w:t>
      </w:r>
      <w:r w:rsidR="00C94EA8">
        <w:rPr>
          <w:rFonts w:cs="Times New Roman"/>
        </w:rPr>
        <w:t xml:space="preserve">term securities have demonstrated </w:t>
      </w:r>
      <w:r w:rsidR="00A87358">
        <w:rPr>
          <w:rFonts w:cs="Times New Roman"/>
        </w:rPr>
        <w:t>the ability to forecast</w:t>
      </w:r>
      <w:r w:rsidR="00C94EA8">
        <w:rPr>
          <w:rFonts w:cs="Times New Roman"/>
        </w:rPr>
        <w:t xml:space="preserve"> macroeconomic variables such as output, inflation, consumption, industrial production, and future recessions. </w:t>
      </w:r>
      <w:r w:rsidR="00AF3F70">
        <w:rPr>
          <w:rFonts w:cs="Times New Roman"/>
        </w:rPr>
        <w:t>This paper</w:t>
      </w:r>
      <w:r w:rsidR="00374A09" w:rsidRPr="006B5B91">
        <w:rPr>
          <w:rFonts w:cs="Times New Roman"/>
        </w:rPr>
        <w:t xml:space="preserve"> extend</w:t>
      </w:r>
      <w:r w:rsidR="00AF3F70">
        <w:rPr>
          <w:rFonts w:cs="Times New Roman"/>
        </w:rPr>
        <w:t>s</w:t>
      </w:r>
      <w:r w:rsidR="00374A09" w:rsidRPr="006B5B91">
        <w:rPr>
          <w:rFonts w:cs="Times New Roman"/>
        </w:rPr>
        <w:t xml:space="preserve"> the work of Engstrom and Sharpe (201</w:t>
      </w:r>
      <w:r w:rsidR="004F280C">
        <w:rPr>
          <w:rFonts w:cs="Times New Roman"/>
        </w:rPr>
        <w:t>9</w:t>
      </w:r>
      <w:r w:rsidR="00374A09" w:rsidRPr="006B5B91">
        <w:rPr>
          <w:rFonts w:cs="Times New Roman"/>
        </w:rPr>
        <w:t xml:space="preserve">) to test the predictive power of the near-term forward spread </w:t>
      </w:r>
      <w:r w:rsidR="00B1631F" w:rsidRPr="006B5B91">
        <w:rPr>
          <w:rFonts w:cs="Times New Roman"/>
        </w:rPr>
        <w:t>for</w:t>
      </w:r>
      <w:r w:rsidR="00374A09" w:rsidRPr="006B5B91">
        <w:rPr>
          <w:rFonts w:cs="Times New Roman"/>
        </w:rPr>
        <w:t xml:space="preserve"> recessions, </w:t>
      </w:r>
      <w:r w:rsidR="00997CC4" w:rsidRPr="006B5B91">
        <w:rPr>
          <w:rFonts w:cs="Times New Roman"/>
        </w:rPr>
        <w:t>real GDP growth and inflation in Canada</w:t>
      </w:r>
      <w:r w:rsidR="00374A09" w:rsidRPr="006B5B91">
        <w:rPr>
          <w:rFonts w:cs="Times New Roman"/>
        </w:rPr>
        <w:t xml:space="preserve">. </w:t>
      </w:r>
      <w:r w:rsidR="00575FFB">
        <w:rPr>
          <w:rFonts w:cs="Times New Roman"/>
        </w:rPr>
        <w:t>In contrast to conventional long-term spreads, this novel measure developed by the authors of the study is a yield spread of a shorter</w:t>
      </w:r>
      <w:r w:rsidR="00F36D5F">
        <w:rPr>
          <w:rFonts w:cs="Times New Roman"/>
        </w:rPr>
        <w:t xml:space="preserve"> time</w:t>
      </w:r>
      <w:r w:rsidR="00624782">
        <w:rPr>
          <w:rFonts w:cs="Times New Roman"/>
        </w:rPr>
        <w:t xml:space="preserve"> </w:t>
      </w:r>
      <w:r w:rsidR="00575FFB">
        <w:rPr>
          <w:rFonts w:cs="Times New Roman"/>
        </w:rPr>
        <w:t xml:space="preserve">horizon </w:t>
      </w:r>
      <w:r w:rsidR="00DE57A5">
        <w:rPr>
          <w:rFonts w:cs="Times New Roman"/>
        </w:rPr>
        <w:t xml:space="preserve">that </w:t>
      </w:r>
      <w:r w:rsidR="00575FFB">
        <w:rPr>
          <w:rFonts w:cs="Times New Roman"/>
        </w:rPr>
        <w:t xml:space="preserve">provides an alternative measure of market expectations of near-term monetary policy rates. </w:t>
      </w:r>
      <w:r w:rsidR="00D9751D" w:rsidRPr="00475E29">
        <w:rPr>
          <w:rFonts w:cs="Times New Roman"/>
        </w:rPr>
        <w:t>My</w:t>
      </w:r>
      <w:r w:rsidR="00DE57A5" w:rsidRPr="00475E29">
        <w:rPr>
          <w:rFonts w:cs="Times New Roman"/>
        </w:rPr>
        <w:t xml:space="preserve"> r</w:t>
      </w:r>
      <w:r w:rsidR="00AF3F70" w:rsidRPr="00475E29">
        <w:rPr>
          <w:rFonts w:cs="Times New Roman"/>
        </w:rPr>
        <w:t>esults show that</w:t>
      </w:r>
      <w:r w:rsidR="00374A09" w:rsidRPr="00475E29">
        <w:rPr>
          <w:rFonts w:cs="Times New Roman"/>
        </w:rPr>
        <w:t xml:space="preserve"> </w:t>
      </w:r>
      <w:r w:rsidR="00E74608" w:rsidRPr="00475E29">
        <w:rPr>
          <w:rFonts w:cs="Times New Roman"/>
        </w:rPr>
        <w:t xml:space="preserve">the </w:t>
      </w:r>
      <w:r w:rsidR="00374A09" w:rsidRPr="00475E29">
        <w:rPr>
          <w:rFonts w:cs="Times New Roman"/>
        </w:rPr>
        <w:t xml:space="preserve">near-term forward spread </w:t>
      </w:r>
      <w:r w:rsidR="007162A6" w:rsidRPr="00475E29">
        <w:rPr>
          <w:rFonts w:cs="Times New Roman"/>
        </w:rPr>
        <w:t xml:space="preserve">does a better job </w:t>
      </w:r>
      <w:r w:rsidR="00E33920" w:rsidRPr="00475E29">
        <w:rPr>
          <w:rFonts w:cs="Times New Roman"/>
        </w:rPr>
        <w:t xml:space="preserve">of forecasting </w:t>
      </w:r>
      <w:r w:rsidR="007162A6" w:rsidRPr="00475E29">
        <w:rPr>
          <w:rFonts w:cs="Times New Roman"/>
        </w:rPr>
        <w:t xml:space="preserve">future Canadian recessions </w:t>
      </w:r>
      <w:r w:rsidR="00374A09" w:rsidRPr="00475E29">
        <w:rPr>
          <w:rFonts w:cs="Times New Roman"/>
        </w:rPr>
        <w:t xml:space="preserve">than </w:t>
      </w:r>
      <w:r w:rsidR="00726FD7" w:rsidRPr="00475E29">
        <w:rPr>
          <w:rFonts w:cs="Times New Roman"/>
        </w:rPr>
        <w:t>two of the most</w:t>
      </w:r>
      <w:r w:rsidR="00374A09" w:rsidRPr="00475E29">
        <w:rPr>
          <w:rFonts w:cs="Times New Roman"/>
        </w:rPr>
        <w:t xml:space="preserve"> commonly used yield spread</w:t>
      </w:r>
      <w:r w:rsidR="00726FD7" w:rsidRPr="00475E29">
        <w:rPr>
          <w:rFonts w:cs="Times New Roman"/>
        </w:rPr>
        <w:t>s</w:t>
      </w:r>
      <w:r w:rsidR="00DE5301" w:rsidRPr="00475E29">
        <w:rPr>
          <w:rFonts w:cs="Times New Roman"/>
        </w:rPr>
        <w:t>, the ten-year minus the two-year yield spread and the ten-year minus the three-month yield spread</w:t>
      </w:r>
      <w:r w:rsidR="00AE388A" w:rsidRPr="00475E29">
        <w:rPr>
          <w:rFonts w:cs="Times New Roman"/>
        </w:rPr>
        <w:t>. Furthermore, the near-term forward spread is useful for forecasting real GDP growth,</w:t>
      </w:r>
      <w:r w:rsidR="00726FD7" w:rsidRPr="00475E29">
        <w:rPr>
          <w:rFonts w:cs="Times New Roman"/>
        </w:rPr>
        <w:t xml:space="preserve"> but </w:t>
      </w:r>
      <w:r w:rsidR="00AD4A3A" w:rsidRPr="00475E29">
        <w:rPr>
          <w:rFonts w:cs="Times New Roman"/>
        </w:rPr>
        <w:t>does</w:t>
      </w:r>
      <w:r w:rsidR="007162A6" w:rsidRPr="00475E29">
        <w:rPr>
          <w:rFonts w:cs="Times New Roman"/>
        </w:rPr>
        <w:t xml:space="preserve"> not provide any useful information about future</w:t>
      </w:r>
      <w:r w:rsidR="005C7872" w:rsidRPr="00475E29">
        <w:rPr>
          <w:rFonts w:cs="Times New Roman"/>
        </w:rPr>
        <w:t xml:space="preserve"> inflation</w:t>
      </w:r>
      <w:r w:rsidR="00D13329" w:rsidRPr="00475E29">
        <w:rPr>
          <w:rFonts w:cs="Times New Roman"/>
        </w:rPr>
        <w:t xml:space="preserve"> in Canad</w:t>
      </w:r>
      <w:r w:rsidR="007162A6" w:rsidRPr="00475E29">
        <w:rPr>
          <w:rFonts w:cs="Times New Roman"/>
        </w:rPr>
        <w:t>a</w:t>
      </w:r>
      <w:r w:rsidR="00AD4A3A" w:rsidRPr="00475E29">
        <w:rPr>
          <w:rFonts w:cs="Times New Roman"/>
        </w:rPr>
        <w:t>.</w:t>
      </w:r>
    </w:p>
    <w:p w14:paraId="22A2B0C1" w14:textId="5D50C871" w:rsidR="007604DD" w:rsidRPr="006B5B91" w:rsidRDefault="007604DD" w:rsidP="005C7872">
      <w:pPr>
        <w:spacing w:line="480" w:lineRule="auto"/>
        <w:rPr>
          <w:rFonts w:cs="Times New Roman"/>
        </w:rPr>
      </w:pPr>
      <w:r w:rsidRPr="006B5B91">
        <w:rPr>
          <w:rFonts w:cs="Times New Roman"/>
          <w:i/>
        </w:rPr>
        <w:t>Keywords</w:t>
      </w:r>
      <w:r w:rsidRPr="006B5B91">
        <w:rPr>
          <w:rFonts w:cs="Times New Roman"/>
        </w:rPr>
        <w:t xml:space="preserve">: near-term forward spread, yield spread, economic forecasting, </w:t>
      </w:r>
      <w:r w:rsidR="00C12DF1">
        <w:rPr>
          <w:rFonts w:cs="Times New Roman"/>
        </w:rPr>
        <w:t>recession</w:t>
      </w:r>
      <w:r w:rsidRPr="006B5B91">
        <w:rPr>
          <w:rFonts w:cs="Times New Roman"/>
        </w:rPr>
        <w:t>.</w:t>
      </w:r>
    </w:p>
    <w:p w14:paraId="2106470D" w14:textId="77777777" w:rsidR="00011624" w:rsidRPr="006B5B91" w:rsidRDefault="00011624" w:rsidP="005C7872">
      <w:pPr>
        <w:spacing w:line="480" w:lineRule="auto"/>
        <w:rPr>
          <w:rFonts w:cs="Times New Roman"/>
        </w:rPr>
        <w:sectPr w:rsidR="00011624" w:rsidRPr="006B5B91">
          <w:pgSz w:w="12240" w:h="15840"/>
          <w:pgMar w:top="1440" w:right="1440" w:bottom="1440" w:left="1440" w:header="720" w:footer="720" w:gutter="0"/>
          <w:cols w:space="720"/>
          <w:docGrid w:linePitch="360"/>
        </w:sectPr>
      </w:pPr>
    </w:p>
    <w:sdt>
      <w:sdtPr>
        <w:rPr>
          <w:rFonts w:eastAsiaTheme="minorHAnsi" w:cs="Times New Roman"/>
          <w:b w:val="0"/>
          <w:bCs w:val="0"/>
          <w:kern w:val="0"/>
          <w:lang w:val="en-GB" w:eastAsia="en-US"/>
        </w:rPr>
        <w:id w:val="1178088918"/>
        <w:docPartObj>
          <w:docPartGallery w:val="Table of Contents"/>
          <w:docPartUnique/>
        </w:docPartObj>
      </w:sdtPr>
      <w:sdtEndPr>
        <w:rPr>
          <w:noProof/>
        </w:rPr>
      </w:sdtEndPr>
      <w:sdtContent>
        <w:p w14:paraId="7AD56EF6" w14:textId="406FFBD3" w:rsidR="00011624" w:rsidRPr="006B5B91" w:rsidRDefault="00011624">
          <w:pPr>
            <w:pStyle w:val="TOCHeading"/>
            <w:rPr>
              <w:rFonts w:cs="Times New Roman"/>
            </w:rPr>
          </w:pPr>
          <w:r w:rsidRPr="006B5B91">
            <w:rPr>
              <w:rFonts w:cs="Times New Roman"/>
            </w:rPr>
            <w:t>Table of Contents</w:t>
          </w:r>
        </w:p>
        <w:p w14:paraId="30BE97DF" w14:textId="0DE290CE" w:rsidR="00A62691" w:rsidRDefault="00011624">
          <w:pPr>
            <w:pStyle w:val="TOC1"/>
            <w:tabs>
              <w:tab w:val="right" w:leader="dot" w:pos="9350"/>
            </w:tabs>
            <w:rPr>
              <w:rFonts w:asciiTheme="minorHAnsi" w:eastAsiaTheme="minorEastAsia" w:hAnsiTheme="minorHAnsi"/>
              <w:noProof/>
              <w:sz w:val="22"/>
              <w:szCs w:val="22"/>
              <w:lang w:val="en-CA" w:eastAsia="en-CA"/>
            </w:rPr>
          </w:pPr>
          <w:r w:rsidRPr="006B5B91">
            <w:rPr>
              <w:rFonts w:cs="Times New Roman"/>
            </w:rPr>
            <w:fldChar w:fldCharType="begin"/>
          </w:r>
          <w:r w:rsidRPr="006B5B91">
            <w:rPr>
              <w:rFonts w:cs="Times New Roman"/>
            </w:rPr>
            <w:instrText xml:space="preserve"> TOC \o "1-3" \h \z \u </w:instrText>
          </w:r>
          <w:r w:rsidRPr="006B5B91">
            <w:rPr>
              <w:rFonts w:cs="Times New Roman"/>
            </w:rPr>
            <w:fldChar w:fldCharType="separate"/>
          </w:r>
          <w:hyperlink w:anchor="_Toc37338041" w:history="1">
            <w:r w:rsidR="00A62691" w:rsidRPr="00832288">
              <w:rPr>
                <w:rStyle w:val="Hyperlink"/>
                <w:rFonts w:cs="Times New Roman"/>
                <w:noProof/>
              </w:rPr>
              <w:t>1.  Introduction</w:t>
            </w:r>
            <w:r w:rsidR="00A62691">
              <w:rPr>
                <w:noProof/>
                <w:webHidden/>
              </w:rPr>
              <w:tab/>
            </w:r>
            <w:r w:rsidR="00A62691">
              <w:rPr>
                <w:noProof/>
                <w:webHidden/>
              </w:rPr>
              <w:fldChar w:fldCharType="begin"/>
            </w:r>
            <w:r w:rsidR="00A62691">
              <w:rPr>
                <w:noProof/>
                <w:webHidden/>
              </w:rPr>
              <w:instrText xml:space="preserve"> PAGEREF _Toc37338041 \h </w:instrText>
            </w:r>
            <w:r w:rsidR="00A62691">
              <w:rPr>
                <w:noProof/>
                <w:webHidden/>
              </w:rPr>
            </w:r>
            <w:r w:rsidR="00A62691">
              <w:rPr>
                <w:noProof/>
                <w:webHidden/>
              </w:rPr>
              <w:fldChar w:fldCharType="separate"/>
            </w:r>
            <w:r w:rsidR="00AC0696">
              <w:rPr>
                <w:noProof/>
                <w:webHidden/>
              </w:rPr>
              <w:t>6</w:t>
            </w:r>
            <w:r w:rsidR="00A62691">
              <w:rPr>
                <w:noProof/>
                <w:webHidden/>
              </w:rPr>
              <w:fldChar w:fldCharType="end"/>
            </w:r>
          </w:hyperlink>
        </w:p>
        <w:p w14:paraId="1AD5016F" w14:textId="1DD5ED76"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42" w:history="1">
            <w:r w:rsidR="00A62691" w:rsidRPr="00832288">
              <w:rPr>
                <w:rStyle w:val="Hyperlink"/>
                <w:rFonts w:cs="Times New Roman"/>
                <w:noProof/>
              </w:rPr>
              <w:t>2.  Literature Review</w:t>
            </w:r>
            <w:r w:rsidR="00A62691">
              <w:rPr>
                <w:noProof/>
                <w:webHidden/>
              </w:rPr>
              <w:tab/>
            </w:r>
            <w:r w:rsidR="00A62691">
              <w:rPr>
                <w:noProof/>
                <w:webHidden/>
              </w:rPr>
              <w:fldChar w:fldCharType="begin"/>
            </w:r>
            <w:r w:rsidR="00A62691">
              <w:rPr>
                <w:noProof/>
                <w:webHidden/>
              </w:rPr>
              <w:instrText xml:space="preserve"> PAGEREF _Toc37338042 \h </w:instrText>
            </w:r>
            <w:r w:rsidR="00A62691">
              <w:rPr>
                <w:noProof/>
                <w:webHidden/>
              </w:rPr>
            </w:r>
            <w:r w:rsidR="00A62691">
              <w:rPr>
                <w:noProof/>
                <w:webHidden/>
              </w:rPr>
              <w:fldChar w:fldCharType="separate"/>
            </w:r>
            <w:r w:rsidR="00AC0696">
              <w:rPr>
                <w:noProof/>
                <w:webHidden/>
              </w:rPr>
              <w:t>12</w:t>
            </w:r>
            <w:r w:rsidR="00A62691">
              <w:rPr>
                <w:noProof/>
                <w:webHidden/>
              </w:rPr>
              <w:fldChar w:fldCharType="end"/>
            </w:r>
          </w:hyperlink>
        </w:p>
        <w:p w14:paraId="78A4B45F" w14:textId="2907007A"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43" w:history="1">
            <w:r w:rsidR="00A62691" w:rsidRPr="00832288">
              <w:rPr>
                <w:rStyle w:val="Hyperlink"/>
                <w:rFonts w:cs="Times New Roman"/>
                <w:noProof/>
              </w:rPr>
              <w:t>3.  Methodology</w:t>
            </w:r>
            <w:r w:rsidR="00A62691">
              <w:rPr>
                <w:noProof/>
                <w:webHidden/>
              </w:rPr>
              <w:tab/>
            </w:r>
            <w:r w:rsidR="00A62691">
              <w:rPr>
                <w:noProof/>
                <w:webHidden/>
              </w:rPr>
              <w:fldChar w:fldCharType="begin"/>
            </w:r>
            <w:r w:rsidR="00A62691">
              <w:rPr>
                <w:noProof/>
                <w:webHidden/>
              </w:rPr>
              <w:instrText xml:space="preserve"> PAGEREF _Toc37338043 \h </w:instrText>
            </w:r>
            <w:r w:rsidR="00A62691">
              <w:rPr>
                <w:noProof/>
                <w:webHidden/>
              </w:rPr>
            </w:r>
            <w:r w:rsidR="00A62691">
              <w:rPr>
                <w:noProof/>
                <w:webHidden/>
              </w:rPr>
              <w:fldChar w:fldCharType="separate"/>
            </w:r>
            <w:r w:rsidR="00AC0696">
              <w:rPr>
                <w:noProof/>
                <w:webHidden/>
              </w:rPr>
              <w:t>15</w:t>
            </w:r>
            <w:r w:rsidR="00A62691">
              <w:rPr>
                <w:noProof/>
                <w:webHidden/>
              </w:rPr>
              <w:fldChar w:fldCharType="end"/>
            </w:r>
          </w:hyperlink>
        </w:p>
        <w:p w14:paraId="61A8916D" w14:textId="73668DA9"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44" w:history="1">
            <w:r w:rsidR="00A62691" w:rsidRPr="00832288">
              <w:rPr>
                <w:rStyle w:val="Hyperlink"/>
                <w:rFonts w:cs="Times New Roman"/>
                <w:noProof/>
              </w:rPr>
              <w:t>3.1.  Models</w:t>
            </w:r>
            <w:r w:rsidR="00A62691">
              <w:rPr>
                <w:noProof/>
                <w:webHidden/>
              </w:rPr>
              <w:tab/>
            </w:r>
            <w:r w:rsidR="00A62691">
              <w:rPr>
                <w:noProof/>
                <w:webHidden/>
              </w:rPr>
              <w:fldChar w:fldCharType="begin"/>
            </w:r>
            <w:r w:rsidR="00A62691">
              <w:rPr>
                <w:noProof/>
                <w:webHidden/>
              </w:rPr>
              <w:instrText xml:space="preserve"> PAGEREF _Toc37338044 \h </w:instrText>
            </w:r>
            <w:r w:rsidR="00A62691">
              <w:rPr>
                <w:noProof/>
                <w:webHidden/>
              </w:rPr>
            </w:r>
            <w:r w:rsidR="00A62691">
              <w:rPr>
                <w:noProof/>
                <w:webHidden/>
              </w:rPr>
              <w:fldChar w:fldCharType="separate"/>
            </w:r>
            <w:r w:rsidR="00AC0696">
              <w:rPr>
                <w:noProof/>
                <w:webHidden/>
              </w:rPr>
              <w:t>15</w:t>
            </w:r>
            <w:r w:rsidR="00A62691">
              <w:rPr>
                <w:noProof/>
                <w:webHidden/>
              </w:rPr>
              <w:fldChar w:fldCharType="end"/>
            </w:r>
          </w:hyperlink>
        </w:p>
        <w:p w14:paraId="1ADFF89D" w14:textId="2DE870C8" w:rsidR="00A62691" w:rsidRDefault="009C4B5A">
          <w:pPr>
            <w:pStyle w:val="TOC3"/>
            <w:tabs>
              <w:tab w:val="right" w:leader="dot" w:pos="9350"/>
            </w:tabs>
            <w:rPr>
              <w:rFonts w:asciiTheme="minorHAnsi" w:eastAsiaTheme="minorEastAsia" w:hAnsiTheme="minorHAnsi"/>
              <w:noProof/>
              <w:sz w:val="22"/>
              <w:szCs w:val="22"/>
              <w:lang w:val="en-CA" w:eastAsia="en-CA"/>
            </w:rPr>
          </w:pPr>
          <w:hyperlink w:anchor="_Toc37338045" w:history="1">
            <w:r w:rsidR="00A62691" w:rsidRPr="00832288">
              <w:rPr>
                <w:rStyle w:val="Hyperlink"/>
                <w:rFonts w:cs="Times New Roman"/>
                <w:noProof/>
              </w:rPr>
              <w:t>3.1.a.  Recession Forecasting.</w:t>
            </w:r>
            <w:r w:rsidR="00A62691">
              <w:rPr>
                <w:noProof/>
                <w:webHidden/>
              </w:rPr>
              <w:tab/>
            </w:r>
            <w:r w:rsidR="00A62691">
              <w:rPr>
                <w:noProof/>
                <w:webHidden/>
              </w:rPr>
              <w:fldChar w:fldCharType="begin"/>
            </w:r>
            <w:r w:rsidR="00A62691">
              <w:rPr>
                <w:noProof/>
                <w:webHidden/>
              </w:rPr>
              <w:instrText xml:space="preserve"> PAGEREF _Toc37338045 \h </w:instrText>
            </w:r>
            <w:r w:rsidR="00A62691">
              <w:rPr>
                <w:noProof/>
                <w:webHidden/>
              </w:rPr>
            </w:r>
            <w:r w:rsidR="00A62691">
              <w:rPr>
                <w:noProof/>
                <w:webHidden/>
              </w:rPr>
              <w:fldChar w:fldCharType="separate"/>
            </w:r>
            <w:r w:rsidR="00AC0696">
              <w:rPr>
                <w:noProof/>
                <w:webHidden/>
              </w:rPr>
              <w:t>15</w:t>
            </w:r>
            <w:r w:rsidR="00A62691">
              <w:rPr>
                <w:noProof/>
                <w:webHidden/>
              </w:rPr>
              <w:fldChar w:fldCharType="end"/>
            </w:r>
          </w:hyperlink>
        </w:p>
        <w:p w14:paraId="1D5155BC" w14:textId="06F0E304" w:rsidR="00A62691" w:rsidRDefault="009C4B5A">
          <w:pPr>
            <w:pStyle w:val="TOC3"/>
            <w:tabs>
              <w:tab w:val="right" w:leader="dot" w:pos="9350"/>
            </w:tabs>
            <w:rPr>
              <w:rFonts w:asciiTheme="minorHAnsi" w:eastAsiaTheme="minorEastAsia" w:hAnsiTheme="minorHAnsi"/>
              <w:noProof/>
              <w:sz w:val="22"/>
              <w:szCs w:val="22"/>
              <w:lang w:val="en-CA" w:eastAsia="en-CA"/>
            </w:rPr>
          </w:pPr>
          <w:hyperlink w:anchor="_Toc37338046" w:history="1">
            <w:r w:rsidR="00A62691" w:rsidRPr="00832288">
              <w:rPr>
                <w:rStyle w:val="Hyperlink"/>
                <w:rFonts w:cs="Times New Roman"/>
                <w:noProof/>
              </w:rPr>
              <w:t>3.1.b.  Real GDP Forecasting.</w:t>
            </w:r>
            <w:r w:rsidR="00A62691">
              <w:rPr>
                <w:noProof/>
                <w:webHidden/>
              </w:rPr>
              <w:tab/>
            </w:r>
            <w:r w:rsidR="00A62691">
              <w:rPr>
                <w:noProof/>
                <w:webHidden/>
              </w:rPr>
              <w:fldChar w:fldCharType="begin"/>
            </w:r>
            <w:r w:rsidR="00A62691">
              <w:rPr>
                <w:noProof/>
                <w:webHidden/>
              </w:rPr>
              <w:instrText xml:space="preserve"> PAGEREF _Toc37338046 \h </w:instrText>
            </w:r>
            <w:r w:rsidR="00A62691">
              <w:rPr>
                <w:noProof/>
                <w:webHidden/>
              </w:rPr>
            </w:r>
            <w:r w:rsidR="00A62691">
              <w:rPr>
                <w:noProof/>
                <w:webHidden/>
              </w:rPr>
              <w:fldChar w:fldCharType="separate"/>
            </w:r>
            <w:r w:rsidR="00AC0696">
              <w:rPr>
                <w:noProof/>
                <w:webHidden/>
              </w:rPr>
              <w:t>15</w:t>
            </w:r>
            <w:r w:rsidR="00A62691">
              <w:rPr>
                <w:noProof/>
                <w:webHidden/>
              </w:rPr>
              <w:fldChar w:fldCharType="end"/>
            </w:r>
          </w:hyperlink>
        </w:p>
        <w:p w14:paraId="5452D7B3" w14:textId="1128A613" w:rsidR="00A62691" w:rsidRDefault="009C4B5A">
          <w:pPr>
            <w:pStyle w:val="TOC3"/>
            <w:tabs>
              <w:tab w:val="right" w:leader="dot" w:pos="9350"/>
            </w:tabs>
            <w:rPr>
              <w:rFonts w:asciiTheme="minorHAnsi" w:eastAsiaTheme="minorEastAsia" w:hAnsiTheme="minorHAnsi"/>
              <w:noProof/>
              <w:sz w:val="22"/>
              <w:szCs w:val="22"/>
              <w:lang w:val="en-CA" w:eastAsia="en-CA"/>
            </w:rPr>
          </w:pPr>
          <w:hyperlink w:anchor="_Toc37338047" w:history="1">
            <w:r w:rsidR="00A62691" w:rsidRPr="00832288">
              <w:rPr>
                <w:rStyle w:val="Hyperlink"/>
                <w:rFonts w:cs="Times New Roman"/>
                <w:noProof/>
              </w:rPr>
              <w:t>3.1.c.  Inflation Forecasting.</w:t>
            </w:r>
            <w:r w:rsidR="00A62691">
              <w:rPr>
                <w:noProof/>
                <w:webHidden/>
              </w:rPr>
              <w:tab/>
            </w:r>
            <w:r w:rsidR="00A62691">
              <w:rPr>
                <w:noProof/>
                <w:webHidden/>
              </w:rPr>
              <w:fldChar w:fldCharType="begin"/>
            </w:r>
            <w:r w:rsidR="00A62691">
              <w:rPr>
                <w:noProof/>
                <w:webHidden/>
              </w:rPr>
              <w:instrText xml:space="preserve"> PAGEREF _Toc37338047 \h </w:instrText>
            </w:r>
            <w:r w:rsidR="00A62691">
              <w:rPr>
                <w:noProof/>
                <w:webHidden/>
              </w:rPr>
            </w:r>
            <w:r w:rsidR="00A62691">
              <w:rPr>
                <w:noProof/>
                <w:webHidden/>
              </w:rPr>
              <w:fldChar w:fldCharType="separate"/>
            </w:r>
            <w:r w:rsidR="00AC0696">
              <w:rPr>
                <w:noProof/>
                <w:webHidden/>
              </w:rPr>
              <w:t>16</w:t>
            </w:r>
            <w:r w:rsidR="00A62691">
              <w:rPr>
                <w:noProof/>
                <w:webHidden/>
              </w:rPr>
              <w:fldChar w:fldCharType="end"/>
            </w:r>
          </w:hyperlink>
        </w:p>
        <w:p w14:paraId="0929D608" w14:textId="14CDA3BB"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48" w:history="1">
            <w:r w:rsidR="00A62691" w:rsidRPr="00832288">
              <w:rPr>
                <w:rStyle w:val="Hyperlink"/>
                <w:rFonts w:cs="Times New Roman"/>
                <w:noProof/>
              </w:rPr>
              <w:t>3.2.  Calculating the Near-Term Forward Spread</w:t>
            </w:r>
            <w:r w:rsidR="00A62691">
              <w:rPr>
                <w:noProof/>
                <w:webHidden/>
              </w:rPr>
              <w:tab/>
            </w:r>
            <w:r w:rsidR="00A62691">
              <w:rPr>
                <w:noProof/>
                <w:webHidden/>
              </w:rPr>
              <w:fldChar w:fldCharType="begin"/>
            </w:r>
            <w:r w:rsidR="00A62691">
              <w:rPr>
                <w:noProof/>
                <w:webHidden/>
              </w:rPr>
              <w:instrText xml:space="preserve"> PAGEREF _Toc37338048 \h </w:instrText>
            </w:r>
            <w:r w:rsidR="00A62691">
              <w:rPr>
                <w:noProof/>
                <w:webHidden/>
              </w:rPr>
            </w:r>
            <w:r w:rsidR="00A62691">
              <w:rPr>
                <w:noProof/>
                <w:webHidden/>
              </w:rPr>
              <w:fldChar w:fldCharType="separate"/>
            </w:r>
            <w:r w:rsidR="00AC0696">
              <w:rPr>
                <w:noProof/>
                <w:webHidden/>
              </w:rPr>
              <w:t>16</w:t>
            </w:r>
            <w:r w:rsidR="00A62691">
              <w:rPr>
                <w:noProof/>
                <w:webHidden/>
              </w:rPr>
              <w:fldChar w:fldCharType="end"/>
            </w:r>
          </w:hyperlink>
        </w:p>
        <w:p w14:paraId="2504A8E1" w14:textId="4A3D85E4"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49" w:history="1">
            <w:r w:rsidR="00A62691" w:rsidRPr="00832288">
              <w:rPr>
                <w:rStyle w:val="Hyperlink"/>
                <w:rFonts w:cs="Times New Roman"/>
                <w:noProof/>
              </w:rPr>
              <w:t>4.  Data</w:t>
            </w:r>
            <w:r w:rsidR="00A62691">
              <w:rPr>
                <w:noProof/>
                <w:webHidden/>
              </w:rPr>
              <w:tab/>
            </w:r>
            <w:r w:rsidR="00A62691">
              <w:rPr>
                <w:noProof/>
                <w:webHidden/>
              </w:rPr>
              <w:fldChar w:fldCharType="begin"/>
            </w:r>
            <w:r w:rsidR="00A62691">
              <w:rPr>
                <w:noProof/>
                <w:webHidden/>
              </w:rPr>
              <w:instrText xml:space="preserve"> PAGEREF _Toc37338049 \h </w:instrText>
            </w:r>
            <w:r w:rsidR="00A62691">
              <w:rPr>
                <w:noProof/>
                <w:webHidden/>
              </w:rPr>
            </w:r>
            <w:r w:rsidR="00A62691">
              <w:rPr>
                <w:noProof/>
                <w:webHidden/>
              </w:rPr>
              <w:fldChar w:fldCharType="separate"/>
            </w:r>
            <w:r w:rsidR="00AC0696">
              <w:rPr>
                <w:noProof/>
                <w:webHidden/>
              </w:rPr>
              <w:t>19</w:t>
            </w:r>
            <w:r w:rsidR="00A62691">
              <w:rPr>
                <w:noProof/>
                <w:webHidden/>
              </w:rPr>
              <w:fldChar w:fldCharType="end"/>
            </w:r>
          </w:hyperlink>
        </w:p>
        <w:p w14:paraId="3ECF8D84" w14:textId="66FAEB29"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0" w:history="1">
            <w:r w:rsidR="00A62691" w:rsidRPr="00832288">
              <w:rPr>
                <w:rStyle w:val="Hyperlink"/>
                <w:rFonts w:cs="Times New Roman"/>
                <w:noProof/>
              </w:rPr>
              <w:t>4.1.  Spread Data</w:t>
            </w:r>
            <w:r w:rsidR="00A62691">
              <w:rPr>
                <w:noProof/>
                <w:webHidden/>
              </w:rPr>
              <w:tab/>
            </w:r>
            <w:r w:rsidR="00A62691">
              <w:rPr>
                <w:noProof/>
                <w:webHidden/>
              </w:rPr>
              <w:fldChar w:fldCharType="begin"/>
            </w:r>
            <w:r w:rsidR="00A62691">
              <w:rPr>
                <w:noProof/>
                <w:webHidden/>
              </w:rPr>
              <w:instrText xml:space="preserve"> PAGEREF _Toc37338050 \h </w:instrText>
            </w:r>
            <w:r w:rsidR="00A62691">
              <w:rPr>
                <w:noProof/>
                <w:webHidden/>
              </w:rPr>
            </w:r>
            <w:r w:rsidR="00A62691">
              <w:rPr>
                <w:noProof/>
                <w:webHidden/>
              </w:rPr>
              <w:fldChar w:fldCharType="separate"/>
            </w:r>
            <w:r w:rsidR="00AC0696">
              <w:rPr>
                <w:noProof/>
                <w:webHidden/>
              </w:rPr>
              <w:t>19</w:t>
            </w:r>
            <w:r w:rsidR="00A62691">
              <w:rPr>
                <w:noProof/>
                <w:webHidden/>
              </w:rPr>
              <w:fldChar w:fldCharType="end"/>
            </w:r>
          </w:hyperlink>
        </w:p>
        <w:p w14:paraId="3B74C942" w14:textId="3601FBE7"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1" w:history="1">
            <w:r w:rsidR="00A62691" w:rsidRPr="00832288">
              <w:rPr>
                <w:rStyle w:val="Hyperlink"/>
                <w:rFonts w:cs="Times New Roman"/>
                <w:noProof/>
              </w:rPr>
              <w:t>4.2.  Real GDP and Inflation Data</w:t>
            </w:r>
            <w:r w:rsidR="00A62691">
              <w:rPr>
                <w:noProof/>
                <w:webHidden/>
              </w:rPr>
              <w:tab/>
            </w:r>
            <w:r w:rsidR="00A62691">
              <w:rPr>
                <w:noProof/>
                <w:webHidden/>
              </w:rPr>
              <w:fldChar w:fldCharType="begin"/>
            </w:r>
            <w:r w:rsidR="00A62691">
              <w:rPr>
                <w:noProof/>
                <w:webHidden/>
              </w:rPr>
              <w:instrText xml:space="preserve"> PAGEREF _Toc37338051 \h </w:instrText>
            </w:r>
            <w:r w:rsidR="00A62691">
              <w:rPr>
                <w:noProof/>
                <w:webHidden/>
              </w:rPr>
            </w:r>
            <w:r w:rsidR="00A62691">
              <w:rPr>
                <w:noProof/>
                <w:webHidden/>
              </w:rPr>
              <w:fldChar w:fldCharType="separate"/>
            </w:r>
            <w:r w:rsidR="00AC0696">
              <w:rPr>
                <w:noProof/>
                <w:webHidden/>
              </w:rPr>
              <w:t>19</w:t>
            </w:r>
            <w:r w:rsidR="00A62691">
              <w:rPr>
                <w:noProof/>
                <w:webHidden/>
              </w:rPr>
              <w:fldChar w:fldCharType="end"/>
            </w:r>
          </w:hyperlink>
        </w:p>
        <w:p w14:paraId="0A59CDAF" w14:textId="2B2E43CB"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2" w:history="1">
            <w:r w:rsidR="00A62691" w:rsidRPr="00832288">
              <w:rPr>
                <w:rStyle w:val="Hyperlink"/>
                <w:rFonts w:cs="Times New Roman"/>
                <w:noProof/>
              </w:rPr>
              <w:t>4.3.  Recession Data</w:t>
            </w:r>
            <w:r w:rsidR="00A62691">
              <w:rPr>
                <w:noProof/>
                <w:webHidden/>
              </w:rPr>
              <w:tab/>
            </w:r>
            <w:r w:rsidR="00A62691">
              <w:rPr>
                <w:noProof/>
                <w:webHidden/>
              </w:rPr>
              <w:fldChar w:fldCharType="begin"/>
            </w:r>
            <w:r w:rsidR="00A62691">
              <w:rPr>
                <w:noProof/>
                <w:webHidden/>
              </w:rPr>
              <w:instrText xml:space="preserve"> PAGEREF _Toc37338052 \h </w:instrText>
            </w:r>
            <w:r w:rsidR="00A62691">
              <w:rPr>
                <w:noProof/>
                <w:webHidden/>
              </w:rPr>
            </w:r>
            <w:r w:rsidR="00A62691">
              <w:rPr>
                <w:noProof/>
                <w:webHidden/>
              </w:rPr>
              <w:fldChar w:fldCharType="separate"/>
            </w:r>
            <w:r w:rsidR="00AC0696">
              <w:rPr>
                <w:noProof/>
                <w:webHidden/>
              </w:rPr>
              <w:t>20</w:t>
            </w:r>
            <w:r w:rsidR="00A62691">
              <w:rPr>
                <w:noProof/>
                <w:webHidden/>
              </w:rPr>
              <w:fldChar w:fldCharType="end"/>
            </w:r>
          </w:hyperlink>
        </w:p>
        <w:p w14:paraId="32346AD9" w14:textId="7241D3E5"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53" w:history="1">
            <w:r w:rsidR="00A62691" w:rsidRPr="00832288">
              <w:rPr>
                <w:rStyle w:val="Hyperlink"/>
                <w:rFonts w:cs="Times New Roman"/>
                <w:noProof/>
              </w:rPr>
              <w:t>5.  Empirical Results</w:t>
            </w:r>
            <w:r w:rsidR="00A62691">
              <w:rPr>
                <w:noProof/>
                <w:webHidden/>
              </w:rPr>
              <w:tab/>
            </w:r>
            <w:r w:rsidR="00A62691">
              <w:rPr>
                <w:noProof/>
                <w:webHidden/>
              </w:rPr>
              <w:fldChar w:fldCharType="begin"/>
            </w:r>
            <w:r w:rsidR="00A62691">
              <w:rPr>
                <w:noProof/>
                <w:webHidden/>
              </w:rPr>
              <w:instrText xml:space="preserve"> PAGEREF _Toc37338053 \h </w:instrText>
            </w:r>
            <w:r w:rsidR="00A62691">
              <w:rPr>
                <w:noProof/>
                <w:webHidden/>
              </w:rPr>
            </w:r>
            <w:r w:rsidR="00A62691">
              <w:rPr>
                <w:noProof/>
                <w:webHidden/>
              </w:rPr>
              <w:fldChar w:fldCharType="separate"/>
            </w:r>
            <w:r w:rsidR="00AC0696">
              <w:rPr>
                <w:noProof/>
                <w:webHidden/>
              </w:rPr>
              <w:t>25</w:t>
            </w:r>
            <w:r w:rsidR="00A62691">
              <w:rPr>
                <w:noProof/>
                <w:webHidden/>
              </w:rPr>
              <w:fldChar w:fldCharType="end"/>
            </w:r>
          </w:hyperlink>
        </w:p>
        <w:p w14:paraId="1FF3CA1F" w14:textId="3994D15F"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4" w:history="1">
            <w:r w:rsidR="00A62691" w:rsidRPr="00832288">
              <w:rPr>
                <w:rStyle w:val="Hyperlink"/>
                <w:rFonts w:cs="Times New Roman"/>
                <w:noProof/>
              </w:rPr>
              <w:t>5.1.  Recession Forecasting</w:t>
            </w:r>
            <w:r w:rsidR="00A62691">
              <w:rPr>
                <w:noProof/>
                <w:webHidden/>
              </w:rPr>
              <w:tab/>
            </w:r>
            <w:r w:rsidR="00A62691">
              <w:rPr>
                <w:noProof/>
                <w:webHidden/>
              </w:rPr>
              <w:fldChar w:fldCharType="begin"/>
            </w:r>
            <w:r w:rsidR="00A62691">
              <w:rPr>
                <w:noProof/>
                <w:webHidden/>
              </w:rPr>
              <w:instrText xml:space="preserve"> PAGEREF _Toc37338054 \h </w:instrText>
            </w:r>
            <w:r w:rsidR="00A62691">
              <w:rPr>
                <w:noProof/>
                <w:webHidden/>
              </w:rPr>
            </w:r>
            <w:r w:rsidR="00A62691">
              <w:rPr>
                <w:noProof/>
                <w:webHidden/>
              </w:rPr>
              <w:fldChar w:fldCharType="separate"/>
            </w:r>
            <w:r w:rsidR="00AC0696">
              <w:rPr>
                <w:noProof/>
                <w:webHidden/>
              </w:rPr>
              <w:t>25</w:t>
            </w:r>
            <w:r w:rsidR="00A62691">
              <w:rPr>
                <w:noProof/>
                <w:webHidden/>
              </w:rPr>
              <w:fldChar w:fldCharType="end"/>
            </w:r>
          </w:hyperlink>
        </w:p>
        <w:p w14:paraId="669DBF15" w14:textId="7C298790"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5" w:history="1">
            <w:r w:rsidR="00A62691" w:rsidRPr="00832288">
              <w:rPr>
                <w:rStyle w:val="Hyperlink"/>
                <w:rFonts w:cs="Times New Roman"/>
                <w:noProof/>
              </w:rPr>
              <w:t>5.2.  Real GDP Forecasting</w:t>
            </w:r>
            <w:r w:rsidR="00A62691">
              <w:rPr>
                <w:noProof/>
                <w:webHidden/>
              </w:rPr>
              <w:tab/>
            </w:r>
            <w:r w:rsidR="00A62691">
              <w:rPr>
                <w:noProof/>
                <w:webHidden/>
              </w:rPr>
              <w:fldChar w:fldCharType="begin"/>
            </w:r>
            <w:r w:rsidR="00A62691">
              <w:rPr>
                <w:noProof/>
                <w:webHidden/>
              </w:rPr>
              <w:instrText xml:space="preserve"> PAGEREF _Toc37338055 \h </w:instrText>
            </w:r>
            <w:r w:rsidR="00A62691">
              <w:rPr>
                <w:noProof/>
                <w:webHidden/>
              </w:rPr>
            </w:r>
            <w:r w:rsidR="00A62691">
              <w:rPr>
                <w:noProof/>
                <w:webHidden/>
              </w:rPr>
              <w:fldChar w:fldCharType="separate"/>
            </w:r>
            <w:r w:rsidR="00AC0696">
              <w:rPr>
                <w:noProof/>
                <w:webHidden/>
              </w:rPr>
              <w:t>30</w:t>
            </w:r>
            <w:r w:rsidR="00A62691">
              <w:rPr>
                <w:noProof/>
                <w:webHidden/>
              </w:rPr>
              <w:fldChar w:fldCharType="end"/>
            </w:r>
          </w:hyperlink>
        </w:p>
        <w:p w14:paraId="4CB86ED5" w14:textId="75DD48E8"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56" w:history="1">
            <w:r w:rsidR="00A62691" w:rsidRPr="00832288">
              <w:rPr>
                <w:rStyle w:val="Hyperlink"/>
                <w:rFonts w:cs="Times New Roman"/>
                <w:noProof/>
              </w:rPr>
              <w:t>5.3.  Inflation Forecasting</w:t>
            </w:r>
            <w:r w:rsidR="00A62691">
              <w:rPr>
                <w:noProof/>
                <w:webHidden/>
              </w:rPr>
              <w:tab/>
            </w:r>
            <w:r w:rsidR="00A62691">
              <w:rPr>
                <w:noProof/>
                <w:webHidden/>
              </w:rPr>
              <w:fldChar w:fldCharType="begin"/>
            </w:r>
            <w:r w:rsidR="00A62691">
              <w:rPr>
                <w:noProof/>
                <w:webHidden/>
              </w:rPr>
              <w:instrText xml:space="preserve"> PAGEREF _Toc37338056 \h </w:instrText>
            </w:r>
            <w:r w:rsidR="00A62691">
              <w:rPr>
                <w:noProof/>
                <w:webHidden/>
              </w:rPr>
            </w:r>
            <w:r w:rsidR="00A62691">
              <w:rPr>
                <w:noProof/>
                <w:webHidden/>
              </w:rPr>
              <w:fldChar w:fldCharType="separate"/>
            </w:r>
            <w:r w:rsidR="00AC0696">
              <w:rPr>
                <w:noProof/>
                <w:webHidden/>
              </w:rPr>
              <w:t>31</w:t>
            </w:r>
            <w:r w:rsidR="00A62691">
              <w:rPr>
                <w:noProof/>
                <w:webHidden/>
              </w:rPr>
              <w:fldChar w:fldCharType="end"/>
            </w:r>
          </w:hyperlink>
        </w:p>
        <w:p w14:paraId="5A80B1ED" w14:textId="3493B611"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57" w:history="1">
            <w:r w:rsidR="00A62691" w:rsidRPr="00832288">
              <w:rPr>
                <w:rStyle w:val="Hyperlink"/>
                <w:rFonts w:cs="Times New Roman"/>
                <w:noProof/>
              </w:rPr>
              <w:t>6.  Conclusion</w:t>
            </w:r>
            <w:r w:rsidR="00A62691">
              <w:rPr>
                <w:noProof/>
                <w:webHidden/>
              </w:rPr>
              <w:tab/>
            </w:r>
            <w:r w:rsidR="00A62691">
              <w:rPr>
                <w:noProof/>
                <w:webHidden/>
              </w:rPr>
              <w:fldChar w:fldCharType="begin"/>
            </w:r>
            <w:r w:rsidR="00A62691">
              <w:rPr>
                <w:noProof/>
                <w:webHidden/>
              </w:rPr>
              <w:instrText xml:space="preserve"> PAGEREF _Toc37338057 \h </w:instrText>
            </w:r>
            <w:r w:rsidR="00A62691">
              <w:rPr>
                <w:noProof/>
                <w:webHidden/>
              </w:rPr>
            </w:r>
            <w:r w:rsidR="00A62691">
              <w:rPr>
                <w:noProof/>
                <w:webHidden/>
              </w:rPr>
              <w:fldChar w:fldCharType="separate"/>
            </w:r>
            <w:r w:rsidR="00AC0696">
              <w:rPr>
                <w:noProof/>
                <w:webHidden/>
              </w:rPr>
              <w:t>33</w:t>
            </w:r>
            <w:r w:rsidR="00A62691">
              <w:rPr>
                <w:noProof/>
                <w:webHidden/>
              </w:rPr>
              <w:fldChar w:fldCharType="end"/>
            </w:r>
          </w:hyperlink>
        </w:p>
        <w:p w14:paraId="1636B50E" w14:textId="568091E0"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58" w:history="1">
            <w:r w:rsidR="00A62691" w:rsidRPr="00832288">
              <w:rPr>
                <w:rStyle w:val="Hyperlink"/>
                <w:rFonts w:cs="Times New Roman"/>
                <w:noProof/>
              </w:rPr>
              <w:t>References</w:t>
            </w:r>
            <w:r w:rsidR="00A62691">
              <w:rPr>
                <w:noProof/>
                <w:webHidden/>
              </w:rPr>
              <w:tab/>
            </w:r>
            <w:r w:rsidR="00A62691">
              <w:rPr>
                <w:noProof/>
                <w:webHidden/>
              </w:rPr>
              <w:fldChar w:fldCharType="begin"/>
            </w:r>
            <w:r w:rsidR="00A62691">
              <w:rPr>
                <w:noProof/>
                <w:webHidden/>
              </w:rPr>
              <w:instrText xml:space="preserve"> PAGEREF _Toc37338058 \h </w:instrText>
            </w:r>
            <w:r w:rsidR="00A62691">
              <w:rPr>
                <w:noProof/>
                <w:webHidden/>
              </w:rPr>
            </w:r>
            <w:r w:rsidR="00A62691">
              <w:rPr>
                <w:noProof/>
                <w:webHidden/>
              </w:rPr>
              <w:fldChar w:fldCharType="separate"/>
            </w:r>
            <w:r w:rsidR="00AC0696">
              <w:rPr>
                <w:noProof/>
                <w:webHidden/>
              </w:rPr>
              <w:t>36</w:t>
            </w:r>
            <w:r w:rsidR="00A62691">
              <w:rPr>
                <w:noProof/>
                <w:webHidden/>
              </w:rPr>
              <w:fldChar w:fldCharType="end"/>
            </w:r>
          </w:hyperlink>
        </w:p>
        <w:p w14:paraId="4BCC9966" w14:textId="67118246" w:rsidR="00A62691" w:rsidRDefault="009C4B5A">
          <w:pPr>
            <w:pStyle w:val="TOC1"/>
            <w:tabs>
              <w:tab w:val="right" w:leader="dot" w:pos="9350"/>
            </w:tabs>
            <w:rPr>
              <w:rFonts w:asciiTheme="minorHAnsi" w:eastAsiaTheme="minorEastAsia" w:hAnsiTheme="minorHAnsi"/>
              <w:noProof/>
              <w:sz w:val="22"/>
              <w:szCs w:val="22"/>
              <w:lang w:val="en-CA" w:eastAsia="en-CA"/>
            </w:rPr>
          </w:pPr>
          <w:hyperlink w:anchor="_Toc37338059" w:history="1">
            <w:r w:rsidR="00A62691" w:rsidRPr="00832288">
              <w:rPr>
                <w:rStyle w:val="Hyperlink"/>
                <w:noProof/>
              </w:rPr>
              <w:t>Appendix</w:t>
            </w:r>
            <w:r w:rsidR="00A62691">
              <w:rPr>
                <w:noProof/>
                <w:webHidden/>
              </w:rPr>
              <w:tab/>
            </w:r>
            <w:r w:rsidR="00A62691">
              <w:rPr>
                <w:noProof/>
                <w:webHidden/>
              </w:rPr>
              <w:fldChar w:fldCharType="begin"/>
            </w:r>
            <w:r w:rsidR="00A62691">
              <w:rPr>
                <w:noProof/>
                <w:webHidden/>
              </w:rPr>
              <w:instrText xml:space="preserve"> PAGEREF _Toc37338059 \h </w:instrText>
            </w:r>
            <w:r w:rsidR="00A62691">
              <w:rPr>
                <w:noProof/>
                <w:webHidden/>
              </w:rPr>
            </w:r>
            <w:r w:rsidR="00A62691">
              <w:rPr>
                <w:noProof/>
                <w:webHidden/>
              </w:rPr>
              <w:fldChar w:fldCharType="separate"/>
            </w:r>
            <w:r w:rsidR="00AC0696">
              <w:rPr>
                <w:noProof/>
                <w:webHidden/>
              </w:rPr>
              <w:t>41</w:t>
            </w:r>
            <w:r w:rsidR="00A62691">
              <w:rPr>
                <w:noProof/>
                <w:webHidden/>
              </w:rPr>
              <w:fldChar w:fldCharType="end"/>
            </w:r>
          </w:hyperlink>
        </w:p>
        <w:p w14:paraId="0325CA8E" w14:textId="46A13746"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60" w:history="1">
            <w:r w:rsidR="00A62691" w:rsidRPr="00832288">
              <w:rPr>
                <w:rStyle w:val="Hyperlink"/>
                <w:rFonts w:eastAsia="Times New Roman"/>
                <w:noProof/>
              </w:rPr>
              <w:t>Appendix A</w:t>
            </w:r>
            <w:r w:rsidR="00A62691">
              <w:rPr>
                <w:noProof/>
                <w:webHidden/>
              </w:rPr>
              <w:tab/>
            </w:r>
            <w:r w:rsidR="00A62691">
              <w:rPr>
                <w:noProof/>
                <w:webHidden/>
              </w:rPr>
              <w:fldChar w:fldCharType="begin"/>
            </w:r>
            <w:r w:rsidR="00A62691">
              <w:rPr>
                <w:noProof/>
                <w:webHidden/>
              </w:rPr>
              <w:instrText xml:space="preserve"> PAGEREF _Toc37338060 \h </w:instrText>
            </w:r>
            <w:r w:rsidR="00A62691">
              <w:rPr>
                <w:noProof/>
                <w:webHidden/>
              </w:rPr>
            </w:r>
            <w:r w:rsidR="00A62691">
              <w:rPr>
                <w:noProof/>
                <w:webHidden/>
              </w:rPr>
              <w:fldChar w:fldCharType="separate"/>
            </w:r>
            <w:r w:rsidR="00AC0696">
              <w:rPr>
                <w:noProof/>
                <w:webHidden/>
              </w:rPr>
              <w:t>41</w:t>
            </w:r>
            <w:r w:rsidR="00A62691">
              <w:rPr>
                <w:noProof/>
                <w:webHidden/>
              </w:rPr>
              <w:fldChar w:fldCharType="end"/>
            </w:r>
          </w:hyperlink>
        </w:p>
        <w:p w14:paraId="5BD85DA9" w14:textId="6D434BE2" w:rsidR="00A62691" w:rsidRDefault="009C4B5A">
          <w:pPr>
            <w:pStyle w:val="TOC2"/>
            <w:tabs>
              <w:tab w:val="right" w:leader="dot" w:pos="9350"/>
            </w:tabs>
            <w:rPr>
              <w:rFonts w:asciiTheme="minorHAnsi" w:eastAsiaTheme="minorEastAsia" w:hAnsiTheme="minorHAnsi"/>
              <w:noProof/>
              <w:sz w:val="22"/>
              <w:szCs w:val="22"/>
              <w:lang w:val="en-CA" w:eastAsia="en-CA"/>
            </w:rPr>
          </w:pPr>
          <w:hyperlink w:anchor="_Toc37338061" w:history="1">
            <w:r w:rsidR="00A62691" w:rsidRPr="00832288">
              <w:rPr>
                <w:rStyle w:val="Hyperlink"/>
                <w:noProof/>
              </w:rPr>
              <w:t>Appendix B</w:t>
            </w:r>
            <w:r w:rsidR="00A62691">
              <w:rPr>
                <w:noProof/>
                <w:webHidden/>
              </w:rPr>
              <w:tab/>
            </w:r>
            <w:r w:rsidR="00A62691">
              <w:rPr>
                <w:noProof/>
                <w:webHidden/>
              </w:rPr>
              <w:fldChar w:fldCharType="begin"/>
            </w:r>
            <w:r w:rsidR="00A62691">
              <w:rPr>
                <w:noProof/>
                <w:webHidden/>
              </w:rPr>
              <w:instrText xml:space="preserve"> PAGEREF _Toc37338061 \h </w:instrText>
            </w:r>
            <w:r w:rsidR="00A62691">
              <w:rPr>
                <w:noProof/>
                <w:webHidden/>
              </w:rPr>
            </w:r>
            <w:r w:rsidR="00A62691">
              <w:rPr>
                <w:noProof/>
                <w:webHidden/>
              </w:rPr>
              <w:fldChar w:fldCharType="separate"/>
            </w:r>
            <w:r w:rsidR="00AC0696">
              <w:rPr>
                <w:noProof/>
                <w:webHidden/>
              </w:rPr>
              <w:t>41</w:t>
            </w:r>
            <w:r w:rsidR="00A62691">
              <w:rPr>
                <w:noProof/>
                <w:webHidden/>
              </w:rPr>
              <w:fldChar w:fldCharType="end"/>
            </w:r>
          </w:hyperlink>
        </w:p>
        <w:p w14:paraId="690EBB11" w14:textId="168DFF74" w:rsidR="00011624" w:rsidRDefault="00011624">
          <w:pPr>
            <w:rPr>
              <w:rFonts w:cs="Times New Roman"/>
              <w:b/>
              <w:bCs/>
              <w:noProof/>
            </w:rPr>
          </w:pPr>
          <w:r w:rsidRPr="006B5B91">
            <w:rPr>
              <w:rFonts w:cs="Times New Roman"/>
              <w:b/>
              <w:bCs/>
              <w:noProof/>
            </w:rPr>
            <w:fldChar w:fldCharType="end"/>
          </w:r>
        </w:p>
      </w:sdtContent>
    </w:sdt>
    <w:p w14:paraId="6EB2197C" w14:textId="43526E6E" w:rsidR="00FD0B8D" w:rsidRDefault="00FD0B8D">
      <w:pPr>
        <w:rPr>
          <w:rFonts w:cs="Times New Roman"/>
        </w:rPr>
      </w:pPr>
    </w:p>
    <w:p w14:paraId="4C634881" w14:textId="17E14ED6" w:rsidR="007720DA" w:rsidRDefault="007720DA">
      <w:pPr>
        <w:rPr>
          <w:rFonts w:cs="Times New Roman"/>
        </w:rPr>
      </w:pPr>
    </w:p>
    <w:p w14:paraId="399A36A4" w14:textId="6C2F15AE" w:rsidR="007720DA" w:rsidRDefault="007720DA">
      <w:pPr>
        <w:rPr>
          <w:rFonts w:cs="Times New Roman"/>
        </w:rPr>
      </w:pPr>
    </w:p>
    <w:p w14:paraId="655FA7D3" w14:textId="199A74AD" w:rsidR="007720DA" w:rsidRDefault="007720DA" w:rsidP="00AD1ECB">
      <w:pPr>
        <w:pStyle w:val="TOCHeading"/>
        <w:spacing w:line="360" w:lineRule="auto"/>
        <w:rPr>
          <w:rFonts w:cs="Times New Roman"/>
        </w:rPr>
      </w:pPr>
      <w:r>
        <w:rPr>
          <w:rFonts w:cs="Times New Roman"/>
        </w:rPr>
        <w:lastRenderedPageBreak/>
        <w:t>List of Figures</w:t>
      </w:r>
    </w:p>
    <w:p w14:paraId="557AE0CC" w14:textId="1A3FDF0C" w:rsidR="00D71369" w:rsidRPr="00AD1ECB" w:rsidRDefault="00D71369">
      <w:pPr>
        <w:rPr>
          <w:lang w:val="en-US" w:eastAsia="ja-JP"/>
        </w:rPr>
      </w:pPr>
      <w:r>
        <w:rPr>
          <w:lang w:val="en-US" w:eastAsia="ja-JP"/>
        </w:rPr>
        <w:t>Figure</w:t>
      </w:r>
    </w:p>
    <w:p w14:paraId="73E2A41D" w14:textId="1E94B3BB" w:rsidR="00CB44C9" w:rsidRPr="00CB44C9" w:rsidRDefault="00DD3DFE"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Fonts w:cs="Times New Roman"/>
        </w:rPr>
        <w:t xml:space="preserve">  </w:t>
      </w:r>
      <w:r w:rsidR="00DA5E82" w:rsidRPr="00AD1ECB">
        <w:rPr>
          <w:rFonts w:cs="Times New Roman"/>
        </w:rPr>
        <w:fldChar w:fldCharType="begin"/>
      </w:r>
      <w:r w:rsidR="00DA5E82" w:rsidRPr="00CB44C9">
        <w:rPr>
          <w:rFonts w:cs="Times New Roman"/>
        </w:rPr>
        <w:instrText xml:space="preserve"> TOC \h \z \c "Figure" </w:instrText>
      </w:r>
      <w:r w:rsidR="00DA5E82" w:rsidRPr="00AD1ECB">
        <w:rPr>
          <w:rFonts w:cs="Times New Roman"/>
        </w:rPr>
        <w:fldChar w:fldCharType="separate"/>
      </w:r>
      <w:hyperlink w:anchor="_Toc37263452" w:history="1">
        <w:r w:rsidR="00CB44C9" w:rsidRPr="00AD1ECB">
          <w:rPr>
            <w:rStyle w:val="Hyperlink"/>
            <w:rFonts w:cs="Times New Roman"/>
            <w:noProof/>
          </w:rPr>
          <w:t>1</w:t>
        </w:r>
        <w:r w:rsidR="00CB44C9" w:rsidRPr="00CB44C9">
          <w:rPr>
            <w:rStyle w:val="Hyperlink"/>
            <w:rFonts w:cs="Times New Roman"/>
            <w:noProof/>
          </w:rPr>
          <w:t xml:space="preserve">. U.S. </w:t>
        </w:r>
        <w:r w:rsidR="00CB44C9">
          <w:rPr>
            <w:rStyle w:val="Hyperlink"/>
            <w:rFonts w:cs="Times New Roman"/>
            <w:noProof/>
          </w:rPr>
          <w:t>Y</w:t>
        </w:r>
        <w:r w:rsidR="00CB44C9" w:rsidRPr="00CB44C9">
          <w:rPr>
            <w:rStyle w:val="Hyperlink"/>
            <w:rFonts w:cs="Times New Roman"/>
            <w:noProof/>
          </w:rPr>
          <w:t xml:space="preserve">ield </w:t>
        </w:r>
        <w:r w:rsidR="00CB44C9">
          <w:rPr>
            <w:rStyle w:val="Hyperlink"/>
            <w:rFonts w:cs="Times New Roman"/>
            <w:noProof/>
          </w:rPr>
          <w:t>S</w:t>
        </w:r>
        <w:r w:rsidR="00CB44C9" w:rsidRPr="00CB44C9">
          <w:rPr>
            <w:rStyle w:val="Hyperlink"/>
            <w:rFonts w:cs="Times New Roman"/>
            <w:noProof/>
          </w:rPr>
          <w:t xml:space="preserve">preads and </w:t>
        </w:r>
        <w:r w:rsidR="00CB44C9">
          <w:rPr>
            <w:rStyle w:val="Hyperlink"/>
            <w:rFonts w:cs="Times New Roman"/>
            <w:noProof/>
          </w:rPr>
          <w:t>R</w:t>
        </w:r>
        <w:r w:rsidR="00CB44C9" w:rsidRPr="00CB44C9">
          <w:rPr>
            <w:rStyle w:val="Hyperlink"/>
            <w:rFonts w:cs="Times New Roman"/>
            <w:noProof/>
          </w:rPr>
          <w:t>ecessions from 1977 to 2019</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_Toc37263452 \h </w:instrText>
        </w:r>
        <w:r w:rsidR="00CB44C9" w:rsidRPr="00AD1ECB">
          <w:rPr>
            <w:noProof/>
            <w:webHidden/>
          </w:rPr>
        </w:r>
        <w:r w:rsidR="00CB44C9" w:rsidRPr="00AD1ECB">
          <w:rPr>
            <w:noProof/>
            <w:webHidden/>
          </w:rPr>
          <w:fldChar w:fldCharType="separate"/>
        </w:r>
        <w:r w:rsidR="00AC0696">
          <w:rPr>
            <w:noProof/>
            <w:webHidden/>
          </w:rPr>
          <w:t>6</w:t>
        </w:r>
        <w:r w:rsidR="00CB44C9" w:rsidRPr="00AD1ECB">
          <w:rPr>
            <w:noProof/>
            <w:webHidden/>
          </w:rPr>
          <w:fldChar w:fldCharType="end"/>
        </w:r>
      </w:hyperlink>
    </w:p>
    <w:p w14:paraId="58BEE312" w14:textId="5F0B4DDF" w:rsidR="00CB44C9" w:rsidRPr="00CB44C9"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Style w:val="Hyperlink"/>
          <w:noProof/>
          <w:u w:val="none"/>
        </w:rPr>
        <w:t xml:space="preserve">  </w:t>
      </w:r>
      <w:hyperlink w:anchor="_Toc37263453" w:history="1">
        <w:r w:rsidR="00CB44C9" w:rsidRPr="00AD1ECB">
          <w:rPr>
            <w:rStyle w:val="Hyperlink"/>
            <w:rFonts w:cs="Times New Roman"/>
            <w:noProof/>
          </w:rPr>
          <w:t>2</w:t>
        </w:r>
        <w:r w:rsidR="00CB44C9" w:rsidRPr="00CB44C9">
          <w:rPr>
            <w:rStyle w:val="Hyperlink"/>
            <w:rFonts w:cs="Times New Roman"/>
            <w:noProof/>
          </w:rPr>
          <w:t xml:space="preserve">. Canadian </w:t>
        </w:r>
        <w:r w:rsidR="00CB44C9">
          <w:rPr>
            <w:rStyle w:val="Hyperlink"/>
            <w:rFonts w:cs="Times New Roman"/>
            <w:noProof/>
          </w:rPr>
          <w:t>Y</w:t>
        </w:r>
        <w:r w:rsidR="00CB44C9" w:rsidRPr="00CB44C9">
          <w:rPr>
            <w:rStyle w:val="Hyperlink"/>
            <w:rFonts w:cs="Times New Roman"/>
            <w:noProof/>
          </w:rPr>
          <w:t xml:space="preserve">ield </w:t>
        </w:r>
        <w:r w:rsidR="00CB44C9">
          <w:rPr>
            <w:rStyle w:val="Hyperlink"/>
            <w:rFonts w:cs="Times New Roman"/>
            <w:noProof/>
          </w:rPr>
          <w:t>S</w:t>
        </w:r>
        <w:r w:rsidR="00CB44C9" w:rsidRPr="00CB44C9">
          <w:rPr>
            <w:rStyle w:val="Hyperlink"/>
            <w:rFonts w:cs="Times New Roman"/>
            <w:noProof/>
          </w:rPr>
          <w:t xml:space="preserve">preads and </w:t>
        </w:r>
        <w:r w:rsidR="00CB44C9">
          <w:rPr>
            <w:rStyle w:val="Hyperlink"/>
            <w:rFonts w:cs="Times New Roman"/>
            <w:noProof/>
          </w:rPr>
          <w:t>R</w:t>
        </w:r>
        <w:r w:rsidR="00CB44C9" w:rsidRPr="00CB44C9">
          <w:rPr>
            <w:rStyle w:val="Hyperlink"/>
            <w:rFonts w:cs="Times New Roman"/>
            <w:noProof/>
          </w:rPr>
          <w:t>ecessions from 1962 to 2019</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_Toc37263453 \h </w:instrText>
        </w:r>
        <w:r w:rsidR="00CB44C9" w:rsidRPr="00AD1ECB">
          <w:rPr>
            <w:noProof/>
            <w:webHidden/>
          </w:rPr>
        </w:r>
        <w:r w:rsidR="00CB44C9" w:rsidRPr="00AD1ECB">
          <w:rPr>
            <w:noProof/>
            <w:webHidden/>
          </w:rPr>
          <w:fldChar w:fldCharType="separate"/>
        </w:r>
        <w:r w:rsidR="00AC0696">
          <w:rPr>
            <w:noProof/>
            <w:webHidden/>
          </w:rPr>
          <w:t>7</w:t>
        </w:r>
        <w:r w:rsidR="00CB44C9" w:rsidRPr="00AD1ECB">
          <w:rPr>
            <w:noProof/>
            <w:webHidden/>
          </w:rPr>
          <w:fldChar w:fldCharType="end"/>
        </w:r>
      </w:hyperlink>
    </w:p>
    <w:p w14:paraId="2E1A112B" w14:textId="466A67BC" w:rsidR="00CB44C9" w:rsidRPr="00CB44C9"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Style w:val="Hyperlink"/>
          <w:noProof/>
          <w:u w:val="none"/>
        </w:rPr>
        <w:t xml:space="preserve">  </w:t>
      </w:r>
      <w:hyperlink w:anchor="_Toc37263454" w:history="1">
        <w:r w:rsidR="00CB44C9" w:rsidRPr="00AD1ECB">
          <w:rPr>
            <w:rStyle w:val="Hyperlink"/>
            <w:rFonts w:cs="Times New Roman"/>
            <w:noProof/>
          </w:rPr>
          <w:t>3</w:t>
        </w:r>
        <w:r w:rsidR="00CB44C9" w:rsidRPr="00CB44C9">
          <w:rPr>
            <w:rStyle w:val="Hyperlink"/>
            <w:rFonts w:cs="Times New Roman"/>
            <w:noProof/>
          </w:rPr>
          <w:t xml:space="preserve">. Shapes of </w:t>
        </w:r>
        <w:r w:rsidR="00CB44C9">
          <w:rPr>
            <w:rStyle w:val="Hyperlink"/>
            <w:rFonts w:cs="Times New Roman"/>
            <w:noProof/>
          </w:rPr>
          <w:t>Y</w:t>
        </w:r>
        <w:r w:rsidR="00CB44C9" w:rsidRPr="00CB44C9">
          <w:rPr>
            <w:rStyle w:val="Hyperlink"/>
            <w:rFonts w:cs="Times New Roman"/>
            <w:noProof/>
          </w:rPr>
          <w:t xml:space="preserve">ield </w:t>
        </w:r>
        <w:r w:rsidR="00CB44C9">
          <w:rPr>
            <w:rStyle w:val="Hyperlink"/>
            <w:rFonts w:cs="Times New Roman"/>
            <w:noProof/>
          </w:rPr>
          <w:t>C</w:t>
        </w:r>
        <w:r w:rsidR="00CB44C9" w:rsidRPr="00CB44C9">
          <w:rPr>
            <w:rStyle w:val="Hyperlink"/>
            <w:rFonts w:cs="Times New Roman"/>
            <w:noProof/>
          </w:rPr>
          <w:t xml:space="preserve">urves for Government of Canada </w:t>
        </w:r>
        <w:r w:rsidR="00CB44C9">
          <w:rPr>
            <w:rStyle w:val="Hyperlink"/>
            <w:rFonts w:cs="Times New Roman"/>
            <w:noProof/>
          </w:rPr>
          <w:t>Z</w:t>
        </w:r>
        <w:r w:rsidR="00CB44C9" w:rsidRPr="00CB44C9">
          <w:rPr>
            <w:rStyle w:val="Hyperlink"/>
            <w:rFonts w:cs="Times New Roman"/>
            <w:noProof/>
          </w:rPr>
          <w:t>ero-</w:t>
        </w:r>
        <w:r w:rsidR="00CB44C9">
          <w:rPr>
            <w:rStyle w:val="Hyperlink"/>
            <w:rFonts w:cs="Times New Roman"/>
            <w:noProof/>
          </w:rPr>
          <w:t>C</w:t>
        </w:r>
        <w:r w:rsidR="00CB44C9" w:rsidRPr="00CB44C9">
          <w:rPr>
            <w:rStyle w:val="Hyperlink"/>
            <w:rFonts w:cs="Times New Roman"/>
            <w:noProof/>
          </w:rPr>
          <w:t xml:space="preserve">oupon </w:t>
        </w:r>
        <w:r w:rsidR="00CB44C9">
          <w:rPr>
            <w:rStyle w:val="Hyperlink"/>
            <w:rFonts w:cs="Times New Roman"/>
            <w:noProof/>
          </w:rPr>
          <w:t>B</w:t>
        </w:r>
        <w:r w:rsidR="00CB44C9" w:rsidRPr="00CB44C9">
          <w:rPr>
            <w:rStyle w:val="Hyperlink"/>
            <w:rFonts w:cs="Times New Roman"/>
            <w:noProof/>
          </w:rPr>
          <w:t>onds</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_Toc37263454 \h </w:instrText>
        </w:r>
        <w:r w:rsidR="00CB44C9" w:rsidRPr="00AD1ECB">
          <w:rPr>
            <w:noProof/>
            <w:webHidden/>
          </w:rPr>
        </w:r>
        <w:r w:rsidR="00CB44C9" w:rsidRPr="00AD1ECB">
          <w:rPr>
            <w:noProof/>
            <w:webHidden/>
          </w:rPr>
          <w:fldChar w:fldCharType="separate"/>
        </w:r>
        <w:r w:rsidR="00AC0696">
          <w:rPr>
            <w:noProof/>
            <w:webHidden/>
          </w:rPr>
          <w:t>8</w:t>
        </w:r>
        <w:r w:rsidR="00CB44C9" w:rsidRPr="00AD1ECB">
          <w:rPr>
            <w:noProof/>
            <w:webHidden/>
          </w:rPr>
          <w:fldChar w:fldCharType="end"/>
        </w:r>
      </w:hyperlink>
    </w:p>
    <w:p w14:paraId="39115A1D" w14:textId="4036C01A" w:rsidR="00CB44C9" w:rsidRPr="00CB44C9"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Style w:val="Hyperlink"/>
          <w:noProof/>
          <w:u w:val="none"/>
        </w:rPr>
        <w:t xml:space="preserve">  </w:t>
      </w:r>
      <w:hyperlink w:anchor="_Toc37263455" w:history="1">
        <w:r w:rsidR="00CB44C9" w:rsidRPr="00AD1ECB">
          <w:rPr>
            <w:rStyle w:val="Hyperlink"/>
            <w:rFonts w:cs="Times New Roman"/>
            <w:noProof/>
          </w:rPr>
          <w:t>4</w:t>
        </w:r>
        <w:r w:rsidR="00CB44C9" w:rsidRPr="00AD1ECB">
          <w:rPr>
            <w:rStyle w:val="Hyperlink"/>
            <w:rFonts w:cs="Times New Roman"/>
            <w:noProof/>
            <w:lang w:val="en-CA"/>
          </w:rPr>
          <w:t>.</w:t>
        </w:r>
        <w:r w:rsidR="00CB44C9" w:rsidRPr="00CB44C9">
          <w:rPr>
            <w:rStyle w:val="Hyperlink"/>
            <w:rFonts w:cs="Times New Roman"/>
            <w:noProof/>
            <w:lang w:val="en-CA"/>
          </w:rPr>
          <w:t xml:space="preserve"> Rank of </w:t>
        </w:r>
        <w:r w:rsidR="00CB44C9">
          <w:rPr>
            <w:rStyle w:val="Hyperlink"/>
            <w:rFonts w:cs="Times New Roman"/>
            <w:noProof/>
            <w:lang w:val="en-CA"/>
          </w:rPr>
          <w:t>D</w:t>
        </w:r>
        <w:r w:rsidR="00CB44C9" w:rsidRPr="00CB44C9">
          <w:rPr>
            <w:rStyle w:val="Hyperlink"/>
            <w:rFonts w:cs="Times New Roman"/>
            <w:noProof/>
            <w:lang w:val="en-CA"/>
          </w:rPr>
          <w:t xml:space="preserve">uration of Canadian </w:t>
        </w:r>
        <w:r w:rsidR="00CB44C9">
          <w:rPr>
            <w:rStyle w:val="Hyperlink"/>
            <w:rFonts w:cs="Times New Roman"/>
            <w:noProof/>
            <w:lang w:val="en-CA"/>
          </w:rPr>
          <w:t>R</w:t>
        </w:r>
        <w:r w:rsidR="00CB44C9" w:rsidRPr="00CB44C9">
          <w:rPr>
            <w:rStyle w:val="Hyperlink"/>
            <w:rFonts w:cs="Times New Roman"/>
            <w:noProof/>
            <w:lang w:val="en-CA"/>
          </w:rPr>
          <w:t>ecessions</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_Toc37263455 \h </w:instrText>
        </w:r>
        <w:r w:rsidR="00CB44C9" w:rsidRPr="00AD1ECB">
          <w:rPr>
            <w:noProof/>
            <w:webHidden/>
          </w:rPr>
        </w:r>
        <w:r w:rsidR="00CB44C9" w:rsidRPr="00AD1ECB">
          <w:rPr>
            <w:noProof/>
            <w:webHidden/>
          </w:rPr>
          <w:fldChar w:fldCharType="separate"/>
        </w:r>
        <w:r w:rsidR="00AC0696">
          <w:rPr>
            <w:noProof/>
            <w:webHidden/>
          </w:rPr>
          <w:t>21</w:t>
        </w:r>
        <w:r w:rsidR="00CB44C9" w:rsidRPr="00AD1ECB">
          <w:rPr>
            <w:noProof/>
            <w:webHidden/>
          </w:rPr>
          <w:fldChar w:fldCharType="end"/>
        </w:r>
      </w:hyperlink>
    </w:p>
    <w:p w14:paraId="69BAECEA" w14:textId="04AE14E6" w:rsidR="00CB44C9" w:rsidRPr="00CB44C9"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Style w:val="Hyperlink"/>
          <w:noProof/>
          <w:u w:val="none"/>
        </w:rPr>
        <w:t xml:space="preserve">  </w:t>
      </w:r>
      <w:hyperlink w:anchor="_Toc37263456" w:history="1">
        <w:r w:rsidR="00CB44C9" w:rsidRPr="00AD1ECB">
          <w:rPr>
            <w:rStyle w:val="Hyperlink"/>
            <w:rFonts w:cs="Times New Roman"/>
            <w:noProof/>
          </w:rPr>
          <w:t>5</w:t>
        </w:r>
        <w:r w:rsidR="00CB44C9" w:rsidRPr="00CB44C9">
          <w:rPr>
            <w:rStyle w:val="Hyperlink"/>
            <w:rFonts w:cs="Times New Roman"/>
            <w:noProof/>
          </w:rPr>
          <w:t xml:space="preserve">. Rank of </w:t>
        </w:r>
        <w:r w:rsidR="00CB44C9">
          <w:rPr>
            <w:rStyle w:val="Hyperlink"/>
            <w:rFonts w:cs="Times New Roman"/>
            <w:noProof/>
          </w:rPr>
          <w:t>S</w:t>
        </w:r>
        <w:r w:rsidR="00CB44C9" w:rsidRPr="00CB44C9">
          <w:rPr>
            <w:rStyle w:val="Hyperlink"/>
            <w:rFonts w:cs="Times New Roman"/>
            <w:noProof/>
          </w:rPr>
          <w:t xml:space="preserve">everity of Canadian </w:t>
        </w:r>
        <w:r w:rsidR="00CB44C9">
          <w:rPr>
            <w:rStyle w:val="Hyperlink"/>
            <w:rFonts w:cs="Times New Roman"/>
            <w:noProof/>
          </w:rPr>
          <w:t>R</w:t>
        </w:r>
        <w:r w:rsidR="00CB44C9" w:rsidRPr="00CB44C9">
          <w:rPr>
            <w:rStyle w:val="Hyperlink"/>
            <w:rFonts w:cs="Times New Roman"/>
            <w:noProof/>
          </w:rPr>
          <w:t>ecessions</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_Toc37263456 \h </w:instrText>
        </w:r>
        <w:r w:rsidR="00CB44C9" w:rsidRPr="00AD1ECB">
          <w:rPr>
            <w:noProof/>
            <w:webHidden/>
          </w:rPr>
        </w:r>
        <w:r w:rsidR="00CB44C9" w:rsidRPr="00AD1ECB">
          <w:rPr>
            <w:noProof/>
            <w:webHidden/>
          </w:rPr>
          <w:fldChar w:fldCharType="separate"/>
        </w:r>
        <w:r w:rsidR="00AC0696">
          <w:rPr>
            <w:noProof/>
            <w:webHidden/>
          </w:rPr>
          <w:t>22</w:t>
        </w:r>
        <w:r w:rsidR="00CB44C9" w:rsidRPr="00AD1ECB">
          <w:rPr>
            <w:noProof/>
            <w:webHidden/>
          </w:rPr>
          <w:fldChar w:fldCharType="end"/>
        </w:r>
      </w:hyperlink>
    </w:p>
    <w:p w14:paraId="431FB9CE" w14:textId="1B9F3994" w:rsidR="00CB44C9" w:rsidRPr="00CB44C9"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Style w:val="Hyperlink"/>
          <w:noProof/>
          <w:u w:val="none"/>
        </w:rPr>
        <w:t xml:space="preserve">  </w:t>
      </w:r>
      <w:hyperlink w:anchor="_Toc37263457" w:history="1">
        <w:r w:rsidR="00CB44C9" w:rsidRPr="00AD1ECB">
          <w:rPr>
            <w:rStyle w:val="Hyperlink"/>
            <w:noProof/>
          </w:rPr>
          <w:t xml:space="preserve">6. </w:t>
        </w:r>
        <w:r w:rsidR="00CB44C9" w:rsidRPr="00CB44C9">
          <w:rPr>
            <w:rStyle w:val="Hyperlink"/>
            <w:noProof/>
          </w:rPr>
          <w:t xml:space="preserve">Fitted </w:t>
        </w:r>
        <w:r w:rsidR="00CB44C9">
          <w:rPr>
            <w:rStyle w:val="Hyperlink"/>
            <w:noProof/>
          </w:rPr>
          <w:t>P</w:t>
        </w:r>
        <w:r w:rsidR="00CB44C9" w:rsidRPr="00CB44C9">
          <w:rPr>
            <w:rStyle w:val="Hyperlink"/>
            <w:noProof/>
          </w:rPr>
          <w:t xml:space="preserve">robabilities of </w:t>
        </w:r>
        <w:r w:rsidR="00CB44C9">
          <w:rPr>
            <w:rStyle w:val="Hyperlink"/>
            <w:noProof/>
          </w:rPr>
          <w:t>R</w:t>
        </w:r>
        <w:r w:rsidR="00CB44C9" w:rsidRPr="00CB44C9">
          <w:rPr>
            <w:rStyle w:val="Hyperlink"/>
            <w:noProof/>
          </w:rPr>
          <w:t xml:space="preserve">ecession </w:t>
        </w:r>
        <w:r w:rsidR="00CB44C9">
          <w:rPr>
            <w:rStyle w:val="Hyperlink"/>
            <w:noProof/>
          </w:rPr>
          <w:t>T</w:t>
        </w:r>
        <w:r w:rsidR="00CB44C9" w:rsidRPr="00CB44C9">
          <w:rPr>
            <w:rStyle w:val="Hyperlink"/>
            <w:noProof/>
          </w:rPr>
          <w:t xml:space="preserve">welve </w:t>
        </w:r>
        <w:r w:rsidR="00CB44C9">
          <w:rPr>
            <w:rStyle w:val="Hyperlink"/>
            <w:noProof/>
          </w:rPr>
          <w:t>M</w:t>
        </w:r>
        <w:r w:rsidR="00CB44C9" w:rsidRPr="00CB44C9">
          <w:rPr>
            <w:rStyle w:val="Hyperlink"/>
            <w:noProof/>
          </w:rPr>
          <w:t xml:space="preserve">onths </w:t>
        </w:r>
        <w:r w:rsidR="00CB44C9">
          <w:rPr>
            <w:rStyle w:val="Hyperlink"/>
            <w:noProof/>
          </w:rPr>
          <w:t>A</w:t>
        </w:r>
        <w:r w:rsidR="00CB44C9" w:rsidRPr="00CB44C9">
          <w:rPr>
            <w:rStyle w:val="Hyperlink"/>
            <w:noProof/>
          </w:rPr>
          <w:t>head</w:t>
        </w:r>
        <w:r w:rsidR="00CB44C9" w:rsidRPr="00CB44C9">
          <w:rPr>
            <w:noProof/>
            <w:webHidden/>
          </w:rPr>
          <w:tab/>
        </w:r>
        <w:r w:rsidR="00CB44C9" w:rsidRPr="00AD1ECB">
          <w:rPr>
            <w:noProof/>
            <w:webHidden/>
          </w:rPr>
          <w:fldChar w:fldCharType="begin"/>
        </w:r>
        <w:r w:rsidR="00CB44C9" w:rsidRPr="00CB44C9">
          <w:rPr>
            <w:noProof/>
            <w:webHidden/>
          </w:rPr>
          <w:instrText xml:space="preserve"> PAGEREF _Toc37263457 \h </w:instrText>
        </w:r>
        <w:r w:rsidR="00CB44C9" w:rsidRPr="00AD1ECB">
          <w:rPr>
            <w:noProof/>
            <w:webHidden/>
          </w:rPr>
        </w:r>
        <w:r w:rsidR="00CB44C9" w:rsidRPr="00AD1ECB">
          <w:rPr>
            <w:noProof/>
            <w:webHidden/>
          </w:rPr>
          <w:fldChar w:fldCharType="separate"/>
        </w:r>
        <w:r w:rsidR="00AC0696">
          <w:rPr>
            <w:noProof/>
            <w:webHidden/>
          </w:rPr>
          <w:t>26</w:t>
        </w:r>
        <w:r w:rsidR="00CB44C9" w:rsidRPr="00AD1ECB">
          <w:rPr>
            <w:noProof/>
            <w:webHidden/>
          </w:rPr>
          <w:fldChar w:fldCharType="end"/>
        </w:r>
      </w:hyperlink>
    </w:p>
    <w:p w14:paraId="3C70B377" w14:textId="3327E3C9" w:rsidR="00011624" w:rsidRDefault="00DA5E82">
      <w:pPr>
        <w:spacing w:line="480" w:lineRule="auto"/>
        <w:rPr>
          <w:rFonts w:cs="Times New Roman"/>
        </w:rPr>
      </w:pPr>
      <w:r w:rsidRPr="00AD1ECB">
        <w:rPr>
          <w:rFonts w:cs="Times New Roman"/>
        </w:rPr>
        <w:fldChar w:fldCharType="end"/>
      </w:r>
    </w:p>
    <w:p w14:paraId="69EDB142" w14:textId="00ABA518" w:rsidR="00DA5E82" w:rsidRDefault="00C03F2F" w:rsidP="00AD1ECB">
      <w:pPr>
        <w:jc w:val="center"/>
        <w:rPr>
          <w:rFonts w:cs="Times New Roman"/>
          <w:b/>
          <w:bCs/>
        </w:rPr>
      </w:pPr>
      <w:r w:rsidRPr="00AD1ECB">
        <w:rPr>
          <w:rFonts w:cs="Times New Roman"/>
          <w:b/>
          <w:bCs/>
        </w:rPr>
        <w:t>List of Tables</w:t>
      </w:r>
    </w:p>
    <w:p w14:paraId="53E93194" w14:textId="7A3B3225" w:rsidR="00C03F2F" w:rsidRPr="00CB44C9" w:rsidRDefault="00C03F2F" w:rsidP="00AD1ECB">
      <w:pPr>
        <w:rPr>
          <w:rFonts w:cs="Times New Roman"/>
        </w:rPr>
      </w:pPr>
      <w:r w:rsidRPr="00AD1ECB">
        <w:rPr>
          <w:rFonts w:cs="Times New Roman"/>
        </w:rPr>
        <w:t>Table</w:t>
      </w:r>
    </w:p>
    <w:p w14:paraId="192ACB92" w14:textId="2C0170DF"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Pr>
          <w:rFonts w:cs="Times New Roman"/>
        </w:rPr>
        <w:t xml:space="preserve">  </w:t>
      </w:r>
      <w:r w:rsidR="00C03F2F">
        <w:rPr>
          <w:rFonts w:cs="Times New Roman"/>
        </w:rPr>
        <w:fldChar w:fldCharType="begin"/>
      </w:r>
      <w:r w:rsidR="00C03F2F">
        <w:rPr>
          <w:rFonts w:cs="Times New Roman"/>
        </w:rPr>
        <w:instrText xml:space="preserve"> TOC \h \z \c "Table" </w:instrText>
      </w:r>
      <w:r w:rsidR="00C03F2F">
        <w:rPr>
          <w:rFonts w:cs="Times New Roman"/>
        </w:rPr>
        <w:fldChar w:fldCharType="separate"/>
      </w:r>
      <w:hyperlink w:anchor="_Toc37261607" w:history="1">
        <w:r w:rsidR="00C03F2F" w:rsidRPr="00B86D3A">
          <w:rPr>
            <w:rStyle w:val="Hyperlink"/>
            <w:noProof/>
          </w:rPr>
          <w:t xml:space="preserve">1. </w:t>
        </w:r>
        <w:r w:rsidR="00C03F2F" w:rsidRPr="00AD1ECB">
          <w:rPr>
            <w:rFonts w:eastAsia="Times New Roman" w:cs="Times New Roman"/>
            <w:color w:val="000000"/>
            <w:lang w:val="en-CA" w:eastAsia="en-CA"/>
          </w:rPr>
          <w:t>C.D. Howe Institute Chronology of Canadian Recessions</w:t>
        </w:r>
        <w:r w:rsidR="00C03F2F" w:rsidRPr="00B86D3A">
          <w:rPr>
            <w:noProof/>
            <w:webHidden/>
          </w:rPr>
          <w:tab/>
        </w:r>
      </w:hyperlink>
      <w:r w:rsidR="008015D4" w:rsidRPr="00763F4D">
        <w:rPr>
          <w:rStyle w:val="Hyperlink"/>
          <w:noProof/>
          <w:color w:val="auto"/>
          <w:u w:val="none"/>
        </w:rPr>
        <w:t>21</w:t>
      </w:r>
    </w:p>
    <w:p w14:paraId="19D05D42" w14:textId="0438D424"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08" w:history="1">
        <w:r w:rsidR="00C03F2F" w:rsidRPr="00763F4D">
          <w:rPr>
            <w:rStyle w:val="Hyperlink"/>
            <w:noProof/>
            <w:color w:val="auto"/>
            <w:u w:val="none"/>
          </w:rPr>
          <w:t>2</w:t>
        </w:r>
        <w:r w:rsidR="00D71369" w:rsidRPr="00763F4D">
          <w:rPr>
            <w:rStyle w:val="Hyperlink"/>
            <w:noProof/>
            <w:color w:val="auto"/>
            <w:u w:val="none"/>
          </w:rPr>
          <w:t xml:space="preserve">. </w:t>
        </w:r>
        <w:r w:rsidR="00D71369" w:rsidRPr="00763F4D">
          <w:rPr>
            <w:rFonts w:eastAsia="Times New Roman" w:cs="Times New Roman"/>
            <w:lang w:val="en-CA" w:eastAsia="en-CA"/>
          </w:rPr>
          <w:t>OECD Chronology of Canadian Recessions</w:t>
        </w:r>
        <w:r w:rsidR="00C03F2F" w:rsidRPr="00763F4D">
          <w:rPr>
            <w:noProof/>
            <w:webHidden/>
          </w:rPr>
          <w:tab/>
        </w:r>
      </w:hyperlink>
      <w:r w:rsidR="008015D4" w:rsidRPr="00763F4D">
        <w:rPr>
          <w:rStyle w:val="Hyperlink"/>
          <w:noProof/>
          <w:color w:val="auto"/>
          <w:u w:val="none"/>
        </w:rPr>
        <w:t>23</w:t>
      </w:r>
    </w:p>
    <w:p w14:paraId="69966FCF" w14:textId="68A255CC"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09" w:history="1">
        <w:r w:rsidR="00C03F2F" w:rsidRPr="00763F4D">
          <w:rPr>
            <w:rStyle w:val="Hyperlink"/>
            <w:noProof/>
            <w:color w:val="auto"/>
            <w:u w:val="none"/>
          </w:rPr>
          <w:t>3</w:t>
        </w:r>
        <w:r w:rsidR="00D71369" w:rsidRPr="00763F4D">
          <w:rPr>
            <w:rStyle w:val="Hyperlink"/>
            <w:noProof/>
            <w:color w:val="auto"/>
            <w:u w:val="none"/>
          </w:rPr>
          <w:t>.</w:t>
        </w:r>
        <w:r w:rsidR="00D71369" w:rsidRPr="00763F4D">
          <w:rPr>
            <w:rFonts w:eastAsia="Times New Roman" w:cs="Times New Roman"/>
            <w:lang w:val="en-CA" w:eastAsia="en-CA"/>
          </w:rPr>
          <w:t xml:space="preserve"> ECRI Chronology of Canadian Recessions</w:t>
        </w:r>
        <w:r w:rsidR="00C03F2F" w:rsidRPr="00763F4D">
          <w:rPr>
            <w:noProof/>
            <w:webHidden/>
          </w:rPr>
          <w:tab/>
        </w:r>
        <w:r w:rsidR="00C03F2F" w:rsidRPr="00763F4D">
          <w:rPr>
            <w:noProof/>
            <w:webHidden/>
          </w:rPr>
          <w:fldChar w:fldCharType="begin"/>
        </w:r>
        <w:r w:rsidR="00C03F2F" w:rsidRPr="00763F4D">
          <w:rPr>
            <w:noProof/>
            <w:webHidden/>
          </w:rPr>
          <w:instrText xml:space="preserve"> PAGEREF _Toc37261609 \h </w:instrText>
        </w:r>
        <w:r w:rsidR="00C03F2F" w:rsidRPr="00763F4D">
          <w:rPr>
            <w:noProof/>
            <w:webHidden/>
          </w:rPr>
        </w:r>
        <w:r w:rsidR="00C03F2F" w:rsidRPr="00763F4D">
          <w:rPr>
            <w:noProof/>
            <w:webHidden/>
          </w:rPr>
          <w:fldChar w:fldCharType="separate"/>
        </w:r>
        <w:r w:rsidR="00AC0696">
          <w:rPr>
            <w:noProof/>
            <w:webHidden/>
          </w:rPr>
          <w:t>24</w:t>
        </w:r>
        <w:r w:rsidR="00C03F2F" w:rsidRPr="00763F4D">
          <w:rPr>
            <w:noProof/>
            <w:webHidden/>
          </w:rPr>
          <w:fldChar w:fldCharType="end"/>
        </w:r>
      </w:hyperlink>
    </w:p>
    <w:p w14:paraId="4B4C594D" w14:textId="530BEF59"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0" w:history="1">
        <w:r w:rsidR="00C03F2F" w:rsidRPr="00763F4D">
          <w:rPr>
            <w:rStyle w:val="Hyperlink"/>
            <w:noProof/>
            <w:color w:val="auto"/>
            <w:u w:val="none"/>
          </w:rPr>
          <w:t>4</w:t>
        </w:r>
        <w:r w:rsidR="00B86D3A" w:rsidRPr="00763F4D">
          <w:rPr>
            <w:rStyle w:val="Hyperlink"/>
            <w:noProof/>
            <w:color w:val="auto"/>
            <w:u w:val="none"/>
          </w:rPr>
          <w:t>.</w:t>
        </w:r>
        <w:r w:rsidR="00D71369" w:rsidRPr="00763F4D">
          <w:rPr>
            <w:rFonts w:eastAsia="Times New Roman" w:cs="Times New Roman"/>
            <w:lang w:val="en-CA" w:eastAsia="en-CA"/>
          </w:rPr>
          <w:t xml:space="preserve"> </w:t>
        </w:r>
        <w:r w:rsidR="00B86D3A" w:rsidRPr="00763F4D">
          <w:rPr>
            <w:rFonts w:eastAsia="Times New Roman" w:cs="Times New Roman"/>
            <w:lang w:val="en-CA" w:eastAsia="en-CA"/>
          </w:rPr>
          <w:t xml:space="preserve">Regression Results of </w:t>
        </w:r>
        <w:r w:rsidR="00D71369" w:rsidRPr="00763F4D">
          <w:rPr>
            <w:rFonts w:eastAsia="Times New Roman" w:cs="Times New Roman"/>
            <w:lang w:val="en-CA" w:eastAsia="en-CA"/>
          </w:rPr>
          <w:t>Recession Forecas</w:t>
        </w:r>
        <w:r w:rsidR="00B86D3A" w:rsidRPr="00763F4D">
          <w:rPr>
            <w:rFonts w:eastAsia="Times New Roman" w:cs="Times New Roman"/>
            <w:lang w:val="en-CA" w:eastAsia="en-CA"/>
          </w:rPr>
          <w:t>ting</w:t>
        </w:r>
        <w:r w:rsidR="00D71369" w:rsidRPr="00763F4D">
          <w:rPr>
            <w:rFonts w:eastAsia="Times New Roman" w:cs="Times New Roman"/>
            <w:lang w:val="en-CA" w:eastAsia="en-CA"/>
          </w:rPr>
          <w:t xml:space="preserve"> using C.D. Howe Institute Recession Dates</w:t>
        </w:r>
        <w:r w:rsidR="00C03F2F" w:rsidRPr="00763F4D">
          <w:rPr>
            <w:noProof/>
            <w:webHidden/>
          </w:rPr>
          <w:tab/>
        </w:r>
        <w:r w:rsidR="00782763">
          <w:rPr>
            <w:noProof/>
            <w:webHidden/>
          </w:rPr>
          <w:t>26</w:t>
        </w:r>
      </w:hyperlink>
    </w:p>
    <w:p w14:paraId="4B0AB78A" w14:textId="58FD41B4"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1" w:history="1">
        <w:r w:rsidR="00C03F2F" w:rsidRPr="00763F4D">
          <w:rPr>
            <w:rStyle w:val="Hyperlink"/>
            <w:noProof/>
            <w:color w:val="auto"/>
            <w:u w:val="none"/>
          </w:rPr>
          <w:t>5</w:t>
        </w:r>
        <w:r w:rsidR="00B86D3A" w:rsidRPr="00763F4D">
          <w:rPr>
            <w:rStyle w:val="Hyperlink"/>
            <w:noProof/>
            <w:color w:val="auto"/>
            <w:u w:val="none"/>
          </w:rPr>
          <w:t>.</w:t>
        </w:r>
        <w:r w:rsidR="00D71369" w:rsidRPr="00763F4D">
          <w:rPr>
            <w:rFonts w:eastAsia="Times New Roman" w:cs="Times New Roman"/>
            <w:lang w:val="en-CA" w:eastAsia="en-CA"/>
          </w:rPr>
          <w:t xml:space="preserve"> </w:t>
        </w:r>
        <w:r w:rsidR="00B86D3A" w:rsidRPr="00763F4D">
          <w:rPr>
            <w:rFonts w:eastAsia="Times New Roman" w:cs="Times New Roman"/>
            <w:lang w:val="en-CA" w:eastAsia="en-CA"/>
          </w:rPr>
          <w:t xml:space="preserve">Regression Results of </w:t>
        </w:r>
        <w:r w:rsidR="00D71369" w:rsidRPr="00763F4D">
          <w:rPr>
            <w:rFonts w:eastAsia="Times New Roman" w:cs="Times New Roman"/>
            <w:lang w:val="en-CA" w:eastAsia="en-CA"/>
          </w:rPr>
          <w:t>Recession Forecast</w:t>
        </w:r>
        <w:r w:rsidR="00B86D3A" w:rsidRPr="00763F4D">
          <w:rPr>
            <w:rFonts w:eastAsia="Times New Roman" w:cs="Times New Roman"/>
            <w:lang w:val="en-CA" w:eastAsia="en-CA"/>
          </w:rPr>
          <w:t>ing</w:t>
        </w:r>
        <w:r w:rsidR="00D71369" w:rsidRPr="00763F4D">
          <w:rPr>
            <w:rFonts w:eastAsia="Times New Roman" w:cs="Times New Roman"/>
            <w:lang w:val="en-CA" w:eastAsia="en-CA"/>
          </w:rPr>
          <w:t xml:space="preserve"> using OECD Recession Dates</w:t>
        </w:r>
        <w:r w:rsidR="00C03F2F" w:rsidRPr="00763F4D">
          <w:rPr>
            <w:noProof/>
            <w:webHidden/>
          </w:rPr>
          <w:tab/>
        </w:r>
        <w:r w:rsidR="00C03F2F" w:rsidRPr="00763F4D">
          <w:rPr>
            <w:noProof/>
            <w:webHidden/>
          </w:rPr>
          <w:fldChar w:fldCharType="begin"/>
        </w:r>
        <w:r w:rsidR="00C03F2F" w:rsidRPr="00763F4D">
          <w:rPr>
            <w:noProof/>
            <w:webHidden/>
          </w:rPr>
          <w:instrText xml:space="preserve"> PAGEREF _Toc37261611 \h </w:instrText>
        </w:r>
        <w:r w:rsidR="00C03F2F" w:rsidRPr="00763F4D">
          <w:rPr>
            <w:noProof/>
            <w:webHidden/>
          </w:rPr>
        </w:r>
        <w:r w:rsidR="00C03F2F" w:rsidRPr="00763F4D">
          <w:rPr>
            <w:noProof/>
            <w:webHidden/>
          </w:rPr>
          <w:fldChar w:fldCharType="separate"/>
        </w:r>
        <w:r w:rsidR="00AC0696">
          <w:rPr>
            <w:noProof/>
            <w:webHidden/>
          </w:rPr>
          <w:t>27</w:t>
        </w:r>
        <w:r w:rsidR="00C03F2F" w:rsidRPr="00763F4D">
          <w:rPr>
            <w:noProof/>
            <w:webHidden/>
          </w:rPr>
          <w:fldChar w:fldCharType="end"/>
        </w:r>
      </w:hyperlink>
    </w:p>
    <w:p w14:paraId="752FF76E" w14:textId="3BA57739"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2" w:history="1">
        <w:r w:rsidR="00C03F2F" w:rsidRPr="00763F4D">
          <w:rPr>
            <w:rStyle w:val="Hyperlink"/>
            <w:noProof/>
            <w:color w:val="auto"/>
            <w:u w:val="none"/>
          </w:rPr>
          <w:t>6</w:t>
        </w:r>
        <w:r w:rsidR="00B86D3A" w:rsidRPr="00763F4D">
          <w:rPr>
            <w:rStyle w:val="Hyperlink"/>
            <w:noProof/>
            <w:color w:val="auto"/>
            <w:u w:val="none"/>
          </w:rPr>
          <w:t>.</w:t>
        </w:r>
        <w:r w:rsidR="00D71369" w:rsidRPr="00763F4D">
          <w:rPr>
            <w:rFonts w:eastAsia="Times New Roman" w:cs="Times New Roman"/>
            <w:lang w:val="en-CA" w:eastAsia="en-CA"/>
          </w:rPr>
          <w:t xml:space="preserve"> </w:t>
        </w:r>
        <w:r w:rsidR="00B86D3A" w:rsidRPr="00763F4D">
          <w:rPr>
            <w:rFonts w:eastAsia="Times New Roman" w:cs="Times New Roman"/>
            <w:lang w:val="en-CA" w:eastAsia="en-CA"/>
          </w:rPr>
          <w:t xml:space="preserve">Regression Results of </w:t>
        </w:r>
        <w:r w:rsidR="00D71369" w:rsidRPr="00763F4D">
          <w:rPr>
            <w:rFonts w:eastAsia="Times New Roman" w:cs="Times New Roman"/>
            <w:lang w:val="en-CA" w:eastAsia="en-CA"/>
          </w:rPr>
          <w:t>Recession Forecast</w:t>
        </w:r>
        <w:r w:rsidR="00B86D3A" w:rsidRPr="00763F4D">
          <w:rPr>
            <w:rFonts w:eastAsia="Times New Roman" w:cs="Times New Roman"/>
            <w:lang w:val="en-CA" w:eastAsia="en-CA"/>
          </w:rPr>
          <w:t>ing</w:t>
        </w:r>
        <w:r w:rsidR="00D71369" w:rsidRPr="00763F4D">
          <w:rPr>
            <w:rFonts w:eastAsia="Times New Roman" w:cs="Times New Roman"/>
            <w:lang w:val="en-CA" w:eastAsia="en-CA"/>
          </w:rPr>
          <w:t xml:space="preserve"> using ECRI Recession Dates</w:t>
        </w:r>
        <w:r w:rsidR="00C03F2F" w:rsidRPr="00763F4D">
          <w:rPr>
            <w:noProof/>
            <w:webHidden/>
          </w:rPr>
          <w:tab/>
        </w:r>
        <w:r w:rsidR="00C03F2F" w:rsidRPr="00763F4D">
          <w:rPr>
            <w:noProof/>
            <w:webHidden/>
          </w:rPr>
          <w:fldChar w:fldCharType="begin"/>
        </w:r>
        <w:r w:rsidR="00C03F2F" w:rsidRPr="00763F4D">
          <w:rPr>
            <w:noProof/>
            <w:webHidden/>
          </w:rPr>
          <w:instrText xml:space="preserve"> PAGEREF _Toc37261612 \h </w:instrText>
        </w:r>
        <w:r w:rsidR="00C03F2F" w:rsidRPr="00763F4D">
          <w:rPr>
            <w:noProof/>
            <w:webHidden/>
          </w:rPr>
        </w:r>
        <w:r w:rsidR="00C03F2F" w:rsidRPr="00763F4D">
          <w:rPr>
            <w:noProof/>
            <w:webHidden/>
          </w:rPr>
          <w:fldChar w:fldCharType="separate"/>
        </w:r>
        <w:r w:rsidR="00AC0696">
          <w:rPr>
            <w:noProof/>
            <w:webHidden/>
          </w:rPr>
          <w:t>28</w:t>
        </w:r>
        <w:r w:rsidR="00C03F2F" w:rsidRPr="00763F4D">
          <w:rPr>
            <w:noProof/>
            <w:webHidden/>
          </w:rPr>
          <w:fldChar w:fldCharType="end"/>
        </w:r>
      </w:hyperlink>
    </w:p>
    <w:p w14:paraId="4C34300B" w14:textId="649E99E0"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3" w:history="1">
        <w:r w:rsidR="00C03F2F" w:rsidRPr="00763F4D">
          <w:rPr>
            <w:rStyle w:val="Hyperlink"/>
            <w:noProof/>
            <w:color w:val="auto"/>
            <w:u w:val="none"/>
          </w:rPr>
          <w:t>7</w:t>
        </w:r>
        <w:r w:rsidR="00B86D3A" w:rsidRPr="00763F4D">
          <w:rPr>
            <w:rStyle w:val="Hyperlink"/>
            <w:noProof/>
            <w:color w:val="auto"/>
            <w:u w:val="none"/>
          </w:rPr>
          <w:t>.</w:t>
        </w:r>
        <w:r w:rsidR="00D71369" w:rsidRPr="00763F4D">
          <w:rPr>
            <w:rFonts w:eastAsia="Times New Roman" w:cs="Times New Roman"/>
            <w:lang w:val="en-CA" w:eastAsia="en-CA"/>
          </w:rPr>
          <w:t xml:space="preserve"> Pseudo R</w:t>
        </w:r>
        <w:r w:rsidR="00D71369" w:rsidRPr="00763F4D">
          <w:rPr>
            <w:rFonts w:eastAsia="Times New Roman" w:cs="Times New Roman"/>
            <w:vertAlign w:val="superscript"/>
            <w:lang w:val="en-CA" w:eastAsia="en-CA"/>
          </w:rPr>
          <w:t>2</w:t>
        </w:r>
        <w:r w:rsidR="00D71369" w:rsidRPr="00763F4D">
          <w:rPr>
            <w:rFonts w:eastAsia="Times New Roman" w:cs="Times New Roman"/>
            <w:lang w:val="en-CA" w:eastAsia="en-CA"/>
          </w:rPr>
          <w:t xml:space="preserve"> Results for Recession Forecasting</w:t>
        </w:r>
        <w:r w:rsidR="00C03F2F" w:rsidRPr="00763F4D">
          <w:rPr>
            <w:noProof/>
            <w:webHidden/>
          </w:rPr>
          <w:tab/>
        </w:r>
        <w:r w:rsidR="00C03F2F" w:rsidRPr="00763F4D">
          <w:rPr>
            <w:noProof/>
            <w:webHidden/>
          </w:rPr>
          <w:fldChar w:fldCharType="begin"/>
        </w:r>
        <w:r w:rsidR="00C03F2F" w:rsidRPr="00763F4D">
          <w:rPr>
            <w:noProof/>
            <w:webHidden/>
          </w:rPr>
          <w:instrText xml:space="preserve"> PAGEREF _Toc37261613 \h </w:instrText>
        </w:r>
        <w:r w:rsidR="00C03F2F" w:rsidRPr="00763F4D">
          <w:rPr>
            <w:noProof/>
            <w:webHidden/>
          </w:rPr>
        </w:r>
        <w:r w:rsidR="00C03F2F" w:rsidRPr="00763F4D">
          <w:rPr>
            <w:noProof/>
            <w:webHidden/>
          </w:rPr>
          <w:fldChar w:fldCharType="separate"/>
        </w:r>
        <w:r w:rsidR="00AC0696">
          <w:rPr>
            <w:noProof/>
            <w:webHidden/>
          </w:rPr>
          <w:t>29</w:t>
        </w:r>
        <w:r w:rsidR="00C03F2F" w:rsidRPr="00763F4D">
          <w:rPr>
            <w:noProof/>
            <w:webHidden/>
          </w:rPr>
          <w:fldChar w:fldCharType="end"/>
        </w:r>
      </w:hyperlink>
    </w:p>
    <w:p w14:paraId="09240438" w14:textId="20A7A91E"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4" w:history="1">
        <w:r w:rsidR="00C03F2F" w:rsidRPr="00763F4D">
          <w:rPr>
            <w:rStyle w:val="Hyperlink"/>
            <w:noProof/>
            <w:color w:val="auto"/>
            <w:u w:val="none"/>
          </w:rPr>
          <w:t>8</w:t>
        </w:r>
        <w:r w:rsidR="00B86D3A" w:rsidRPr="00763F4D">
          <w:rPr>
            <w:rStyle w:val="Hyperlink"/>
            <w:noProof/>
            <w:color w:val="auto"/>
            <w:u w:val="none"/>
          </w:rPr>
          <w:t>.</w:t>
        </w:r>
        <w:r w:rsidR="00B86D3A" w:rsidRPr="00763F4D">
          <w:rPr>
            <w:rFonts w:eastAsia="Times New Roman" w:cs="Times New Roman"/>
            <w:lang w:val="en-CA" w:eastAsia="en-CA"/>
          </w:rPr>
          <w:t xml:space="preserve"> Correlation Among Spreads</w:t>
        </w:r>
        <w:r w:rsidR="00C03F2F" w:rsidRPr="00763F4D">
          <w:rPr>
            <w:noProof/>
            <w:webHidden/>
          </w:rPr>
          <w:tab/>
        </w:r>
        <w:r w:rsidR="00C03F2F" w:rsidRPr="00763F4D">
          <w:rPr>
            <w:noProof/>
            <w:webHidden/>
          </w:rPr>
          <w:fldChar w:fldCharType="begin"/>
        </w:r>
        <w:r w:rsidR="00C03F2F" w:rsidRPr="00763F4D">
          <w:rPr>
            <w:noProof/>
            <w:webHidden/>
          </w:rPr>
          <w:instrText xml:space="preserve"> PAGEREF _Toc37261614 \h </w:instrText>
        </w:r>
        <w:r w:rsidR="00C03F2F" w:rsidRPr="00763F4D">
          <w:rPr>
            <w:noProof/>
            <w:webHidden/>
          </w:rPr>
        </w:r>
        <w:r w:rsidR="00C03F2F" w:rsidRPr="00763F4D">
          <w:rPr>
            <w:noProof/>
            <w:webHidden/>
          </w:rPr>
          <w:fldChar w:fldCharType="separate"/>
        </w:r>
        <w:r w:rsidR="00AC0696">
          <w:rPr>
            <w:noProof/>
            <w:webHidden/>
          </w:rPr>
          <w:t>30</w:t>
        </w:r>
        <w:r w:rsidR="00C03F2F" w:rsidRPr="00763F4D">
          <w:rPr>
            <w:noProof/>
            <w:webHidden/>
          </w:rPr>
          <w:fldChar w:fldCharType="end"/>
        </w:r>
      </w:hyperlink>
    </w:p>
    <w:p w14:paraId="45C2933D" w14:textId="25BA3D64" w:rsidR="00C03F2F" w:rsidRPr="00763F4D"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763F4D">
        <w:rPr>
          <w:rStyle w:val="Hyperlink"/>
          <w:noProof/>
          <w:color w:val="auto"/>
          <w:u w:val="none"/>
        </w:rPr>
        <w:t xml:space="preserve">  </w:t>
      </w:r>
      <w:hyperlink w:anchor="_Toc37261615" w:history="1">
        <w:r w:rsidR="00C03F2F" w:rsidRPr="00763F4D">
          <w:rPr>
            <w:rStyle w:val="Hyperlink"/>
            <w:noProof/>
            <w:color w:val="auto"/>
            <w:u w:val="none"/>
          </w:rPr>
          <w:t>9</w:t>
        </w:r>
        <w:r w:rsidR="00B86D3A" w:rsidRPr="00763F4D">
          <w:rPr>
            <w:rStyle w:val="Hyperlink"/>
            <w:noProof/>
            <w:color w:val="auto"/>
            <w:u w:val="none"/>
          </w:rPr>
          <w:t>.</w:t>
        </w:r>
        <w:r w:rsidR="00B86D3A" w:rsidRPr="00763F4D">
          <w:rPr>
            <w:rFonts w:eastAsia="Times New Roman" w:cs="Times New Roman"/>
            <w:lang w:val="en-CA" w:eastAsia="en-CA"/>
          </w:rPr>
          <w:t xml:space="preserve"> Regression Results of Real GDP Growth Forecasting</w:t>
        </w:r>
        <w:r w:rsidR="00C03F2F" w:rsidRPr="00763F4D">
          <w:rPr>
            <w:noProof/>
            <w:webHidden/>
          </w:rPr>
          <w:tab/>
        </w:r>
      </w:hyperlink>
      <w:r w:rsidR="008015D4" w:rsidRPr="00763F4D">
        <w:rPr>
          <w:rStyle w:val="Hyperlink"/>
          <w:noProof/>
          <w:color w:val="auto"/>
          <w:u w:val="none"/>
        </w:rPr>
        <w:t>31</w:t>
      </w:r>
    </w:p>
    <w:p w14:paraId="54975C28" w14:textId="000C911A" w:rsidR="00C03F2F" w:rsidRPr="00CD063A"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AD1ECB">
        <w:rPr>
          <w:rStyle w:val="Hyperlink"/>
          <w:noProof/>
          <w:u w:val="none"/>
        </w:rPr>
        <w:t xml:space="preserve">  </w:t>
      </w:r>
      <w:hyperlink w:anchor="_Toc37261616" w:history="1">
        <w:r w:rsidR="00C03F2F" w:rsidRPr="00AD1ECB">
          <w:rPr>
            <w:rStyle w:val="Hyperlink"/>
            <w:noProof/>
            <w:u w:val="none"/>
          </w:rPr>
          <w:t>10</w:t>
        </w:r>
        <w:r w:rsidR="00B86D3A" w:rsidRPr="00AD1ECB">
          <w:rPr>
            <w:rStyle w:val="Hyperlink"/>
            <w:noProof/>
            <w:u w:val="none"/>
          </w:rPr>
          <w:t>. Regression Results of Inflation Forecasting</w:t>
        </w:r>
        <w:r w:rsidR="00C03F2F" w:rsidRPr="00CD063A">
          <w:rPr>
            <w:noProof/>
            <w:webHidden/>
          </w:rPr>
          <w:tab/>
        </w:r>
        <w:r w:rsidR="00C03F2F" w:rsidRPr="00AD1ECB">
          <w:rPr>
            <w:noProof/>
            <w:webHidden/>
          </w:rPr>
          <w:fldChar w:fldCharType="begin"/>
        </w:r>
        <w:r w:rsidR="00C03F2F" w:rsidRPr="00CD063A">
          <w:rPr>
            <w:noProof/>
            <w:webHidden/>
          </w:rPr>
          <w:instrText xml:space="preserve"> PAGEREF _Toc37261616 \h </w:instrText>
        </w:r>
        <w:r w:rsidR="00C03F2F" w:rsidRPr="00AD1ECB">
          <w:rPr>
            <w:noProof/>
            <w:webHidden/>
          </w:rPr>
        </w:r>
        <w:r w:rsidR="00C03F2F" w:rsidRPr="00AD1ECB">
          <w:rPr>
            <w:noProof/>
            <w:webHidden/>
          </w:rPr>
          <w:fldChar w:fldCharType="separate"/>
        </w:r>
        <w:r w:rsidR="00AC0696">
          <w:rPr>
            <w:noProof/>
            <w:webHidden/>
          </w:rPr>
          <w:t>32</w:t>
        </w:r>
        <w:r w:rsidR="00C03F2F" w:rsidRPr="00AD1ECB">
          <w:rPr>
            <w:noProof/>
            <w:webHidden/>
          </w:rPr>
          <w:fldChar w:fldCharType="end"/>
        </w:r>
      </w:hyperlink>
    </w:p>
    <w:p w14:paraId="4DB751EF" w14:textId="684A6E0B" w:rsidR="00C03F2F" w:rsidRPr="00CD063A"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AD1ECB">
        <w:rPr>
          <w:rStyle w:val="Hyperlink"/>
          <w:noProof/>
          <w:u w:val="none"/>
        </w:rPr>
        <w:t xml:space="preserve">  </w:t>
      </w:r>
      <w:hyperlink w:anchor="_Toc37261617" w:history="1">
        <w:r w:rsidR="00C03F2F" w:rsidRPr="00AD1ECB">
          <w:rPr>
            <w:rStyle w:val="Hyperlink"/>
            <w:noProof/>
            <w:u w:val="none"/>
          </w:rPr>
          <w:t>11</w:t>
        </w:r>
        <w:r w:rsidR="00B86D3A" w:rsidRPr="00AD1ECB">
          <w:rPr>
            <w:rStyle w:val="Hyperlink"/>
            <w:noProof/>
            <w:u w:val="none"/>
          </w:rPr>
          <w:t>.</w:t>
        </w:r>
        <w:r w:rsidR="00B86D3A" w:rsidRPr="00AD1ECB">
          <w:rPr>
            <w:rFonts w:eastAsia="Times New Roman" w:cs="Times New Roman"/>
            <w:color w:val="000000"/>
            <w:lang w:val="en-CA" w:eastAsia="en-CA"/>
          </w:rPr>
          <w:t xml:space="preserve"> Regression Results</w:t>
        </w:r>
        <w:r w:rsidR="00B86D3A" w:rsidRPr="00CD063A">
          <w:rPr>
            <w:rFonts w:eastAsia="Times New Roman" w:cs="Times New Roman"/>
            <w:color w:val="000000"/>
            <w:lang w:val="en-CA" w:eastAsia="en-CA"/>
          </w:rPr>
          <w:t xml:space="preserve"> of </w:t>
        </w:r>
        <w:r w:rsidR="00B86D3A" w:rsidRPr="00AD1ECB">
          <w:rPr>
            <w:rFonts w:eastAsia="Times New Roman" w:cs="Times New Roman"/>
            <w:color w:val="000000"/>
            <w:lang w:val="en-CA" w:eastAsia="en-CA"/>
          </w:rPr>
          <w:t>Historical Canadian Recession Forecasting from 1962 to 2019</w:t>
        </w:r>
        <w:r w:rsidR="00C03F2F" w:rsidRPr="00CD063A">
          <w:rPr>
            <w:noProof/>
            <w:webHidden/>
          </w:rPr>
          <w:tab/>
        </w:r>
        <w:r w:rsidR="00C03F2F" w:rsidRPr="00AD1ECB">
          <w:rPr>
            <w:noProof/>
            <w:webHidden/>
          </w:rPr>
          <w:fldChar w:fldCharType="begin"/>
        </w:r>
        <w:r w:rsidR="00C03F2F" w:rsidRPr="00CD063A">
          <w:rPr>
            <w:noProof/>
            <w:webHidden/>
          </w:rPr>
          <w:instrText xml:space="preserve"> PAGEREF _Toc37261617 \h </w:instrText>
        </w:r>
        <w:r w:rsidR="00C03F2F" w:rsidRPr="00AD1ECB">
          <w:rPr>
            <w:noProof/>
            <w:webHidden/>
          </w:rPr>
        </w:r>
        <w:r w:rsidR="00C03F2F" w:rsidRPr="00AD1ECB">
          <w:rPr>
            <w:noProof/>
            <w:webHidden/>
          </w:rPr>
          <w:fldChar w:fldCharType="separate"/>
        </w:r>
        <w:r w:rsidR="00AC0696">
          <w:rPr>
            <w:noProof/>
            <w:webHidden/>
          </w:rPr>
          <w:t>41</w:t>
        </w:r>
        <w:r w:rsidR="00C03F2F" w:rsidRPr="00AD1ECB">
          <w:rPr>
            <w:noProof/>
            <w:webHidden/>
          </w:rPr>
          <w:fldChar w:fldCharType="end"/>
        </w:r>
      </w:hyperlink>
    </w:p>
    <w:p w14:paraId="0CCF0AC7" w14:textId="7DE996BB" w:rsidR="00C03F2F" w:rsidRPr="00CD063A" w:rsidRDefault="00CD063A" w:rsidP="00AD1ECB">
      <w:pPr>
        <w:pStyle w:val="TableofFigures"/>
        <w:tabs>
          <w:tab w:val="right" w:leader="dot" w:pos="9350"/>
        </w:tabs>
        <w:spacing w:line="480" w:lineRule="auto"/>
        <w:rPr>
          <w:rFonts w:asciiTheme="minorHAnsi" w:eastAsiaTheme="minorEastAsia" w:hAnsiTheme="minorHAnsi"/>
          <w:noProof/>
          <w:sz w:val="22"/>
          <w:szCs w:val="22"/>
          <w:lang w:val="en-CA" w:eastAsia="en-CA"/>
        </w:rPr>
      </w:pPr>
      <w:r w:rsidRPr="00AD1ECB">
        <w:rPr>
          <w:rStyle w:val="Hyperlink"/>
          <w:noProof/>
          <w:u w:val="none"/>
        </w:rPr>
        <w:t xml:space="preserve">  </w:t>
      </w:r>
      <w:hyperlink w:anchor="_Toc37261618" w:history="1">
        <w:r w:rsidR="00C03F2F" w:rsidRPr="00AD1ECB">
          <w:rPr>
            <w:rStyle w:val="Hyperlink"/>
            <w:noProof/>
            <w:u w:val="none"/>
          </w:rPr>
          <w:t>12</w:t>
        </w:r>
        <w:r w:rsidR="00B86D3A" w:rsidRPr="00AD1ECB">
          <w:rPr>
            <w:rStyle w:val="Hyperlink"/>
            <w:noProof/>
            <w:u w:val="none"/>
          </w:rPr>
          <w:t>.</w:t>
        </w:r>
        <w:r w:rsidR="00B86D3A" w:rsidRPr="00AD1ECB">
          <w:rPr>
            <w:rFonts w:eastAsia="Times New Roman" w:cs="Times New Roman"/>
            <w:color w:val="000000"/>
            <w:lang w:val="en-CA" w:eastAsia="en-CA"/>
          </w:rPr>
          <w:t xml:space="preserve"> OECD Recession Dating Component Series</w:t>
        </w:r>
        <w:r w:rsidR="00C03F2F" w:rsidRPr="00CD063A">
          <w:rPr>
            <w:noProof/>
            <w:webHidden/>
          </w:rPr>
          <w:tab/>
        </w:r>
      </w:hyperlink>
      <w:r w:rsidR="00782763">
        <w:rPr>
          <w:noProof/>
        </w:rPr>
        <w:t>41</w:t>
      </w:r>
    </w:p>
    <w:p w14:paraId="3848CDC2" w14:textId="2E2F47D6" w:rsidR="00DA5E82" w:rsidRPr="006B5B91" w:rsidRDefault="00C03F2F">
      <w:pPr>
        <w:spacing w:line="480" w:lineRule="auto"/>
        <w:rPr>
          <w:rFonts w:cs="Times New Roman"/>
        </w:rPr>
        <w:sectPr w:rsidR="00DA5E82" w:rsidRPr="006B5B91">
          <w:pgSz w:w="12240" w:h="15840"/>
          <w:pgMar w:top="1440" w:right="1440" w:bottom="1440" w:left="1440" w:header="720" w:footer="720" w:gutter="0"/>
          <w:cols w:space="720"/>
          <w:docGrid w:linePitch="360"/>
        </w:sectPr>
      </w:pPr>
      <w:r>
        <w:rPr>
          <w:rFonts w:cs="Times New Roman"/>
        </w:rPr>
        <w:fldChar w:fldCharType="end"/>
      </w:r>
    </w:p>
    <w:p w14:paraId="197147DE" w14:textId="0CBD22CD" w:rsidR="007604DD" w:rsidRPr="006B5B91" w:rsidRDefault="005E1A84" w:rsidP="009250E2">
      <w:pPr>
        <w:pStyle w:val="Heading1"/>
        <w:rPr>
          <w:rFonts w:cs="Times New Roman"/>
        </w:rPr>
      </w:pPr>
      <w:bookmarkStart w:id="1" w:name="_Toc32251666"/>
      <w:bookmarkStart w:id="2" w:name="_Toc37338041"/>
      <w:r>
        <w:rPr>
          <w:rFonts w:cs="Times New Roman"/>
        </w:rPr>
        <w:lastRenderedPageBreak/>
        <w:t>1</w:t>
      </w:r>
      <w:r w:rsidR="00CB44C9">
        <w:rPr>
          <w:rFonts w:cs="Times New Roman"/>
        </w:rPr>
        <w:t xml:space="preserve">. </w:t>
      </w:r>
      <w:r>
        <w:rPr>
          <w:rFonts w:cs="Times New Roman"/>
        </w:rPr>
        <w:t xml:space="preserve"> </w:t>
      </w:r>
      <w:r w:rsidR="00402B90" w:rsidRPr="006B5B91">
        <w:rPr>
          <w:rFonts w:cs="Times New Roman"/>
        </w:rPr>
        <w:t>Introduction</w:t>
      </w:r>
      <w:bookmarkEnd w:id="1"/>
      <w:bookmarkEnd w:id="2"/>
    </w:p>
    <w:p w14:paraId="29DEC79F" w14:textId="64DBBB9F" w:rsidR="00503103" w:rsidRDefault="009F3C68" w:rsidP="008A6085">
      <w:pPr>
        <w:spacing w:line="480" w:lineRule="auto"/>
        <w:ind w:firstLine="720"/>
        <w:rPr>
          <w:rFonts w:cs="Times New Roman"/>
        </w:rPr>
      </w:pPr>
      <w:r w:rsidRPr="006B5B91">
        <w:rPr>
          <w:rFonts w:cs="Times New Roman"/>
        </w:rPr>
        <w:t>On March 22, 2</w:t>
      </w:r>
      <w:r w:rsidR="00926EBC" w:rsidRPr="006B5B91">
        <w:rPr>
          <w:rFonts w:cs="Times New Roman"/>
        </w:rPr>
        <w:t xml:space="preserve">019, the yield spread between </w:t>
      </w:r>
      <w:r w:rsidR="00DE57A5">
        <w:rPr>
          <w:rFonts w:cs="Times New Roman"/>
        </w:rPr>
        <w:t xml:space="preserve">the </w:t>
      </w:r>
      <w:r w:rsidR="00926EBC" w:rsidRPr="006B5B91">
        <w:rPr>
          <w:rFonts w:cs="Times New Roman"/>
        </w:rPr>
        <w:t>ten-</w:t>
      </w:r>
      <w:r w:rsidRPr="006B5B91">
        <w:rPr>
          <w:rFonts w:cs="Times New Roman"/>
        </w:rPr>
        <w:t xml:space="preserve">year </w:t>
      </w:r>
      <w:r w:rsidR="000C07F3">
        <w:rPr>
          <w:rFonts w:cs="Times New Roman"/>
        </w:rPr>
        <w:t>U.S.</w:t>
      </w:r>
      <w:r w:rsidRPr="006B5B91">
        <w:rPr>
          <w:rFonts w:cs="Times New Roman"/>
        </w:rPr>
        <w:t xml:space="preserve"> bond and </w:t>
      </w:r>
      <w:r w:rsidR="00926EBC" w:rsidRPr="006B5B91">
        <w:rPr>
          <w:rFonts w:cs="Times New Roman"/>
        </w:rPr>
        <w:t xml:space="preserve">three-month </w:t>
      </w:r>
      <w:r w:rsidR="000C07F3">
        <w:rPr>
          <w:rFonts w:cs="Times New Roman"/>
        </w:rPr>
        <w:t>U.S.</w:t>
      </w:r>
      <w:r w:rsidR="00926EBC" w:rsidRPr="006B5B91">
        <w:rPr>
          <w:rFonts w:cs="Times New Roman"/>
        </w:rPr>
        <w:t xml:space="preserve"> </w:t>
      </w:r>
      <w:r w:rsidR="00757840">
        <w:rPr>
          <w:rFonts w:cs="Times New Roman"/>
        </w:rPr>
        <w:t>T</w:t>
      </w:r>
      <w:r w:rsidR="00926EBC" w:rsidRPr="006B5B91">
        <w:rPr>
          <w:rFonts w:cs="Times New Roman"/>
        </w:rPr>
        <w:t>reasury bill</w:t>
      </w:r>
      <w:r w:rsidRPr="006B5B91">
        <w:rPr>
          <w:rFonts w:cs="Times New Roman"/>
        </w:rPr>
        <w:t xml:space="preserve"> inverted for the first time since</w:t>
      </w:r>
      <w:r w:rsidR="00926EBC" w:rsidRPr="006B5B91">
        <w:rPr>
          <w:rFonts w:cs="Times New Roman"/>
        </w:rPr>
        <w:t xml:space="preserve"> August 2007, triggering </w:t>
      </w:r>
      <w:r w:rsidRPr="006B5B91">
        <w:rPr>
          <w:rFonts w:cs="Times New Roman"/>
        </w:rPr>
        <w:t xml:space="preserve">alarms that another </w:t>
      </w:r>
      <w:r w:rsidR="000C07F3">
        <w:rPr>
          <w:rFonts w:cs="Times New Roman"/>
        </w:rPr>
        <w:t>U.S.</w:t>
      </w:r>
      <w:r w:rsidR="00503103" w:rsidRPr="006B5B91">
        <w:rPr>
          <w:rFonts w:cs="Times New Roman"/>
        </w:rPr>
        <w:t xml:space="preserve"> recession </w:t>
      </w:r>
      <w:r w:rsidR="001F70D0">
        <w:rPr>
          <w:rFonts w:cs="Times New Roman"/>
        </w:rPr>
        <w:t>is</w:t>
      </w:r>
      <w:r w:rsidR="00503103" w:rsidRPr="006B5B91">
        <w:rPr>
          <w:rFonts w:cs="Times New Roman"/>
        </w:rPr>
        <w:t xml:space="preserve"> on the horizon. Historically, yield spread inversions of this kind have preceded eve</w:t>
      </w:r>
      <w:r w:rsidR="0002581A" w:rsidRPr="006B5B91">
        <w:rPr>
          <w:rFonts w:cs="Times New Roman"/>
        </w:rPr>
        <w:t xml:space="preserve">ry </w:t>
      </w:r>
      <w:r w:rsidR="000C07F3">
        <w:rPr>
          <w:rFonts w:cs="Times New Roman"/>
        </w:rPr>
        <w:t>U.S.</w:t>
      </w:r>
      <w:r w:rsidR="0002581A" w:rsidRPr="006B5B91">
        <w:rPr>
          <w:rFonts w:cs="Times New Roman"/>
        </w:rPr>
        <w:t xml:space="preserve"> recession since the 1970s</w:t>
      </w:r>
      <w:r w:rsidR="00757840">
        <w:rPr>
          <w:rFonts w:cs="Times New Roman"/>
        </w:rPr>
        <w:t>. Figure 1 shows a historical timeline of yield spreads and recessions in the U.S. from 1977</w:t>
      </w:r>
      <w:r w:rsidR="00DB23AC">
        <w:rPr>
          <w:rFonts w:cs="Times New Roman"/>
        </w:rPr>
        <w:t xml:space="preserve"> to </w:t>
      </w:r>
      <w:r w:rsidR="00757840">
        <w:rPr>
          <w:rFonts w:cs="Times New Roman"/>
        </w:rPr>
        <w:t>2019</w:t>
      </w:r>
      <w:r w:rsidR="004143C1" w:rsidRPr="006B5B91">
        <w:rPr>
          <w:rFonts w:cs="Times New Roman"/>
        </w:rPr>
        <w:t>.</w:t>
      </w:r>
      <w:r w:rsidR="00503103" w:rsidRPr="006B5B91">
        <w:rPr>
          <w:rFonts w:cs="Times New Roman"/>
        </w:rPr>
        <w:t xml:space="preserve"> </w:t>
      </w:r>
      <w:r w:rsidR="00DE2CF5">
        <w:rPr>
          <w:rFonts w:cs="Times New Roman"/>
        </w:rPr>
        <w:t>In August 2019, a</w:t>
      </w:r>
      <w:r w:rsidR="00BB582A" w:rsidRPr="006B5B91">
        <w:rPr>
          <w:rFonts w:cs="Times New Roman"/>
        </w:rPr>
        <w:t>nother popular yield spread</w:t>
      </w:r>
      <w:r w:rsidR="005A04E8">
        <w:rPr>
          <w:rFonts w:cs="Times New Roman"/>
        </w:rPr>
        <w:t xml:space="preserve"> known</w:t>
      </w:r>
      <w:r w:rsidR="00DE2CF5">
        <w:rPr>
          <w:rFonts w:cs="Times New Roman"/>
        </w:rPr>
        <w:t xml:space="preserve"> as</w:t>
      </w:r>
      <w:r w:rsidR="00503103" w:rsidRPr="006B5B91">
        <w:rPr>
          <w:rFonts w:cs="Times New Roman"/>
        </w:rPr>
        <w:t xml:space="preserve"> the ten-year </w:t>
      </w:r>
      <w:r w:rsidR="005947DF" w:rsidRPr="006B5B91">
        <w:rPr>
          <w:rFonts w:cs="Times New Roman"/>
        </w:rPr>
        <w:t xml:space="preserve">minus </w:t>
      </w:r>
      <w:r w:rsidR="00AA7741">
        <w:rPr>
          <w:rFonts w:cs="Times New Roman"/>
        </w:rPr>
        <w:t xml:space="preserve">the </w:t>
      </w:r>
      <w:r w:rsidR="00503103" w:rsidRPr="006B5B91">
        <w:rPr>
          <w:rFonts w:cs="Times New Roman"/>
        </w:rPr>
        <w:t>two-year spread also inverted for the first time since just before the Grea</w:t>
      </w:r>
      <w:r w:rsidR="00BB582A" w:rsidRPr="006B5B91">
        <w:rPr>
          <w:rFonts w:cs="Times New Roman"/>
        </w:rPr>
        <w:t>t Recession</w:t>
      </w:r>
      <w:r w:rsidR="00503103" w:rsidRPr="006B5B91">
        <w:rPr>
          <w:rFonts w:cs="Times New Roman"/>
        </w:rPr>
        <w:t xml:space="preserve">. These events have sparked a resurgence of </w:t>
      </w:r>
      <w:r w:rsidR="00DE57A5">
        <w:rPr>
          <w:rFonts w:cs="Times New Roman"/>
        </w:rPr>
        <w:t xml:space="preserve">a </w:t>
      </w:r>
      <w:r w:rsidR="00503103" w:rsidRPr="006B5B91">
        <w:rPr>
          <w:rFonts w:cs="Times New Roman"/>
        </w:rPr>
        <w:t>debate over the probability of</w:t>
      </w:r>
      <w:r w:rsidR="000348A5" w:rsidRPr="006B5B91">
        <w:rPr>
          <w:rFonts w:cs="Times New Roman"/>
        </w:rPr>
        <w:t xml:space="preserve"> a</w:t>
      </w:r>
      <w:r w:rsidR="00503103" w:rsidRPr="006B5B91">
        <w:rPr>
          <w:rFonts w:cs="Times New Roman"/>
        </w:rPr>
        <w:t xml:space="preserve"> looming recession, as well as the efficacy of yield spreads as </w:t>
      </w:r>
      <w:r w:rsidR="00DE57A5">
        <w:rPr>
          <w:rFonts w:cs="Times New Roman"/>
        </w:rPr>
        <w:t xml:space="preserve">leading </w:t>
      </w:r>
      <w:r w:rsidR="00503103" w:rsidRPr="006B5B91">
        <w:rPr>
          <w:rFonts w:cs="Times New Roman"/>
        </w:rPr>
        <w:t>recession indicators.</w:t>
      </w:r>
    </w:p>
    <w:p w14:paraId="56D5C452" w14:textId="77777777" w:rsidR="0064287C" w:rsidRPr="006B5B91" w:rsidRDefault="0064287C" w:rsidP="008A6085">
      <w:pPr>
        <w:spacing w:line="480" w:lineRule="auto"/>
        <w:ind w:firstLine="720"/>
        <w:rPr>
          <w:rFonts w:cs="Times New Roman"/>
        </w:rPr>
      </w:pPr>
    </w:p>
    <w:p w14:paraId="55FA17AE" w14:textId="59DE9196" w:rsidR="0002476E" w:rsidRPr="006B5B91" w:rsidRDefault="006D0131" w:rsidP="00856CE1">
      <w:pPr>
        <w:keepNext/>
        <w:spacing w:line="480" w:lineRule="auto"/>
        <w:rPr>
          <w:rFonts w:cs="Times New Roman"/>
        </w:rPr>
      </w:pPr>
      <w:r>
        <w:rPr>
          <w:noProof/>
          <w:lang w:val="en-US"/>
        </w:rPr>
        <w:drawing>
          <wp:inline distT="0" distB="0" distL="0" distR="0" wp14:anchorId="4A84176F" wp14:editId="75DEA71C">
            <wp:extent cx="5943600" cy="3606800"/>
            <wp:effectExtent l="0" t="0" r="0" b="12700"/>
            <wp:docPr id="1"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29CEC89" w14:textId="3A34DDFE" w:rsidR="004143C1" w:rsidRPr="006B5B91" w:rsidRDefault="0002476E" w:rsidP="00856CE1">
      <w:pPr>
        <w:spacing w:line="480" w:lineRule="auto"/>
        <w:rPr>
          <w:rFonts w:cs="Times New Roman"/>
        </w:rPr>
      </w:pPr>
      <w:bookmarkStart w:id="3" w:name="_Toc37263452"/>
      <w:r w:rsidRPr="006B5B91">
        <w:rPr>
          <w:rFonts w:cs="Times New Roman"/>
          <w:i/>
          <w:iCs/>
        </w:rPr>
        <w:t xml:space="preserve">Figure </w:t>
      </w:r>
      <w:r w:rsidRPr="006B5B91">
        <w:rPr>
          <w:rFonts w:cs="Times New Roman"/>
          <w:i/>
          <w:iCs/>
        </w:rPr>
        <w:fldChar w:fldCharType="begin"/>
      </w:r>
      <w:r w:rsidRPr="006B5B91">
        <w:rPr>
          <w:rFonts w:cs="Times New Roman"/>
          <w:i/>
          <w:iCs/>
        </w:rPr>
        <w:instrText xml:space="preserve"> SEQ Figure \* ARABIC </w:instrText>
      </w:r>
      <w:r w:rsidRPr="006B5B91">
        <w:rPr>
          <w:rFonts w:cs="Times New Roman"/>
          <w:i/>
          <w:iCs/>
        </w:rPr>
        <w:fldChar w:fldCharType="separate"/>
      </w:r>
      <w:r w:rsidR="00AC0696">
        <w:rPr>
          <w:rFonts w:cs="Times New Roman"/>
          <w:i/>
          <w:iCs/>
          <w:noProof/>
        </w:rPr>
        <w:t>1</w:t>
      </w:r>
      <w:r w:rsidRPr="006B5B91">
        <w:rPr>
          <w:rFonts w:cs="Times New Roman"/>
          <w:i/>
          <w:iCs/>
        </w:rPr>
        <w:fldChar w:fldCharType="end"/>
      </w:r>
      <w:r w:rsidRPr="006B5B91">
        <w:rPr>
          <w:rFonts w:cs="Times New Roman"/>
        </w:rPr>
        <w:t xml:space="preserve">. </w:t>
      </w:r>
      <w:r w:rsidR="000C07F3">
        <w:rPr>
          <w:rFonts w:cs="Times New Roman"/>
        </w:rPr>
        <w:t>U.S.</w:t>
      </w:r>
      <w:r w:rsidRPr="006B5B91">
        <w:rPr>
          <w:rFonts w:cs="Times New Roman"/>
        </w:rPr>
        <w:t xml:space="preserve"> yield spreads and recessions</w:t>
      </w:r>
      <w:r w:rsidR="00D71369">
        <w:rPr>
          <w:rFonts w:cs="Times New Roman"/>
        </w:rPr>
        <w:t xml:space="preserve"> from</w:t>
      </w:r>
      <w:r w:rsidRPr="006B5B91">
        <w:rPr>
          <w:rFonts w:cs="Times New Roman"/>
        </w:rPr>
        <w:t xml:space="preserve"> 1977</w:t>
      </w:r>
      <w:r w:rsidR="00D71369">
        <w:rPr>
          <w:rFonts w:cs="Times New Roman"/>
        </w:rPr>
        <w:t xml:space="preserve"> to </w:t>
      </w:r>
      <w:r w:rsidRPr="006B5B91">
        <w:rPr>
          <w:rFonts w:cs="Times New Roman"/>
        </w:rPr>
        <w:t>2019</w:t>
      </w:r>
      <w:bookmarkEnd w:id="3"/>
      <w:r w:rsidR="008636AC">
        <w:rPr>
          <w:rFonts w:cs="Times New Roman"/>
        </w:rPr>
        <w:t xml:space="preserve">. </w:t>
      </w:r>
      <w:r w:rsidR="00BF5614" w:rsidRPr="00475E29">
        <w:rPr>
          <w:rFonts w:cs="Times New Roman"/>
        </w:rPr>
        <w:t xml:space="preserve">Yield spread data from </w:t>
      </w:r>
      <w:r w:rsidR="008636AC" w:rsidRPr="00475E29">
        <w:rPr>
          <w:rFonts w:cs="Times New Roman"/>
        </w:rPr>
        <w:t>FRED (2020</w:t>
      </w:r>
      <w:r w:rsidR="00FD2AC1" w:rsidRPr="00475E29">
        <w:rPr>
          <w:rFonts w:cs="Times New Roman"/>
        </w:rPr>
        <w:t>a, 2020b</w:t>
      </w:r>
      <w:r w:rsidR="008636AC" w:rsidRPr="00475E29">
        <w:rPr>
          <w:rFonts w:cs="Times New Roman"/>
        </w:rPr>
        <w:t>)</w:t>
      </w:r>
      <w:r w:rsidR="00E3125B" w:rsidRPr="00475E29">
        <w:rPr>
          <w:rFonts w:cs="Times New Roman"/>
        </w:rPr>
        <w:t xml:space="preserve"> and recession dates from </w:t>
      </w:r>
      <w:r w:rsidR="00FD2AC1" w:rsidRPr="00475E29">
        <w:rPr>
          <w:rFonts w:cs="Times New Roman"/>
        </w:rPr>
        <w:t>NBER (2020).</w:t>
      </w:r>
    </w:p>
    <w:p w14:paraId="493AD764" w14:textId="77777777" w:rsidR="000348A5" w:rsidRPr="006B5B91" w:rsidRDefault="000348A5" w:rsidP="00926EBC">
      <w:pPr>
        <w:spacing w:line="480" w:lineRule="auto"/>
        <w:rPr>
          <w:rFonts w:cs="Times New Roman"/>
        </w:rPr>
      </w:pPr>
    </w:p>
    <w:p w14:paraId="6F99C803" w14:textId="784ED973" w:rsidR="0011085C" w:rsidRDefault="005F514F">
      <w:pPr>
        <w:spacing w:line="480" w:lineRule="auto"/>
        <w:ind w:firstLine="720"/>
        <w:rPr>
          <w:rFonts w:cs="Times New Roman"/>
        </w:rPr>
      </w:pPr>
      <w:r w:rsidRPr="006B5B91">
        <w:rPr>
          <w:rFonts w:cs="Times New Roman"/>
        </w:rPr>
        <w:lastRenderedPageBreak/>
        <w:t>Yield spreads</w:t>
      </w:r>
      <w:r w:rsidR="00ED1975" w:rsidRPr="006B5B91">
        <w:rPr>
          <w:rStyle w:val="FootnoteReference"/>
          <w:rFonts w:cs="Times New Roman"/>
        </w:rPr>
        <w:footnoteReference w:id="1"/>
      </w:r>
      <w:r w:rsidR="00ED1975" w:rsidRPr="006B5B91">
        <w:rPr>
          <w:rFonts w:cs="Times New Roman"/>
        </w:rPr>
        <w:t xml:space="preserve"> </w:t>
      </w:r>
      <w:r w:rsidRPr="006B5B91">
        <w:rPr>
          <w:rFonts w:cs="Times New Roman"/>
        </w:rPr>
        <w:t>have</w:t>
      </w:r>
      <w:r w:rsidR="006B49C6">
        <w:rPr>
          <w:rFonts w:cs="Times New Roman"/>
        </w:rPr>
        <w:t xml:space="preserve"> been</w:t>
      </w:r>
      <w:r w:rsidRPr="006B5B91">
        <w:rPr>
          <w:rFonts w:cs="Times New Roman"/>
        </w:rPr>
        <w:t xml:space="preserve"> shown </w:t>
      </w:r>
      <w:r w:rsidR="00596974">
        <w:rPr>
          <w:rFonts w:cs="Times New Roman"/>
        </w:rPr>
        <w:t xml:space="preserve">to have some </w:t>
      </w:r>
      <w:r w:rsidRPr="006B5B91">
        <w:rPr>
          <w:rFonts w:cs="Times New Roman"/>
        </w:rPr>
        <w:t>predictive power for other countries as well.</w:t>
      </w:r>
      <w:r w:rsidR="0037670A" w:rsidRPr="0037670A">
        <w:rPr>
          <w:rFonts w:cs="Times New Roman"/>
        </w:rPr>
        <w:t xml:space="preserve"> </w:t>
      </w:r>
      <w:r w:rsidR="0037670A" w:rsidRPr="006B5B91">
        <w:rPr>
          <w:rFonts w:cs="Times New Roman"/>
        </w:rPr>
        <w:t xml:space="preserve">Figure 2 shows a timeline of </w:t>
      </w:r>
      <w:r w:rsidR="0037670A">
        <w:rPr>
          <w:rFonts w:cs="Times New Roman"/>
        </w:rPr>
        <w:t xml:space="preserve">two popular </w:t>
      </w:r>
      <w:r w:rsidR="0037670A" w:rsidRPr="006B5B91">
        <w:rPr>
          <w:rFonts w:cs="Times New Roman"/>
        </w:rPr>
        <w:t>yield spreads and recessions in Canada from 1962</w:t>
      </w:r>
      <w:r w:rsidR="0037670A">
        <w:rPr>
          <w:rFonts w:cs="Times New Roman"/>
        </w:rPr>
        <w:t xml:space="preserve"> to </w:t>
      </w:r>
      <w:r w:rsidR="0037670A" w:rsidRPr="006B5B91">
        <w:rPr>
          <w:rFonts w:cs="Times New Roman"/>
        </w:rPr>
        <w:t>2019</w:t>
      </w:r>
      <w:r w:rsidR="0037670A">
        <w:rPr>
          <w:rFonts w:cs="Times New Roman"/>
        </w:rPr>
        <w:t>. Similar to the U.S., yield spreads have preceded every Canadian recession. There were, however, more instances of false positives, where</w:t>
      </w:r>
      <w:r w:rsidR="00BE6774">
        <w:rPr>
          <w:rFonts w:cs="Times New Roman"/>
        </w:rPr>
        <w:t>by</w:t>
      </w:r>
      <w:r w:rsidR="0037670A">
        <w:rPr>
          <w:rFonts w:cs="Times New Roman"/>
        </w:rPr>
        <w:t xml:space="preserve"> the yield spread(s) inverted, but were not soon followed by a recession. In addition to recession forecasting, t</w:t>
      </w:r>
      <w:r w:rsidR="0011085C" w:rsidRPr="006B5B91">
        <w:rPr>
          <w:rFonts w:cs="Times New Roman"/>
        </w:rPr>
        <w:t xml:space="preserve">he ability of yield spreads to forecast </w:t>
      </w:r>
      <w:r w:rsidR="00596974">
        <w:rPr>
          <w:rFonts w:cs="Times New Roman"/>
        </w:rPr>
        <w:t>key macro</w:t>
      </w:r>
      <w:r w:rsidR="009956D3" w:rsidRPr="006B5B91">
        <w:rPr>
          <w:rFonts w:cs="Times New Roman"/>
        </w:rPr>
        <w:t xml:space="preserve">economic variables such as </w:t>
      </w:r>
      <w:r w:rsidR="00B23C8F" w:rsidRPr="006B5B91">
        <w:rPr>
          <w:rFonts w:cs="Times New Roman"/>
        </w:rPr>
        <w:t>inflation, output growth, industrial production</w:t>
      </w:r>
      <w:r w:rsidR="005E1D4C">
        <w:rPr>
          <w:rFonts w:cs="Times New Roman"/>
        </w:rPr>
        <w:t xml:space="preserve"> and </w:t>
      </w:r>
      <w:r w:rsidR="00B23C8F" w:rsidRPr="006B5B91">
        <w:rPr>
          <w:rFonts w:cs="Times New Roman"/>
        </w:rPr>
        <w:t>consumption</w:t>
      </w:r>
      <w:r w:rsidR="005E1D4C">
        <w:rPr>
          <w:rFonts w:cs="Times New Roman"/>
        </w:rPr>
        <w:t xml:space="preserve"> </w:t>
      </w:r>
      <w:r w:rsidR="00B23C8F" w:rsidRPr="006B5B91">
        <w:rPr>
          <w:rFonts w:cs="Times New Roman"/>
        </w:rPr>
        <w:t>has become well documented over the years</w:t>
      </w:r>
      <w:r w:rsidR="0037670A">
        <w:rPr>
          <w:rFonts w:cs="Times New Roman"/>
        </w:rPr>
        <w:t xml:space="preserve"> </w:t>
      </w:r>
      <w:r w:rsidR="0037670A" w:rsidRPr="006B5B91">
        <w:rPr>
          <w:rFonts w:cs="Times New Roman"/>
        </w:rPr>
        <w:t>(Wheelock and Wohar</w:t>
      </w:r>
      <w:r w:rsidR="0037670A">
        <w:rPr>
          <w:rFonts w:cs="Times New Roman"/>
        </w:rPr>
        <w:t>,</w:t>
      </w:r>
      <w:r w:rsidR="0037670A" w:rsidRPr="006B5B91">
        <w:rPr>
          <w:rFonts w:cs="Times New Roman"/>
        </w:rPr>
        <w:t xml:space="preserve"> 2009).</w:t>
      </w:r>
      <w:r w:rsidR="00596974">
        <w:rPr>
          <w:rFonts w:cs="Times New Roman"/>
        </w:rPr>
        <w:t xml:space="preserve"> The spreads are </w:t>
      </w:r>
      <w:r w:rsidR="00B23C8F" w:rsidRPr="006B5B91">
        <w:rPr>
          <w:rFonts w:cs="Times New Roman"/>
        </w:rPr>
        <w:t>now commonly used by</w:t>
      </w:r>
      <w:r w:rsidR="005E128F">
        <w:rPr>
          <w:rFonts w:cs="Times New Roman"/>
        </w:rPr>
        <w:t xml:space="preserve"> </w:t>
      </w:r>
      <w:r w:rsidR="00B23C8F" w:rsidRPr="006B5B91">
        <w:rPr>
          <w:rFonts w:cs="Times New Roman"/>
        </w:rPr>
        <w:t>macroeconomists to forecast future economic activity</w:t>
      </w:r>
      <w:r w:rsidR="0037670A">
        <w:rPr>
          <w:rFonts w:cs="Times New Roman"/>
        </w:rPr>
        <w:t>.</w:t>
      </w:r>
    </w:p>
    <w:p w14:paraId="7889C27F" w14:textId="77777777" w:rsidR="006D0131" w:rsidRPr="006B5B91" w:rsidRDefault="006D0131" w:rsidP="00B23C8F">
      <w:pPr>
        <w:spacing w:line="480" w:lineRule="auto"/>
        <w:ind w:firstLine="720"/>
        <w:rPr>
          <w:rFonts w:cs="Times New Roman"/>
        </w:rPr>
      </w:pPr>
    </w:p>
    <w:p w14:paraId="74C3179A" w14:textId="6BA15CAF" w:rsidR="0002476E" w:rsidRPr="006B5B91" w:rsidRDefault="006D0131" w:rsidP="0002476E">
      <w:pPr>
        <w:keepNext/>
        <w:spacing w:line="480" w:lineRule="auto"/>
        <w:rPr>
          <w:rFonts w:cs="Times New Roman"/>
        </w:rPr>
      </w:pPr>
      <w:r>
        <w:rPr>
          <w:noProof/>
          <w:lang w:val="en-US"/>
        </w:rPr>
        <w:drawing>
          <wp:inline distT="0" distB="0" distL="0" distR="0" wp14:anchorId="286DA5BD" wp14:editId="1F7972DF">
            <wp:extent cx="5876925" cy="3381375"/>
            <wp:effectExtent l="0" t="0" r="9525" b="9525"/>
            <wp:docPr id="10" name="Chart 10">
              <a:extLst xmlns:a="http://schemas.openxmlformats.org/drawingml/2006/main">
                <a:ext uri="{FF2B5EF4-FFF2-40B4-BE49-F238E27FC236}">
                  <a16:creationId xmlns:a16="http://schemas.microsoft.com/office/drawing/2014/main" id="{E9510386-3AFA-4061-B44A-0CC49BD185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42A0AE" w14:textId="0D047765" w:rsidR="00DF25F0" w:rsidRPr="006B5B91" w:rsidRDefault="0002476E" w:rsidP="006D0131">
      <w:pPr>
        <w:rPr>
          <w:rFonts w:cs="Times New Roman"/>
        </w:rPr>
      </w:pPr>
      <w:bookmarkStart w:id="4" w:name="_Toc37263453"/>
      <w:r w:rsidRPr="006B5B91">
        <w:rPr>
          <w:rFonts w:cs="Times New Roman"/>
          <w:i/>
          <w:iCs/>
        </w:rPr>
        <w:t xml:space="preserve">Figure </w:t>
      </w:r>
      <w:r w:rsidRPr="006B5B91">
        <w:rPr>
          <w:rFonts w:cs="Times New Roman"/>
          <w:i/>
          <w:iCs/>
        </w:rPr>
        <w:fldChar w:fldCharType="begin"/>
      </w:r>
      <w:r w:rsidRPr="006B5B91">
        <w:rPr>
          <w:rFonts w:cs="Times New Roman"/>
          <w:i/>
          <w:iCs/>
        </w:rPr>
        <w:instrText xml:space="preserve"> SEQ Figure \* ARABIC </w:instrText>
      </w:r>
      <w:r w:rsidRPr="006B5B91">
        <w:rPr>
          <w:rFonts w:cs="Times New Roman"/>
          <w:i/>
          <w:iCs/>
        </w:rPr>
        <w:fldChar w:fldCharType="separate"/>
      </w:r>
      <w:r w:rsidR="00AC0696">
        <w:rPr>
          <w:rFonts w:cs="Times New Roman"/>
          <w:i/>
          <w:iCs/>
          <w:noProof/>
        </w:rPr>
        <w:t>2</w:t>
      </w:r>
      <w:r w:rsidRPr="006B5B91">
        <w:rPr>
          <w:rFonts w:cs="Times New Roman"/>
          <w:i/>
          <w:iCs/>
        </w:rPr>
        <w:fldChar w:fldCharType="end"/>
      </w:r>
      <w:r w:rsidRPr="006B5B91">
        <w:rPr>
          <w:rFonts w:cs="Times New Roman"/>
        </w:rPr>
        <w:t>. Canadian yield spreads and recessions</w:t>
      </w:r>
      <w:r w:rsidR="00D71369">
        <w:rPr>
          <w:rFonts w:cs="Times New Roman"/>
        </w:rPr>
        <w:t xml:space="preserve"> from</w:t>
      </w:r>
      <w:r w:rsidRPr="006B5B91">
        <w:rPr>
          <w:rFonts w:cs="Times New Roman"/>
        </w:rPr>
        <w:t xml:space="preserve"> 1962</w:t>
      </w:r>
      <w:r w:rsidR="00D71369">
        <w:rPr>
          <w:rFonts w:cs="Times New Roman"/>
        </w:rPr>
        <w:t xml:space="preserve"> to </w:t>
      </w:r>
      <w:r w:rsidRPr="006B5B91">
        <w:rPr>
          <w:rFonts w:cs="Times New Roman"/>
        </w:rPr>
        <w:t>2019</w:t>
      </w:r>
      <w:r w:rsidRPr="00475E29">
        <w:rPr>
          <w:rFonts w:cs="Times New Roman"/>
        </w:rPr>
        <w:t>.</w:t>
      </w:r>
      <w:bookmarkEnd w:id="4"/>
      <w:r w:rsidR="00372714" w:rsidRPr="00475E29">
        <w:rPr>
          <w:rFonts w:cs="Times New Roman"/>
        </w:rPr>
        <w:t xml:space="preserve"> </w:t>
      </w:r>
      <w:r w:rsidR="00BF5614" w:rsidRPr="00475E29">
        <w:rPr>
          <w:rFonts w:cs="Times New Roman"/>
        </w:rPr>
        <w:t>Yield spread data</w:t>
      </w:r>
      <w:r w:rsidR="002D71FA" w:rsidRPr="00475E29">
        <w:rPr>
          <w:rFonts w:cs="Times New Roman"/>
        </w:rPr>
        <w:t xml:space="preserve"> from</w:t>
      </w:r>
      <w:r w:rsidR="00372714" w:rsidRPr="00475E29">
        <w:rPr>
          <w:rFonts w:cs="Times New Roman"/>
        </w:rPr>
        <w:t xml:space="preserve"> Statistics Canada (</w:t>
      </w:r>
      <w:r w:rsidR="006B4F56" w:rsidRPr="00475E29">
        <w:rPr>
          <w:rFonts w:cs="Times New Roman"/>
        </w:rPr>
        <w:t>2020a</w:t>
      </w:r>
      <w:r w:rsidR="00372714" w:rsidRPr="00475E29">
        <w:t>)</w:t>
      </w:r>
      <w:r w:rsidR="002D71FA" w:rsidRPr="00475E29">
        <w:t xml:space="preserve"> and recession dates from Cross and Bergevin (2012).</w:t>
      </w:r>
    </w:p>
    <w:p w14:paraId="5AC8FE23" w14:textId="2DD9C283" w:rsidR="009E123F" w:rsidRPr="006B5B91" w:rsidRDefault="00736A51" w:rsidP="009E123F">
      <w:pPr>
        <w:spacing w:line="480" w:lineRule="auto"/>
        <w:ind w:firstLine="720"/>
        <w:rPr>
          <w:rFonts w:cs="Times New Roman"/>
        </w:rPr>
      </w:pPr>
      <w:r w:rsidRPr="006B5B91">
        <w:rPr>
          <w:rFonts w:cs="Times New Roman"/>
        </w:rPr>
        <w:lastRenderedPageBreak/>
        <w:t xml:space="preserve">The term structure of interest rates, </w:t>
      </w:r>
      <w:r w:rsidR="0064287C">
        <w:rPr>
          <w:rFonts w:cs="Times New Roman"/>
        </w:rPr>
        <w:t>also</w:t>
      </w:r>
      <w:r w:rsidRPr="006B5B91">
        <w:rPr>
          <w:rFonts w:cs="Times New Roman"/>
        </w:rPr>
        <w:t xml:space="preserve"> referred to as a yield curve,</w:t>
      </w:r>
      <w:r w:rsidR="00B23C8F" w:rsidRPr="006B5B91">
        <w:rPr>
          <w:rFonts w:cs="Times New Roman"/>
        </w:rPr>
        <w:t xml:space="preserve"> is simply a plot of yield</w:t>
      </w:r>
      <w:r w:rsidR="00243776">
        <w:rPr>
          <w:rFonts w:cs="Times New Roman"/>
        </w:rPr>
        <w:t>s</w:t>
      </w:r>
      <w:r w:rsidR="003874AA">
        <w:rPr>
          <w:rFonts w:cs="Times New Roman"/>
        </w:rPr>
        <w:t>, or rate</w:t>
      </w:r>
      <w:r w:rsidR="00594E5A">
        <w:rPr>
          <w:rFonts w:cs="Times New Roman"/>
        </w:rPr>
        <w:t>s</w:t>
      </w:r>
      <w:r w:rsidR="003874AA">
        <w:rPr>
          <w:rFonts w:cs="Times New Roman"/>
        </w:rPr>
        <w:t xml:space="preserve"> of return, </w:t>
      </w:r>
      <w:r w:rsidR="00DF1D09" w:rsidRPr="006B5B91">
        <w:rPr>
          <w:rFonts w:cs="Times New Roman"/>
        </w:rPr>
        <w:t xml:space="preserve">of securities (such as bonds) of the same </w:t>
      </w:r>
      <w:r w:rsidR="00D21ACA">
        <w:rPr>
          <w:rFonts w:cs="Times New Roman"/>
        </w:rPr>
        <w:t xml:space="preserve">credit </w:t>
      </w:r>
      <w:r w:rsidR="00DF1D09" w:rsidRPr="006B5B91">
        <w:rPr>
          <w:rFonts w:cs="Times New Roman"/>
        </w:rPr>
        <w:t>quality, but with different maturity dates.</w:t>
      </w:r>
      <w:r w:rsidR="00AC6D2B">
        <w:rPr>
          <w:rFonts w:cs="Times New Roman"/>
        </w:rPr>
        <w:t xml:space="preserve"> </w:t>
      </w:r>
      <w:r w:rsidR="00DF1D09" w:rsidRPr="006B5B91">
        <w:rPr>
          <w:rFonts w:cs="Times New Roman"/>
        </w:rPr>
        <w:t>A common example is the yield curve o</w:t>
      </w:r>
      <w:r w:rsidR="003874AA">
        <w:rPr>
          <w:rFonts w:cs="Times New Roman"/>
        </w:rPr>
        <w:t>f</w:t>
      </w:r>
      <w:r w:rsidR="00DF1D09" w:rsidRPr="006B5B91">
        <w:rPr>
          <w:rFonts w:cs="Times New Roman"/>
        </w:rPr>
        <w:t xml:space="preserve"> zero-coupon</w:t>
      </w:r>
      <w:r w:rsidR="003874AA">
        <w:rPr>
          <w:rFonts w:cs="Times New Roman"/>
        </w:rPr>
        <w:t xml:space="preserve"> (no periodic payments)</w:t>
      </w:r>
      <w:r w:rsidR="00DF1D09" w:rsidRPr="006B5B91">
        <w:rPr>
          <w:rFonts w:cs="Times New Roman"/>
        </w:rPr>
        <w:t xml:space="preserve"> government bonds. Yield</w:t>
      </w:r>
      <w:r w:rsidR="00841436">
        <w:rPr>
          <w:rFonts w:cs="Times New Roman"/>
        </w:rPr>
        <w:t>s</w:t>
      </w:r>
      <w:r w:rsidR="00DF1D09" w:rsidRPr="006B5B91">
        <w:rPr>
          <w:rFonts w:cs="Times New Roman"/>
        </w:rPr>
        <w:t xml:space="preserve"> on longer term securities typically exceed those of </w:t>
      </w:r>
      <w:proofErr w:type="gramStart"/>
      <w:r w:rsidR="00DF1D09" w:rsidRPr="006B5B91">
        <w:rPr>
          <w:rFonts w:cs="Times New Roman"/>
        </w:rPr>
        <w:t xml:space="preserve">shorter </w:t>
      </w:r>
      <w:r w:rsidR="008E1574" w:rsidRPr="008E1574">
        <w:rPr>
          <w:rFonts w:cs="Times New Roman"/>
        </w:rPr>
        <w:t>term</w:t>
      </w:r>
      <w:proofErr w:type="gramEnd"/>
      <w:r w:rsidR="008E1574">
        <w:rPr>
          <w:rFonts w:cs="Times New Roman"/>
        </w:rPr>
        <w:t xml:space="preserve"> </w:t>
      </w:r>
      <w:r w:rsidR="00DF1D09" w:rsidRPr="006B5B91">
        <w:rPr>
          <w:rFonts w:cs="Times New Roman"/>
        </w:rPr>
        <w:t xml:space="preserve">securities as investors generally demand a higher </w:t>
      </w:r>
      <w:r w:rsidRPr="006B5B91">
        <w:rPr>
          <w:rFonts w:cs="Times New Roman"/>
        </w:rPr>
        <w:t xml:space="preserve">risk </w:t>
      </w:r>
      <w:r w:rsidR="00DF1D09" w:rsidRPr="006B5B91">
        <w:rPr>
          <w:rFonts w:cs="Times New Roman"/>
        </w:rPr>
        <w:t>premium for holding longer term securities. For this reason, yield curves tend to be upward sloping</w:t>
      </w:r>
      <w:r w:rsidR="001C0796" w:rsidRPr="006B5B91">
        <w:rPr>
          <w:rFonts w:cs="Times New Roman"/>
        </w:rPr>
        <w:t>. However, yield curves can also be flat or downward sloping</w:t>
      </w:r>
      <w:r w:rsidR="0064287C">
        <w:rPr>
          <w:rFonts w:cs="Times New Roman"/>
        </w:rPr>
        <w:t>.</w:t>
      </w:r>
      <w:r w:rsidR="001C0796" w:rsidRPr="006B5B91">
        <w:rPr>
          <w:rFonts w:cs="Times New Roman"/>
        </w:rPr>
        <w:t xml:space="preserve"> It is the latter tha</w:t>
      </w:r>
      <w:r w:rsidR="006B49C6">
        <w:rPr>
          <w:rFonts w:cs="Times New Roman"/>
        </w:rPr>
        <w:t>t</w:t>
      </w:r>
      <w:r w:rsidR="001C0796" w:rsidRPr="006B5B91">
        <w:rPr>
          <w:rFonts w:cs="Times New Roman"/>
        </w:rPr>
        <w:t xml:space="preserve"> is regarded as a harbinger of a looming recession.</w:t>
      </w:r>
      <w:r w:rsidR="0064287C">
        <w:rPr>
          <w:rFonts w:cs="Times New Roman"/>
        </w:rPr>
        <w:t xml:space="preserve"> Figure 3 shows the daily yield curve of Government of Canada zero-coupon bonds on three separate days. The downward sloping yield curve of January 9, 1989 preceded the 1990</w:t>
      </w:r>
      <w:r w:rsidR="00D71369">
        <w:rPr>
          <w:rFonts w:cs="Times New Roman"/>
        </w:rPr>
        <w:t>-</w:t>
      </w:r>
      <w:r w:rsidR="0064287C">
        <w:rPr>
          <w:rFonts w:cs="Times New Roman"/>
        </w:rPr>
        <w:t xml:space="preserve">1992 recession in Canada by over a year. The upward sloping yield curve of May 7, 1996 </w:t>
      </w:r>
      <w:r w:rsidR="00DE2CF5">
        <w:rPr>
          <w:rFonts w:cs="Times New Roman"/>
        </w:rPr>
        <w:t>reflected</w:t>
      </w:r>
      <w:r w:rsidR="0064287C">
        <w:rPr>
          <w:rFonts w:cs="Times New Roman"/>
        </w:rPr>
        <w:t xml:space="preserve"> the economic expansion experienced in the 1990s. The flat yield curve of June 27, 2007 signalled the impending 2008-2009 recession.</w:t>
      </w:r>
    </w:p>
    <w:p w14:paraId="6CCECA1C" w14:textId="77777777" w:rsidR="0002476E" w:rsidRPr="006B5B91" w:rsidRDefault="00DF25F0" w:rsidP="0002476E">
      <w:pPr>
        <w:keepNext/>
        <w:spacing w:line="480" w:lineRule="auto"/>
        <w:rPr>
          <w:rFonts w:cs="Times New Roman"/>
        </w:rPr>
      </w:pPr>
      <w:r w:rsidRPr="006B5B91">
        <w:rPr>
          <w:rFonts w:cs="Times New Roman"/>
          <w:noProof/>
          <w:lang w:val="en-US"/>
        </w:rPr>
        <w:drawing>
          <wp:inline distT="0" distB="0" distL="0" distR="0" wp14:anchorId="6903EF34" wp14:editId="1900D944">
            <wp:extent cx="5924550" cy="2752725"/>
            <wp:effectExtent l="0" t="0" r="0" b="9525"/>
            <wp:docPr id="5" name="Chart 5">
              <a:extLst xmlns:a="http://schemas.openxmlformats.org/drawingml/2006/main">
                <a:ext uri="{FF2B5EF4-FFF2-40B4-BE49-F238E27FC236}">
                  <a16:creationId xmlns:a16="http://schemas.microsoft.com/office/drawing/2014/main" id="{76267FEC-2899-44F0-B8D0-4B00F258CE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393C5F" w14:textId="383D8928" w:rsidR="00DF25F0" w:rsidRPr="006B5B91" w:rsidRDefault="0002476E" w:rsidP="0002476E">
      <w:pPr>
        <w:rPr>
          <w:rFonts w:cs="Times New Roman"/>
        </w:rPr>
      </w:pPr>
      <w:bookmarkStart w:id="5" w:name="_Toc37263454"/>
      <w:r w:rsidRPr="006B5B91">
        <w:rPr>
          <w:rFonts w:cs="Times New Roman"/>
          <w:i/>
          <w:iCs/>
        </w:rPr>
        <w:t xml:space="preserve">Figure </w:t>
      </w:r>
      <w:r w:rsidRPr="006B5B91">
        <w:rPr>
          <w:rFonts w:cs="Times New Roman"/>
          <w:i/>
          <w:iCs/>
        </w:rPr>
        <w:fldChar w:fldCharType="begin"/>
      </w:r>
      <w:r w:rsidRPr="006B5B91">
        <w:rPr>
          <w:rFonts w:cs="Times New Roman"/>
          <w:i/>
          <w:iCs/>
        </w:rPr>
        <w:instrText xml:space="preserve"> SEQ Figure \* ARABIC </w:instrText>
      </w:r>
      <w:r w:rsidRPr="006B5B91">
        <w:rPr>
          <w:rFonts w:cs="Times New Roman"/>
          <w:i/>
          <w:iCs/>
        </w:rPr>
        <w:fldChar w:fldCharType="separate"/>
      </w:r>
      <w:r w:rsidR="00AC0696">
        <w:rPr>
          <w:rFonts w:cs="Times New Roman"/>
          <w:i/>
          <w:iCs/>
          <w:noProof/>
        </w:rPr>
        <w:t>3</w:t>
      </w:r>
      <w:r w:rsidRPr="006B5B91">
        <w:rPr>
          <w:rFonts w:cs="Times New Roman"/>
          <w:i/>
          <w:iCs/>
        </w:rPr>
        <w:fldChar w:fldCharType="end"/>
      </w:r>
      <w:r w:rsidRPr="006B5B91">
        <w:rPr>
          <w:rFonts w:cs="Times New Roman"/>
        </w:rPr>
        <w:t>. Shapes of yield curves for</w:t>
      </w:r>
      <w:r w:rsidR="008D12CE">
        <w:rPr>
          <w:rFonts w:cs="Times New Roman"/>
        </w:rPr>
        <w:t xml:space="preserve"> Government of Canada</w:t>
      </w:r>
      <w:r w:rsidRPr="006B5B91">
        <w:rPr>
          <w:rFonts w:cs="Times New Roman"/>
        </w:rPr>
        <w:t xml:space="preserve"> zero-coupon </w:t>
      </w:r>
      <w:r w:rsidR="00A03664" w:rsidRPr="006B5B91">
        <w:rPr>
          <w:rFonts w:cs="Times New Roman"/>
        </w:rPr>
        <w:t>bonds.</w:t>
      </w:r>
      <w:bookmarkEnd w:id="5"/>
      <w:r w:rsidRPr="006B5B91">
        <w:rPr>
          <w:rFonts w:cs="Times New Roman"/>
        </w:rPr>
        <w:t xml:space="preserve"> </w:t>
      </w:r>
      <w:r w:rsidR="00FD2AC1" w:rsidRPr="00475E29">
        <w:rPr>
          <w:rFonts w:cs="Times New Roman"/>
        </w:rPr>
        <w:t>Data from</w:t>
      </w:r>
      <w:r w:rsidR="00B403DA" w:rsidRPr="00475E29">
        <w:rPr>
          <w:rFonts w:cs="Times New Roman"/>
        </w:rPr>
        <w:t xml:space="preserve"> Bank of Canada (2020).</w:t>
      </w:r>
    </w:p>
    <w:p w14:paraId="26F00D00" w14:textId="77777777" w:rsidR="00594E5A" w:rsidRDefault="00594E5A" w:rsidP="003D4253">
      <w:pPr>
        <w:spacing w:line="480" w:lineRule="auto"/>
        <w:ind w:firstLine="720"/>
        <w:rPr>
          <w:rFonts w:cs="Times New Roman"/>
        </w:rPr>
      </w:pPr>
    </w:p>
    <w:p w14:paraId="14317FCD" w14:textId="6514C957" w:rsidR="000D669A" w:rsidRPr="00CD063A" w:rsidRDefault="000D669A" w:rsidP="003D4253">
      <w:pPr>
        <w:spacing w:line="480" w:lineRule="auto"/>
        <w:ind w:firstLine="720"/>
        <w:rPr>
          <w:rFonts w:cs="Times New Roman"/>
        </w:rPr>
      </w:pPr>
      <w:r w:rsidRPr="00CD063A">
        <w:rPr>
          <w:rFonts w:cs="Times New Roman"/>
        </w:rPr>
        <w:lastRenderedPageBreak/>
        <w:t>When investors expect an economic slowdown or recession on the horizon, they typically flock to safe-haven assets.</w:t>
      </w:r>
      <w:r w:rsidR="00ED5298" w:rsidRPr="00CD063A">
        <w:rPr>
          <w:rFonts w:cs="Times New Roman"/>
        </w:rPr>
        <w:t xml:space="preserve"> The demand for long-term government bonds increases relative to short-term bonds, stocks, and other assets considered risky in the short-term.</w:t>
      </w:r>
      <w:r w:rsidR="002B323D" w:rsidRPr="00AD1ECB">
        <w:rPr>
          <w:rFonts w:cs="Times New Roman"/>
          <w:color w:val="FF0000"/>
        </w:rPr>
        <w:t xml:space="preserve"> </w:t>
      </w:r>
      <w:r w:rsidRPr="00CD063A">
        <w:rPr>
          <w:rFonts w:cs="Times New Roman"/>
        </w:rPr>
        <w:t xml:space="preserve">This has the effect of driving </w:t>
      </w:r>
      <w:r w:rsidR="00ED5298" w:rsidRPr="00CD063A">
        <w:rPr>
          <w:rFonts w:cs="Times New Roman"/>
        </w:rPr>
        <w:t>prices of long-term</w:t>
      </w:r>
      <w:r w:rsidR="00CD063A">
        <w:rPr>
          <w:rFonts w:cs="Times New Roman"/>
        </w:rPr>
        <w:t xml:space="preserve"> bonds up</w:t>
      </w:r>
      <w:r w:rsidRPr="00CD063A">
        <w:rPr>
          <w:rFonts w:cs="Times New Roman"/>
        </w:rPr>
        <w:t xml:space="preserve"> and their yields down (bond prices move inversely to their yields). </w:t>
      </w:r>
      <w:r w:rsidR="001C0796" w:rsidRPr="00CD063A">
        <w:rPr>
          <w:rFonts w:cs="Times New Roman"/>
        </w:rPr>
        <w:t xml:space="preserve">If there is enough of a pessimistic sentiment amongst investors, long-term yields drop to levels close to, or even </w:t>
      </w:r>
      <w:r w:rsidR="00DA6BF2">
        <w:rPr>
          <w:rFonts w:cs="Times New Roman"/>
        </w:rPr>
        <w:t>below</w:t>
      </w:r>
      <w:r w:rsidR="001C0796" w:rsidRPr="00CD063A">
        <w:rPr>
          <w:rFonts w:cs="Times New Roman"/>
        </w:rPr>
        <w:t>, short-term yields, creating a flat</w:t>
      </w:r>
      <w:r w:rsidR="000C6190" w:rsidRPr="00CD063A">
        <w:rPr>
          <w:rFonts w:cs="Times New Roman"/>
        </w:rPr>
        <w:t xml:space="preserve"> </w:t>
      </w:r>
      <w:r w:rsidR="001C0796" w:rsidRPr="00CD063A">
        <w:rPr>
          <w:rFonts w:cs="Times New Roman"/>
        </w:rPr>
        <w:t xml:space="preserve">or downward sloping yield curve. </w:t>
      </w:r>
    </w:p>
    <w:p w14:paraId="76C5644E" w14:textId="72AE662C" w:rsidR="00EB259B" w:rsidRPr="00CD063A" w:rsidRDefault="000D669A" w:rsidP="000C6190">
      <w:pPr>
        <w:spacing w:line="480" w:lineRule="auto"/>
        <w:ind w:firstLine="720"/>
        <w:rPr>
          <w:rFonts w:cs="Times New Roman"/>
        </w:rPr>
      </w:pPr>
      <w:r w:rsidRPr="00CD063A">
        <w:rPr>
          <w:rFonts w:cs="Times New Roman"/>
        </w:rPr>
        <w:t xml:space="preserve">It is important to note that yield curves do not cause recessions, but are merely a reflection of market expectations about the trajectory of monetary policy and economic conditions. </w:t>
      </w:r>
      <w:r w:rsidR="00EB259B" w:rsidRPr="00CD063A">
        <w:rPr>
          <w:rFonts w:cs="Times New Roman"/>
        </w:rPr>
        <w:t xml:space="preserve">Analysts and economists claim </w:t>
      </w:r>
      <w:r w:rsidR="005E1D4C">
        <w:rPr>
          <w:rFonts w:cs="Times New Roman"/>
        </w:rPr>
        <w:t xml:space="preserve">that </w:t>
      </w:r>
      <w:r w:rsidR="00EB259B" w:rsidRPr="00CD063A">
        <w:rPr>
          <w:rFonts w:cs="Times New Roman"/>
        </w:rPr>
        <w:t xml:space="preserve">this forward-looking nature of yield curves provides useful information about future economic activity. </w:t>
      </w:r>
    </w:p>
    <w:p w14:paraId="2B71CEEB" w14:textId="06346994" w:rsidR="008835A7" w:rsidRPr="00CD063A" w:rsidRDefault="00661792" w:rsidP="006706D6">
      <w:pPr>
        <w:spacing w:line="480" w:lineRule="auto"/>
        <w:ind w:firstLine="720"/>
        <w:rPr>
          <w:rFonts w:cs="Times New Roman"/>
        </w:rPr>
      </w:pPr>
      <w:r w:rsidRPr="00CD063A">
        <w:rPr>
          <w:rFonts w:cs="Times New Roman"/>
        </w:rPr>
        <w:t xml:space="preserve">The two most commonly used yield spreads for forecasting future economic activity are the ten-year </w:t>
      </w:r>
      <w:r w:rsidR="000C6190" w:rsidRPr="00CD063A">
        <w:rPr>
          <w:rFonts w:cs="Times New Roman"/>
        </w:rPr>
        <w:t>minus</w:t>
      </w:r>
      <w:r w:rsidRPr="00CD063A">
        <w:rPr>
          <w:rFonts w:cs="Times New Roman"/>
        </w:rPr>
        <w:t xml:space="preserve"> </w:t>
      </w:r>
      <w:r w:rsidR="002B323D" w:rsidRPr="00CD063A">
        <w:rPr>
          <w:rFonts w:cs="Times New Roman"/>
        </w:rPr>
        <w:t xml:space="preserve">the </w:t>
      </w:r>
      <w:r w:rsidRPr="00CD063A">
        <w:rPr>
          <w:rFonts w:cs="Times New Roman"/>
        </w:rPr>
        <w:t xml:space="preserve">two-year </w:t>
      </w:r>
      <w:r w:rsidR="00F36D5F" w:rsidRPr="00CD063A">
        <w:rPr>
          <w:rFonts w:cs="Times New Roman"/>
        </w:rPr>
        <w:t xml:space="preserve">(10y-2y) </w:t>
      </w:r>
      <w:r w:rsidR="000C6190" w:rsidRPr="00CD063A">
        <w:rPr>
          <w:rFonts w:cs="Times New Roman"/>
        </w:rPr>
        <w:t>yield</w:t>
      </w:r>
      <w:r w:rsidRPr="00CD063A">
        <w:rPr>
          <w:rFonts w:cs="Times New Roman"/>
        </w:rPr>
        <w:t xml:space="preserve"> spread and the ten-year </w:t>
      </w:r>
      <w:r w:rsidR="000C6190" w:rsidRPr="00CD063A">
        <w:rPr>
          <w:rFonts w:cs="Times New Roman"/>
        </w:rPr>
        <w:t xml:space="preserve">minus </w:t>
      </w:r>
      <w:r w:rsidR="002B323D" w:rsidRPr="00CD063A">
        <w:rPr>
          <w:rFonts w:cs="Times New Roman"/>
        </w:rPr>
        <w:t xml:space="preserve">the </w:t>
      </w:r>
      <w:r w:rsidR="000C6190" w:rsidRPr="00CD063A">
        <w:rPr>
          <w:rFonts w:cs="Times New Roman"/>
        </w:rPr>
        <w:t xml:space="preserve">three-month </w:t>
      </w:r>
      <w:r w:rsidR="00F36D5F" w:rsidRPr="00CD063A">
        <w:rPr>
          <w:rFonts w:cs="Times New Roman"/>
        </w:rPr>
        <w:t xml:space="preserve">(10y-3m) </w:t>
      </w:r>
      <w:r w:rsidR="000C6190" w:rsidRPr="00CD063A">
        <w:rPr>
          <w:rFonts w:cs="Times New Roman"/>
        </w:rPr>
        <w:t>yield</w:t>
      </w:r>
      <w:r w:rsidRPr="00CD063A">
        <w:rPr>
          <w:rFonts w:cs="Times New Roman"/>
        </w:rPr>
        <w:t xml:space="preserve"> spread. Historically, both </w:t>
      </w:r>
      <w:r w:rsidR="008E1574">
        <w:rPr>
          <w:rFonts w:cs="Times New Roman"/>
        </w:rPr>
        <w:t xml:space="preserve">spreads </w:t>
      </w:r>
      <w:r w:rsidRPr="00CD063A">
        <w:rPr>
          <w:rFonts w:cs="Times New Roman"/>
        </w:rPr>
        <w:t xml:space="preserve">have reliably forecasted future recessions, </w:t>
      </w:r>
      <w:r w:rsidR="00F36D5F" w:rsidRPr="00AD1ECB">
        <w:rPr>
          <w:rFonts w:cs="Times New Roman"/>
        </w:rPr>
        <w:t>output growth and other measures of real economic activity</w:t>
      </w:r>
      <w:r w:rsidRPr="00CD063A">
        <w:rPr>
          <w:rFonts w:cs="Times New Roman"/>
        </w:rPr>
        <w:t xml:space="preserve"> in many countries. Their predictive power for inflation has generally been weaker, but still</w:t>
      </w:r>
      <w:r w:rsidR="000C6190" w:rsidRPr="00CD063A">
        <w:rPr>
          <w:rFonts w:cs="Times New Roman"/>
        </w:rPr>
        <w:t xml:space="preserve"> recognized</w:t>
      </w:r>
      <w:r w:rsidRPr="00CD063A">
        <w:rPr>
          <w:rFonts w:cs="Times New Roman"/>
        </w:rPr>
        <w:t xml:space="preserve">. </w:t>
      </w:r>
    </w:p>
    <w:p w14:paraId="715C75F8" w14:textId="7DEEFEEF" w:rsidR="008835A7" w:rsidRDefault="00F83762" w:rsidP="006706D6">
      <w:pPr>
        <w:spacing w:line="480" w:lineRule="auto"/>
        <w:ind w:firstLine="720"/>
        <w:rPr>
          <w:rFonts w:cs="Times New Roman"/>
        </w:rPr>
      </w:pPr>
      <w:r w:rsidRPr="00CD063A">
        <w:rPr>
          <w:rFonts w:cs="Times New Roman"/>
        </w:rPr>
        <w:t>There is some debate that the</w:t>
      </w:r>
      <w:r w:rsidR="001562F0" w:rsidRPr="00CD063A">
        <w:rPr>
          <w:rFonts w:cs="Times New Roman"/>
        </w:rPr>
        <w:t xml:space="preserve"> current</w:t>
      </w:r>
      <w:r w:rsidRPr="00CD063A">
        <w:rPr>
          <w:rFonts w:cs="Times New Roman"/>
        </w:rPr>
        <w:t xml:space="preserve"> low-interest rate environment the global economy is in has diminished the usefulness of yield spreads’ forecasting power. Whether or not this is true, the search for reliable indic</w:t>
      </w:r>
      <w:r w:rsidR="00131950" w:rsidRPr="00CD063A">
        <w:rPr>
          <w:rFonts w:cs="Times New Roman"/>
        </w:rPr>
        <w:t>a</w:t>
      </w:r>
      <w:r w:rsidRPr="00CD063A">
        <w:rPr>
          <w:rFonts w:cs="Times New Roman"/>
        </w:rPr>
        <w:t xml:space="preserve">tors that can signal future economic activity remains as strong as ever. Investors, consumers, and policymakers all benefit from reliable knowledge about future economic conditions. It is </w:t>
      </w:r>
      <w:r w:rsidR="00342E90">
        <w:rPr>
          <w:rFonts w:cs="Times New Roman"/>
        </w:rPr>
        <w:t>against this</w:t>
      </w:r>
      <w:r w:rsidRPr="00CD063A">
        <w:rPr>
          <w:rFonts w:cs="Times New Roman"/>
        </w:rPr>
        <w:t xml:space="preserve"> backdrop that </w:t>
      </w:r>
      <w:r w:rsidR="002B3472" w:rsidRPr="00CD063A">
        <w:rPr>
          <w:rFonts w:cs="Times New Roman"/>
        </w:rPr>
        <w:t xml:space="preserve">a new measure, developed by Engstrom and </w:t>
      </w:r>
      <w:r w:rsidR="00594E2B" w:rsidRPr="00CD063A">
        <w:rPr>
          <w:rFonts w:cs="Times New Roman"/>
        </w:rPr>
        <w:t>Sharpe</w:t>
      </w:r>
      <w:r w:rsidR="002B3472" w:rsidRPr="00CD063A">
        <w:rPr>
          <w:rFonts w:cs="Times New Roman"/>
        </w:rPr>
        <w:t xml:space="preserve"> (201</w:t>
      </w:r>
      <w:r w:rsidR="009E123F">
        <w:rPr>
          <w:rFonts w:cs="Times New Roman"/>
        </w:rPr>
        <w:t>9</w:t>
      </w:r>
      <w:r w:rsidR="002B3472" w:rsidRPr="00CD063A">
        <w:rPr>
          <w:rFonts w:cs="Times New Roman"/>
        </w:rPr>
        <w:t xml:space="preserve">), called the </w:t>
      </w:r>
      <w:r w:rsidR="002B3472" w:rsidRPr="00475E29">
        <w:rPr>
          <w:rFonts w:cs="Times New Roman"/>
          <w:i/>
          <w:iCs/>
        </w:rPr>
        <w:t>near-term forward spread</w:t>
      </w:r>
      <w:r w:rsidR="002B3472" w:rsidRPr="00CD063A">
        <w:rPr>
          <w:rFonts w:cs="Times New Roman"/>
        </w:rPr>
        <w:t xml:space="preserve"> is introduced. Similar to the two aforementioned </w:t>
      </w:r>
      <w:r w:rsidR="00AC2D9F" w:rsidRPr="00CD063A">
        <w:rPr>
          <w:rFonts w:cs="Times New Roman"/>
        </w:rPr>
        <w:t>‘long-term spreads</w:t>
      </w:r>
      <w:r w:rsidR="00FE219D" w:rsidRPr="00CD063A">
        <w:rPr>
          <w:rFonts w:cs="Times New Roman"/>
        </w:rPr>
        <w:t xml:space="preserve">,’ </w:t>
      </w:r>
      <w:r w:rsidR="00AC2D9F" w:rsidRPr="00CD063A">
        <w:rPr>
          <w:rFonts w:cs="Times New Roman"/>
        </w:rPr>
        <w:t>as dubbed by the authors</w:t>
      </w:r>
      <w:r w:rsidR="002B3472" w:rsidRPr="00CD063A">
        <w:rPr>
          <w:rFonts w:cs="Times New Roman"/>
        </w:rPr>
        <w:t>,</w:t>
      </w:r>
      <w:r w:rsidR="002B3472" w:rsidRPr="006B5B91">
        <w:rPr>
          <w:rFonts w:cs="Times New Roman"/>
        </w:rPr>
        <w:t xml:space="preserve"> the </w:t>
      </w:r>
      <w:r w:rsidR="00741D67">
        <w:rPr>
          <w:rFonts w:cs="Times New Roman"/>
        </w:rPr>
        <w:t>near-term forward spread</w:t>
      </w:r>
      <w:r w:rsidR="002B3472" w:rsidRPr="006B5B91">
        <w:rPr>
          <w:rFonts w:cs="Times New Roman"/>
        </w:rPr>
        <w:t xml:space="preserve"> </w:t>
      </w:r>
      <w:r w:rsidR="002B3472" w:rsidRPr="006B5B91">
        <w:rPr>
          <w:rFonts w:cs="Times New Roman"/>
        </w:rPr>
        <w:lastRenderedPageBreak/>
        <w:t>examines the difference between yield</w:t>
      </w:r>
      <w:r w:rsidR="008835A7">
        <w:rPr>
          <w:rFonts w:cs="Times New Roman"/>
        </w:rPr>
        <w:t xml:space="preserve">s </w:t>
      </w:r>
      <w:r w:rsidR="002B3472" w:rsidRPr="006B5B91">
        <w:rPr>
          <w:rFonts w:cs="Times New Roman"/>
        </w:rPr>
        <w:t>of a shorter</w:t>
      </w:r>
      <w:r w:rsidR="005E1D4C">
        <w:rPr>
          <w:rFonts w:cs="Times New Roman"/>
        </w:rPr>
        <w:t xml:space="preserve"> time</w:t>
      </w:r>
      <w:r w:rsidR="002B3472" w:rsidRPr="006B5B91">
        <w:rPr>
          <w:rFonts w:cs="Times New Roman"/>
        </w:rPr>
        <w:t xml:space="preserve"> horizon. Namely, it is the difference between the expected yield on a three-month Treasury bill six</w:t>
      </w:r>
      <w:r w:rsidR="008E1574">
        <w:rPr>
          <w:rFonts w:cs="Times New Roman"/>
        </w:rPr>
        <w:t xml:space="preserve"> </w:t>
      </w:r>
      <w:r w:rsidR="002B3472" w:rsidRPr="006B5B91">
        <w:rPr>
          <w:rFonts w:cs="Times New Roman"/>
        </w:rPr>
        <w:t>quarters</w:t>
      </w:r>
      <w:r w:rsidR="008E1574">
        <w:rPr>
          <w:rFonts w:cs="Times New Roman"/>
        </w:rPr>
        <w:t xml:space="preserve"> </w:t>
      </w:r>
      <w:r w:rsidR="002B3472" w:rsidRPr="006B5B91">
        <w:rPr>
          <w:rFonts w:cs="Times New Roman"/>
        </w:rPr>
        <w:t xml:space="preserve">ahead and a three-month Treasury bill today. The expected yield </w:t>
      </w:r>
      <w:r w:rsidR="008D4DBE" w:rsidRPr="006B5B91">
        <w:rPr>
          <w:rFonts w:cs="Times New Roman"/>
        </w:rPr>
        <w:t>of a security sometime in the future is c</w:t>
      </w:r>
      <w:r w:rsidR="002B3472" w:rsidRPr="006B5B91">
        <w:rPr>
          <w:rFonts w:cs="Times New Roman"/>
        </w:rPr>
        <w:t>alled the forward rate</w:t>
      </w:r>
      <w:r w:rsidR="00131950">
        <w:rPr>
          <w:rFonts w:cs="Times New Roman"/>
        </w:rPr>
        <w:t>,</w:t>
      </w:r>
      <w:r w:rsidR="000B0BE4" w:rsidRPr="006B5B91">
        <w:rPr>
          <w:rStyle w:val="FootnoteReference"/>
          <w:rFonts w:cs="Times New Roman"/>
        </w:rPr>
        <w:footnoteReference w:id="2"/>
      </w:r>
      <w:r w:rsidR="002B3472" w:rsidRPr="006B5B91">
        <w:rPr>
          <w:rFonts w:cs="Times New Roman"/>
        </w:rPr>
        <w:t xml:space="preserve"> hence the name near-term forward rate.</w:t>
      </w:r>
    </w:p>
    <w:p w14:paraId="468B0F91" w14:textId="1E05ADC7" w:rsidR="008835A7" w:rsidRDefault="002B3472" w:rsidP="006706D6">
      <w:pPr>
        <w:spacing w:line="480" w:lineRule="auto"/>
        <w:ind w:firstLine="720"/>
        <w:rPr>
          <w:rFonts w:cs="Times New Roman"/>
        </w:rPr>
      </w:pPr>
      <w:r w:rsidRPr="006B5B91">
        <w:rPr>
          <w:rFonts w:cs="Times New Roman"/>
        </w:rPr>
        <w:t xml:space="preserve"> This novel measure is demonstrated by the authors to have stronger predictive power for future recessions, </w:t>
      </w:r>
      <w:r w:rsidR="008D4DBE" w:rsidRPr="006B5B91">
        <w:rPr>
          <w:rFonts w:cs="Times New Roman"/>
        </w:rPr>
        <w:t xml:space="preserve">real activity, and equity returns in the </w:t>
      </w:r>
      <w:r w:rsidR="005E1B87">
        <w:rPr>
          <w:rFonts w:cs="Times New Roman"/>
        </w:rPr>
        <w:t xml:space="preserve">U.S. </w:t>
      </w:r>
      <w:r w:rsidR="00AC2D9F" w:rsidRPr="006B5B91">
        <w:rPr>
          <w:rFonts w:cs="Times New Roman"/>
        </w:rPr>
        <w:t>than the traditional long-term spreads and surveys of professional forecasters.</w:t>
      </w:r>
      <w:r w:rsidR="008D4DBE" w:rsidRPr="006B5B91">
        <w:rPr>
          <w:rFonts w:cs="Times New Roman"/>
        </w:rPr>
        <w:t xml:space="preserve"> The authors argue that the </w:t>
      </w:r>
      <w:r w:rsidR="00BF59BE">
        <w:rPr>
          <w:rFonts w:cs="Times New Roman"/>
        </w:rPr>
        <w:t xml:space="preserve">near-term forward </w:t>
      </w:r>
      <w:r w:rsidR="005E1D4C">
        <w:rPr>
          <w:rFonts w:cs="Times New Roman"/>
        </w:rPr>
        <w:t>spread</w:t>
      </w:r>
      <w:r w:rsidR="008D4DBE" w:rsidRPr="006B5B91">
        <w:rPr>
          <w:rFonts w:cs="Times New Roman"/>
        </w:rPr>
        <w:t xml:space="preserve"> offers a more intuitive</w:t>
      </w:r>
      <w:r w:rsidR="00531CC2" w:rsidRPr="006B5B91">
        <w:rPr>
          <w:rFonts w:cs="Times New Roman"/>
        </w:rPr>
        <w:t xml:space="preserve"> measure of “market expectations for near-term conventional monetary policy rates</w:t>
      </w:r>
      <w:r w:rsidR="00AC2D9F" w:rsidRPr="006B5B91">
        <w:rPr>
          <w:rFonts w:cs="Times New Roman"/>
        </w:rPr>
        <w:t>”</w:t>
      </w:r>
      <w:r w:rsidR="001562F0">
        <w:rPr>
          <w:rFonts w:cs="Times New Roman"/>
        </w:rPr>
        <w:t xml:space="preserve"> (Engstrom and Sharpe, 201</w:t>
      </w:r>
      <w:r w:rsidR="009E123F">
        <w:rPr>
          <w:rFonts w:cs="Times New Roman"/>
        </w:rPr>
        <w:t>9</w:t>
      </w:r>
      <w:r w:rsidR="001562F0">
        <w:rPr>
          <w:rFonts w:cs="Times New Roman"/>
        </w:rPr>
        <w:t>, p. 1)</w:t>
      </w:r>
      <w:r w:rsidR="00AC2D9F" w:rsidRPr="006B5B91">
        <w:rPr>
          <w:rFonts w:cs="Times New Roman"/>
        </w:rPr>
        <w:t xml:space="preserve"> and future economic activity.</w:t>
      </w:r>
      <w:r w:rsidR="00CD5467" w:rsidRPr="006B5B91">
        <w:rPr>
          <w:rFonts w:cs="Times New Roman"/>
        </w:rPr>
        <w:t xml:space="preserve"> </w:t>
      </w:r>
    </w:p>
    <w:p w14:paraId="2871D607" w14:textId="174B1C41" w:rsidR="005E1B87" w:rsidRDefault="002B3472" w:rsidP="00B75D32">
      <w:pPr>
        <w:spacing w:line="480" w:lineRule="auto"/>
        <w:ind w:firstLine="720"/>
        <w:rPr>
          <w:rFonts w:cs="Times New Roman"/>
        </w:rPr>
      </w:pPr>
      <w:r w:rsidRPr="006B5B91">
        <w:rPr>
          <w:rFonts w:cs="Times New Roman"/>
        </w:rPr>
        <w:t xml:space="preserve">The purpose of this paper is </w:t>
      </w:r>
      <w:r w:rsidR="00CE08D5">
        <w:rPr>
          <w:rFonts w:cs="Times New Roman"/>
        </w:rPr>
        <w:t xml:space="preserve">to </w:t>
      </w:r>
      <w:r w:rsidRPr="006B5B91">
        <w:rPr>
          <w:rFonts w:cs="Times New Roman"/>
        </w:rPr>
        <w:t>examine the same predictive power of the near-term forward spread</w:t>
      </w:r>
      <w:r w:rsidR="008835A7">
        <w:rPr>
          <w:rFonts w:cs="Times New Roman"/>
        </w:rPr>
        <w:t xml:space="preserve"> for Canadian economic activity</w:t>
      </w:r>
      <w:r w:rsidR="00B75D32">
        <w:rPr>
          <w:rFonts w:cs="Times New Roman"/>
        </w:rPr>
        <w:t>. Specifically, it examines the ability of the near-term forward spread, constructed using Canadian data, to forecast Canadian recession</w:t>
      </w:r>
      <w:r w:rsidR="00134C9B">
        <w:rPr>
          <w:rFonts w:cs="Times New Roman"/>
        </w:rPr>
        <w:t>s</w:t>
      </w:r>
      <w:r w:rsidR="00B75D32">
        <w:rPr>
          <w:rFonts w:cs="Times New Roman"/>
        </w:rPr>
        <w:t>, real GDP growth, and inflation. Time horizons of 12</w:t>
      </w:r>
      <w:r w:rsidR="00D37B9D">
        <w:rPr>
          <w:rFonts w:cs="Times New Roman"/>
        </w:rPr>
        <w:t>-</w:t>
      </w:r>
      <w:r w:rsidR="00B75D32">
        <w:rPr>
          <w:rFonts w:cs="Times New Roman"/>
        </w:rPr>
        <w:t>months, 18</w:t>
      </w:r>
      <w:r w:rsidR="00D37B9D">
        <w:rPr>
          <w:rFonts w:cs="Times New Roman"/>
        </w:rPr>
        <w:t>-</w:t>
      </w:r>
      <w:r w:rsidR="00B75D32">
        <w:rPr>
          <w:rFonts w:cs="Times New Roman"/>
        </w:rPr>
        <w:t>months, and 24</w:t>
      </w:r>
      <w:r w:rsidR="00D37B9D">
        <w:rPr>
          <w:rFonts w:cs="Times New Roman"/>
        </w:rPr>
        <w:t>-</w:t>
      </w:r>
      <w:r w:rsidR="00B75D32">
        <w:rPr>
          <w:rFonts w:cs="Times New Roman"/>
        </w:rPr>
        <w:t>months ahead are used for recession forecasting. A time horizon of 12</w:t>
      </w:r>
      <w:r w:rsidR="00D37B9D">
        <w:rPr>
          <w:rFonts w:cs="Times New Roman"/>
        </w:rPr>
        <w:t>-</w:t>
      </w:r>
      <w:r w:rsidR="00B75D32">
        <w:rPr>
          <w:rFonts w:cs="Times New Roman"/>
        </w:rPr>
        <w:t>months</w:t>
      </w:r>
      <w:r w:rsidR="00D37B9D">
        <w:rPr>
          <w:rFonts w:cs="Times New Roman"/>
        </w:rPr>
        <w:t xml:space="preserve"> ahead</w:t>
      </w:r>
      <w:r w:rsidR="00B75D32">
        <w:rPr>
          <w:rFonts w:cs="Times New Roman"/>
        </w:rPr>
        <w:t xml:space="preserve"> is used for real GDP growth and inflation forecasting. </w:t>
      </w:r>
      <w:r w:rsidR="00A72B39" w:rsidRPr="00475E29">
        <w:rPr>
          <w:rFonts w:cs="Times New Roman"/>
        </w:rPr>
        <w:t>The results show that t</w:t>
      </w:r>
      <w:r w:rsidR="00D37B9D" w:rsidRPr="00475E29">
        <w:rPr>
          <w:rFonts w:cs="Times New Roman"/>
        </w:rPr>
        <w:t xml:space="preserve">he near-term forward spread </w:t>
      </w:r>
      <w:r w:rsidR="005E1B87" w:rsidRPr="00475E29">
        <w:rPr>
          <w:rFonts w:cs="Times New Roman"/>
        </w:rPr>
        <w:t>performs better than</w:t>
      </w:r>
      <w:r w:rsidR="001312D8" w:rsidRPr="00475E29">
        <w:rPr>
          <w:rFonts w:cs="Times New Roman"/>
        </w:rPr>
        <w:t xml:space="preserve"> both</w:t>
      </w:r>
      <w:r w:rsidR="005E1B87" w:rsidRPr="00475E29">
        <w:rPr>
          <w:rFonts w:cs="Times New Roman"/>
        </w:rPr>
        <w:t xml:space="preserve"> the 10y-</w:t>
      </w:r>
      <w:r w:rsidR="001312D8" w:rsidRPr="00475E29">
        <w:rPr>
          <w:rFonts w:cs="Times New Roman"/>
        </w:rPr>
        <w:t xml:space="preserve">2y and the </w:t>
      </w:r>
      <w:r w:rsidR="005E1B87" w:rsidRPr="00475E29">
        <w:rPr>
          <w:rFonts w:cs="Times New Roman"/>
        </w:rPr>
        <w:t>10y-</w:t>
      </w:r>
      <w:r w:rsidR="001312D8" w:rsidRPr="00475E29">
        <w:rPr>
          <w:rFonts w:cs="Times New Roman"/>
        </w:rPr>
        <w:t>3m yield</w:t>
      </w:r>
      <w:r w:rsidR="005E1B87" w:rsidRPr="00475E29">
        <w:rPr>
          <w:rFonts w:cs="Times New Roman"/>
        </w:rPr>
        <w:t xml:space="preserve"> spread</w:t>
      </w:r>
      <w:r w:rsidR="00FE3E2F" w:rsidRPr="00475E29">
        <w:rPr>
          <w:rFonts w:cs="Times New Roman"/>
        </w:rPr>
        <w:t>s</w:t>
      </w:r>
      <w:r w:rsidR="00AE388A" w:rsidRPr="00475E29">
        <w:rPr>
          <w:rFonts w:cs="Times New Roman"/>
        </w:rPr>
        <w:t xml:space="preserve"> for </w:t>
      </w:r>
      <w:r w:rsidR="005E1B87" w:rsidRPr="00475E29">
        <w:rPr>
          <w:rFonts w:cs="Times New Roman"/>
        </w:rPr>
        <w:t xml:space="preserve">recession </w:t>
      </w:r>
      <w:r w:rsidR="00AE388A" w:rsidRPr="00475E29">
        <w:rPr>
          <w:rFonts w:cs="Times New Roman"/>
        </w:rPr>
        <w:t xml:space="preserve">forecasting. </w:t>
      </w:r>
      <w:r w:rsidR="0082660F" w:rsidRPr="00475E29">
        <w:rPr>
          <w:rFonts w:cs="Times New Roman"/>
        </w:rPr>
        <w:t>It also provides useful information for</w:t>
      </w:r>
      <w:r w:rsidR="00E45A8A">
        <w:rPr>
          <w:rFonts w:cs="Times New Roman"/>
        </w:rPr>
        <w:t xml:space="preserve"> forecasting</w:t>
      </w:r>
      <w:r w:rsidR="005E1B87" w:rsidRPr="00475E29">
        <w:rPr>
          <w:rFonts w:cs="Times New Roman"/>
        </w:rPr>
        <w:t xml:space="preserve"> real GDP growth. </w:t>
      </w:r>
      <w:r w:rsidR="0082660F" w:rsidRPr="00475E29">
        <w:rPr>
          <w:rFonts w:cs="Times New Roman"/>
        </w:rPr>
        <w:t>However</w:t>
      </w:r>
      <w:r w:rsidR="005E1B87" w:rsidRPr="00475E29">
        <w:rPr>
          <w:rFonts w:cs="Times New Roman"/>
        </w:rPr>
        <w:t>,</w:t>
      </w:r>
      <w:r w:rsidR="0082660F" w:rsidRPr="00475E29">
        <w:rPr>
          <w:rFonts w:cs="Times New Roman"/>
        </w:rPr>
        <w:t xml:space="preserve"> it does not show</w:t>
      </w:r>
      <w:r w:rsidR="005E1B87" w:rsidRPr="00475E29">
        <w:rPr>
          <w:rFonts w:cs="Times New Roman"/>
        </w:rPr>
        <w:t xml:space="preserve"> any forecasting power for inflation in the time period used in the analysis. </w:t>
      </w:r>
    </w:p>
    <w:p w14:paraId="18666C39" w14:textId="65EF8723" w:rsidR="000208D2" w:rsidRPr="00475E29" w:rsidRDefault="0082660F" w:rsidP="007463B8">
      <w:pPr>
        <w:spacing w:line="480" w:lineRule="auto"/>
        <w:ind w:firstLine="720"/>
        <w:rPr>
          <w:rFonts w:cs="Times New Roman"/>
        </w:rPr>
      </w:pPr>
      <w:r w:rsidRPr="00475E29">
        <w:rPr>
          <w:rFonts w:cs="Times New Roman"/>
        </w:rPr>
        <w:t>Although the</w:t>
      </w:r>
      <w:r w:rsidR="00FE3E2F" w:rsidRPr="00475E29">
        <w:rPr>
          <w:rFonts w:cs="Times New Roman"/>
        </w:rPr>
        <w:t xml:space="preserve"> positive</w:t>
      </w:r>
      <w:r w:rsidRPr="00475E29">
        <w:rPr>
          <w:rFonts w:cs="Times New Roman"/>
        </w:rPr>
        <w:t xml:space="preserve"> results are consistent with the findings of Engstrom and Sharpe (2019), there are </w:t>
      </w:r>
      <w:r w:rsidR="006E49C5" w:rsidRPr="00475E29">
        <w:rPr>
          <w:rFonts w:cs="Times New Roman"/>
        </w:rPr>
        <w:t>important</w:t>
      </w:r>
      <w:r w:rsidRPr="00475E29">
        <w:rPr>
          <w:rFonts w:cs="Times New Roman"/>
        </w:rPr>
        <w:t xml:space="preserve"> differences between the two studies</w:t>
      </w:r>
      <w:r w:rsidR="005E1B87" w:rsidRPr="00475E29">
        <w:rPr>
          <w:rFonts w:cs="Times New Roman"/>
        </w:rPr>
        <w:t>.</w:t>
      </w:r>
      <w:r w:rsidR="002A4931" w:rsidRPr="00475E29">
        <w:rPr>
          <w:rFonts w:cs="Times New Roman"/>
        </w:rPr>
        <w:t xml:space="preserve"> </w:t>
      </w:r>
      <w:r w:rsidR="006E49C5" w:rsidRPr="00475E29">
        <w:rPr>
          <w:rFonts w:cs="Times New Roman"/>
        </w:rPr>
        <w:t xml:space="preserve">One key difference is the time span, and consequently, the number of recessions used in each analysis. </w:t>
      </w:r>
      <w:r w:rsidR="000208D2" w:rsidRPr="00475E29">
        <w:rPr>
          <w:rFonts w:cs="Times New Roman"/>
        </w:rPr>
        <w:t>Due to the difference in availability of yield curve data that is needed to derive the near-term forward spread, the time</w:t>
      </w:r>
      <w:r w:rsidR="000208D2" w:rsidRPr="00DE5301">
        <w:rPr>
          <w:rFonts w:cs="Times New Roman"/>
          <w:shd w:val="clear" w:color="auto" w:fill="FFFF00"/>
        </w:rPr>
        <w:t xml:space="preserve"> </w:t>
      </w:r>
      <w:r w:rsidR="000208D2" w:rsidRPr="00475E29">
        <w:rPr>
          <w:rFonts w:cs="Times New Roman"/>
        </w:rPr>
        <w:lastRenderedPageBreak/>
        <w:t>span used in Engstrom and Sharpe (2019) covers a l</w:t>
      </w:r>
      <w:r w:rsidR="00B7380A">
        <w:rPr>
          <w:rFonts w:cs="Times New Roman"/>
        </w:rPr>
        <w:t>onger</w:t>
      </w:r>
      <w:r w:rsidR="009142B3">
        <w:rPr>
          <w:rFonts w:cs="Times New Roman"/>
        </w:rPr>
        <w:t xml:space="preserve"> </w:t>
      </w:r>
      <w:r w:rsidR="000208D2" w:rsidRPr="00475E29">
        <w:rPr>
          <w:rFonts w:cs="Times New Roman"/>
        </w:rPr>
        <w:t xml:space="preserve">period, allowing for more recessionary periods to be used in the analysis. </w:t>
      </w:r>
    </w:p>
    <w:p w14:paraId="6BDB1910" w14:textId="3F3C81F8" w:rsidR="00B75D32" w:rsidRDefault="0082660F" w:rsidP="000208D2">
      <w:pPr>
        <w:spacing w:line="480" w:lineRule="auto"/>
        <w:ind w:firstLine="720"/>
        <w:rPr>
          <w:rFonts w:cs="Times New Roman"/>
        </w:rPr>
      </w:pPr>
      <w:r w:rsidRPr="00475E29">
        <w:rPr>
          <w:rFonts w:cs="Times New Roman"/>
        </w:rPr>
        <w:t>Another key difference is that different m</w:t>
      </w:r>
      <w:r w:rsidR="005E1B87" w:rsidRPr="00475E29">
        <w:rPr>
          <w:rFonts w:cs="Times New Roman"/>
        </w:rPr>
        <w:t>ethod</w:t>
      </w:r>
      <w:r w:rsidRPr="00475E29">
        <w:rPr>
          <w:rFonts w:cs="Times New Roman"/>
        </w:rPr>
        <w:t>s are</w:t>
      </w:r>
      <w:r w:rsidR="005E1B87" w:rsidRPr="00475E29">
        <w:rPr>
          <w:rFonts w:cs="Times New Roman"/>
        </w:rPr>
        <w:t xml:space="preserve"> used </w:t>
      </w:r>
      <w:r w:rsidRPr="00475E29">
        <w:rPr>
          <w:rFonts w:cs="Times New Roman"/>
        </w:rPr>
        <w:t>to</w:t>
      </w:r>
      <w:r w:rsidR="005E1B87" w:rsidRPr="00475E29">
        <w:rPr>
          <w:rFonts w:cs="Times New Roman"/>
        </w:rPr>
        <w:t xml:space="preserve"> construct the yield curves that near-term forward spreads are derived from</w:t>
      </w:r>
      <w:r w:rsidR="005E1B87">
        <w:rPr>
          <w:rFonts w:cs="Times New Roman"/>
        </w:rPr>
        <w:t xml:space="preserve">. Different </w:t>
      </w:r>
      <w:r w:rsidR="00B3300C">
        <w:rPr>
          <w:rFonts w:cs="Times New Roman"/>
        </w:rPr>
        <w:t xml:space="preserve">yield curve estimation methods produce significantly different yield curve shapes, which in turn, produce different near-term forward spread </w:t>
      </w:r>
      <w:r w:rsidR="000C7C3D">
        <w:rPr>
          <w:rFonts w:cs="Times New Roman"/>
        </w:rPr>
        <w:t>estimates</w:t>
      </w:r>
      <w:r w:rsidR="00B3300C">
        <w:rPr>
          <w:rFonts w:cs="Times New Roman"/>
        </w:rPr>
        <w:t>. The analysis of this paper provides context for further research that uses a consistent yield curve estimation method for both Canada and the U.S. to help determine if a particular estimation method is ideal for producing near-term forward spreads with the strongest forecasting power.</w:t>
      </w:r>
    </w:p>
    <w:p w14:paraId="375F4F15" w14:textId="3F60AB29" w:rsidR="00A32F76" w:rsidRDefault="00A32F76" w:rsidP="00AD1ECB">
      <w:pPr>
        <w:spacing w:line="480" w:lineRule="auto"/>
        <w:ind w:firstLine="720"/>
        <w:rPr>
          <w:rFonts w:cs="Times New Roman"/>
        </w:rPr>
      </w:pPr>
      <w:r>
        <w:rPr>
          <w:rFonts w:cs="Times New Roman"/>
        </w:rPr>
        <w:t xml:space="preserve">The rest of the paper is </w:t>
      </w:r>
      <w:r w:rsidR="000C7C3D">
        <w:rPr>
          <w:rFonts w:cs="Times New Roman"/>
        </w:rPr>
        <w:t xml:space="preserve">organized </w:t>
      </w:r>
      <w:r>
        <w:rPr>
          <w:rFonts w:cs="Times New Roman"/>
        </w:rPr>
        <w:t>as follows</w:t>
      </w:r>
      <w:r w:rsidR="00642E97">
        <w:rPr>
          <w:rFonts w:cs="Times New Roman"/>
        </w:rPr>
        <w:t>:</w:t>
      </w:r>
      <w:r>
        <w:rPr>
          <w:rFonts w:cs="Times New Roman"/>
        </w:rPr>
        <w:t xml:space="preserve"> Section 2 provides a review of the literature </w:t>
      </w:r>
      <w:r w:rsidR="00642E97">
        <w:rPr>
          <w:rFonts w:cs="Times New Roman"/>
        </w:rPr>
        <w:t>that examines</w:t>
      </w:r>
      <w:r>
        <w:rPr>
          <w:rFonts w:cs="Times New Roman"/>
        </w:rPr>
        <w:t xml:space="preserve"> the forecasting power of yield spreads, as well as a review of the findings of Engstrom and Sharpe (2019), who introduced the near-term forward spread as novel indicator. </w:t>
      </w:r>
      <w:r w:rsidR="00281A52">
        <w:rPr>
          <w:rFonts w:cs="Times New Roman"/>
        </w:rPr>
        <w:t xml:space="preserve">Section 3 describes the methodology, including the models used and how to calculate the near-term forward spread. </w:t>
      </w:r>
      <w:r>
        <w:rPr>
          <w:rFonts w:cs="Times New Roman"/>
        </w:rPr>
        <w:t xml:space="preserve">Section </w:t>
      </w:r>
      <w:r w:rsidR="00281A52">
        <w:rPr>
          <w:rFonts w:cs="Times New Roman"/>
        </w:rPr>
        <w:t>4</w:t>
      </w:r>
      <w:r>
        <w:rPr>
          <w:rFonts w:cs="Times New Roman"/>
        </w:rPr>
        <w:t xml:space="preserve"> describes the data used in the analysis. Section 5 explains the results of the analysis. Section 6 provides concluding remarks.</w:t>
      </w:r>
    </w:p>
    <w:p w14:paraId="47678EB1" w14:textId="77777777" w:rsidR="008835A7" w:rsidRDefault="008835A7" w:rsidP="006706D6">
      <w:pPr>
        <w:spacing w:line="480" w:lineRule="auto"/>
        <w:ind w:firstLine="720"/>
        <w:rPr>
          <w:rFonts w:cs="Times New Roman"/>
        </w:rPr>
      </w:pPr>
    </w:p>
    <w:p w14:paraId="72340F64" w14:textId="64261A83" w:rsidR="000D55C4" w:rsidRPr="006B5B91" w:rsidRDefault="002B3472" w:rsidP="006706D6">
      <w:pPr>
        <w:spacing w:line="480" w:lineRule="auto"/>
        <w:ind w:firstLine="720"/>
        <w:rPr>
          <w:rFonts w:cs="Times New Roman"/>
        </w:rPr>
      </w:pPr>
      <w:r w:rsidRPr="006B5B91">
        <w:rPr>
          <w:rFonts w:cs="Times New Roman"/>
        </w:rPr>
        <w:t xml:space="preserve"> </w:t>
      </w:r>
    </w:p>
    <w:p w14:paraId="523F590D" w14:textId="1131A35B" w:rsidR="00FE42A5" w:rsidRPr="006B5B91" w:rsidRDefault="005E1A84" w:rsidP="00011624">
      <w:pPr>
        <w:pStyle w:val="Heading1"/>
        <w:rPr>
          <w:rFonts w:cs="Times New Roman"/>
          <w:b w:val="0"/>
        </w:rPr>
      </w:pPr>
      <w:bookmarkStart w:id="6" w:name="_Toc32251667"/>
      <w:bookmarkStart w:id="7" w:name="_Toc37338042"/>
      <w:r>
        <w:rPr>
          <w:rFonts w:cs="Times New Roman"/>
        </w:rPr>
        <w:lastRenderedPageBreak/>
        <w:t>2</w:t>
      </w:r>
      <w:r w:rsidR="00CB44C9">
        <w:rPr>
          <w:rFonts w:cs="Times New Roman"/>
        </w:rPr>
        <w:t xml:space="preserve">.  </w:t>
      </w:r>
      <w:r w:rsidR="00402B90" w:rsidRPr="006B5B91">
        <w:rPr>
          <w:rFonts w:cs="Times New Roman"/>
        </w:rPr>
        <w:t>Literature Review</w:t>
      </w:r>
      <w:bookmarkEnd w:id="6"/>
      <w:bookmarkEnd w:id="7"/>
    </w:p>
    <w:p w14:paraId="1CDBC932" w14:textId="453924F0" w:rsidR="00C32845" w:rsidRPr="006B5B91" w:rsidRDefault="003A5281" w:rsidP="00CD5467">
      <w:pPr>
        <w:spacing w:line="480" w:lineRule="auto"/>
        <w:ind w:firstLine="720"/>
        <w:rPr>
          <w:rFonts w:cs="Times New Roman"/>
        </w:rPr>
      </w:pPr>
      <w:r w:rsidRPr="006B5B91">
        <w:rPr>
          <w:rFonts w:cs="Times New Roman"/>
        </w:rPr>
        <w:t>The literature covering the use of yield spreads in forecasting macroeconomic conditions is</w:t>
      </w:r>
      <w:r w:rsidR="00564882" w:rsidRPr="006B5B91">
        <w:rPr>
          <w:rFonts w:cs="Times New Roman"/>
        </w:rPr>
        <w:t xml:space="preserve"> extensive and growing. </w:t>
      </w:r>
      <w:r w:rsidR="00131950">
        <w:rPr>
          <w:rFonts w:cs="Times New Roman"/>
        </w:rPr>
        <w:t>A</w:t>
      </w:r>
      <w:r w:rsidR="001E0F24" w:rsidRPr="006B5B91">
        <w:rPr>
          <w:rFonts w:cs="Times New Roman"/>
        </w:rPr>
        <w:t xml:space="preserve"> surge of research on the term structure of interest rates as a leading indicator</w:t>
      </w:r>
      <w:r w:rsidR="00131950" w:rsidRPr="006B5B91">
        <w:rPr>
          <w:rFonts w:cs="Times New Roman"/>
        </w:rPr>
        <w:t xml:space="preserve"> began</w:t>
      </w:r>
      <w:r w:rsidR="00131950">
        <w:rPr>
          <w:rFonts w:cs="Times New Roman"/>
        </w:rPr>
        <w:t xml:space="preserve"> i</w:t>
      </w:r>
      <w:r w:rsidR="00131950" w:rsidRPr="006B5B91">
        <w:rPr>
          <w:rFonts w:cs="Times New Roman"/>
        </w:rPr>
        <w:t>n the late 1980s</w:t>
      </w:r>
      <w:r w:rsidR="001E0F24" w:rsidRPr="006B5B91">
        <w:rPr>
          <w:rFonts w:cs="Times New Roman"/>
        </w:rPr>
        <w:t xml:space="preserve">. </w:t>
      </w:r>
      <w:r w:rsidR="00781C40" w:rsidRPr="006B5B91">
        <w:rPr>
          <w:rFonts w:cs="Times New Roman"/>
        </w:rPr>
        <w:t>Some of the early works</w:t>
      </w:r>
      <w:r w:rsidR="00C32845" w:rsidRPr="006B5B91">
        <w:rPr>
          <w:rFonts w:cs="Times New Roman"/>
        </w:rPr>
        <w:t>,</w:t>
      </w:r>
      <w:r w:rsidR="00781C40" w:rsidRPr="006B5B91">
        <w:rPr>
          <w:rFonts w:cs="Times New Roman"/>
        </w:rPr>
        <w:t xml:space="preserve"> such as</w:t>
      </w:r>
      <w:r w:rsidR="00814448" w:rsidRPr="006B5B91">
        <w:rPr>
          <w:rFonts w:cs="Times New Roman"/>
        </w:rPr>
        <w:t xml:space="preserve"> Harvey (1988)</w:t>
      </w:r>
      <w:r w:rsidR="00C32845" w:rsidRPr="006B5B91">
        <w:rPr>
          <w:rFonts w:cs="Times New Roman"/>
        </w:rPr>
        <w:t>, Laurent (1989), Chen (1991), Estrella and Hardouvelis (1991), and Davis and Henry (1994) f</w:t>
      </w:r>
      <w:r w:rsidR="001562F0">
        <w:rPr>
          <w:rFonts w:cs="Times New Roman"/>
        </w:rPr>
        <w:t xml:space="preserve">ind </w:t>
      </w:r>
      <w:r w:rsidR="00C32845" w:rsidRPr="006B5B91">
        <w:rPr>
          <w:rFonts w:cs="Times New Roman"/>
        </w:rPr>
        <w:t xml:space="preserve">that yield curves help predict real activity. The subsequent research of Gamber (1996), Davis and Fagan (1997), Estrella and Mishkin (1997, 1998), </w:t>
      </w:r>
      <w:r w:rsidR="00594FBF" w:rsidRPr="006B5B91">
        <w:rPr>
          <w:rFonts w:cs="Times New Roman"/>
        </w:rPr>
        <w:t>Galbraith and Tkacz (2000), Stock and Watson (2001), Shaaf (2000), Jardet (2004), Ang</w:t>
      </w:r>
      <w:r w:rsidR="004F280C">
        <w:rPr>
          <w:rFonts w:cs="Times New Roman"/>
        </w:rPr>
        <w:t xml:space="preserve"> et al</w:t>
      </w:r>
      <w:r w:rsidR="003D5D98">
        <w:rPr>
          <w:rFonts w:cs="Times New Roman"/>
        </w:rPr>
        <w:t>.</w:t>
      </w:r>
      <w:r w:rsidR="004F280C">
        <w:rPr>
          <w:rFonts w:cs="Times New Roman"/>
        </w:rPr>
        <w:t xml:space="preserve"> </w:t>
      </w:r>
      <w:r w:rsidR="00594FBF" w:rsidRPr="006B5B91">
        <w:rPr>
          <w:rFonts w:cs="Times New Roman"/>
        </w:rPr>
        <w:t xml:space="preserve">(2006), </w:t>
      </w:r>
      <w:r w:rsidR="00B604F8">
        <w:rPr>
          <w:rFonts w:cs="Times New Roman"/>
        </w:rPr>
        <w:t xml:space="preserve">and </w:t>
      </w:r>
      <w:r w:rsidR="00594FBF" w:rsidRPr="006B5B91">
        <w:rPr>
          <w:rFonts w:cs="Times New Roman"/>
        </w:rPr>
        <w:t xml:space="preserve">Aretz and Peel (2008) </w:t>
      </w:r>
      <w:r w:rsidR="00C32845" w:rsidRPr="006B5B91">
        <w:rPr>
          <w:rFonts w:cs="Times New Roman"/>
        </w:rPr>
        <w:t>confirm these results.</w:t>
      </w:r>
    </w:p>
    <w:p w14:paraId="06195123" w14:textId="700400F7" w:rsidR="00594FBF" w:rsidRPr="006B5B91" w:rsidRDefault="00594FBF" w:rsidP="00CD5467">
      <w:pPr>
        <w:spacing w:line="480" w:lineRule="auto"/>
        <w:ind w:firstLine="720"/>
        <w:rPr>
          <w:rFonts w:cs="Times New Roman"/>
        </w:rPr>
      </w:pPr>
      <w:r w:rsidRPr="00435A15">
        <w:rPr>
          <w:rFonts w:cs="Times New Roman"/>
          <w:lang w:val="fr-CA"/>
        </w:rPr>
        <w:t>Dueker (199</w:t>
      </w:r>
      <w:r w:rsidR="003D5D98" w:rsidRPr="00435A15">
        <w:rPr>
          <w:rFonts w:cs="Times New Roman"/>
          <w:lang w:val="fr-CA"/>
        </w:rPr>
        <w:t>8</w:t>
      </w:r>
      <w:r w:rsidRPr="00435A15">
        <w:rPr>
          <w:rFonts w:cs="Times New Roman"/>
          <w:lang w:val="fr-CA"/>
        </w:rPr>
        <w:t>), Dotsey (1998), Estrella and Mishkin (1998), Estrella et al</w:t>
      </w:r>
      <w:r w:rsidR="003D5D98" w:rsidRPr="00435A15">
        <w:rPr>
          <w:rFonts w:cs="Times New Roman"/>
          <w:lang w:val="fr-CA"/>
        </w:rPr>
        <w:t>.</w:t>
      </w:r>
      <w:r w:rsidRPr="00435A15">
        <w:rPr>
          <w:rFonts w:cs="Times New Roman"/>
          <w:lang w:val="fr-CA"/>
        </w:rPr>
        <w:t xml:space="preserve"> </w:t>
      </w:r>
      <w:r w:rsidRPr="006B5B91">
        <w:rPr>
          <w:rFonts w:cs="Times New Roman"/>
        </w:rPr>
        <w:t xml:space="preserve">(2003), Chauvet and Potter (2005), Galvao (2006), Wright (2006), and Rosenberg and Maurer (2008) all use probit models to test the predictive power of yield spreads in the </w:t>
      </w:r>
      <w:r w:rsidR="004F280C">
        <w:rPr>
          <w:rFonts w:cs="Times New Roman"/>
        </w:rPr>
        <w:t>U.S.</w:t>
      </w:r>
      <w:r w:rsidRPr="006B5B91">
        <w:rPr>
          <w:rFonts w:cs="Times New Roman"/>
        </w:rPr>
        <w:t xml:space="preserve"> The authors find that yield spreads are useful for forecasting recessions two to twelve quarters ahead.</w:t>
      </w:r>
    </w:p>
    <w:p w14:paraId="7A9B4BE5" w14:textId="41EA744D" w:rsidR="008941D5" w:rsidRPr="006B5B91" w:rsidRDefault="00594FBF" w:rsidP="00CD5467">
      <w:pPr>
        <w:spacing w:line="480" w:lineRule="auto"/>
        <w:ind w:firstLine="720"/>
        <w:rPr>
          <w:rFonts w:cs="Times New Roman"/>
        </w:rPr>
      </w:pPr>
      <w:r w:rsidRPr="006B5B91">
        <w:rPr>
          <w:rFonts w:cs="Times New Roman"/>
        </w:rPr>
        <w:t xml:space="preserve">Yields spreads </w:t>
      </w:r>
      <w:r w:rsidR="00F64A26">
        <w:rPr>
          <w:rFonts w:cs="Times New Roman"/>
        </w:rPr>
        <w:t>demonstrate</w:t>
      </w:r>
      <w:r w:rsidRPr="006B5B91">
        <w:rPr>
          <w:rFonts w:cs="Times New Roman"/>
        </w:rPr>
        <w:t xml:space="preserve"> to be a good predictor of future changes in inflation</w:t>
      </w:r>
      <w:r w:rsidR="001562F0">
        <w:rPr>
          <w:rFonts w:cs="Times New Roman"/>
        </w:rPr>
        <w:t xml:space="preserve"> as well,</w:t>
      </w:r>
      <w:r w:rsidRPr="006B5B91">
        <w:rPr>
          <w:rFonts w:cs="Times New Roman"/>
        </w:rPr>
        <w:t xml:space="preserve"> in</w:t>
      </w:r>
      <w:r w:rsidR="001562F0">
        <w:rPr>
          <w:rFonts w:cs="Times New Roman"/>
        </w:rPr>
        <w:t xml:space="preserve"> such works as</w:t>
      </w:r>
      <w:r w:rsidRPr="006B5B91">
        <w:rPr>
          <w:rFonts w:cs="Times New Roman"/>
        </w:rPr>
        <w:t xml:space="preserve"> Mishkin (1990</w:t>
      </w:r>
      <w:r w:rsidR="003D5D98">
        <w:rPr>
          <w:rFonts w:cs="Times New Roman"/>
        </w:rPr>
        <w:t>)</w:t>
      </w:r>
      <w:r w:rsidRPr="006B5B91">
        <w:rPr>
          <w:rFonts w:cs="Times New Roman"/>
        </w:rPr>
        <w:t xml:space="preserve">, Fama (1990), Jorian and Mishkin (1991), Frenkel and Lown (1994), </w:t>
      </w:r>
      <w:r w:rsidR="002C0612" w:rsidRPr="006B5B91">
        <w:rPr>
          <w:rFonts w:cs="Times New Roman"/>
        </w:rPr>
        <w:t>Day and Lange (199</w:t>
      </w:r>
      <w:r w:rsidR="002C0612">
        <w:rPr>
          <w:rFonts w:cs="Times New Roman"/>
        </w:rPr>
        <w:t>7</w:t>
      </w:r>
      <w:r w:rsidR="002C0612" w:rsidRPr="006B5B91">
        <w:rPr>
          <w:rFonts w:cs="Times New Roman"/>
        </w:rPr>
        <w:t>)</w:t>
      </w:r>
      <w:r w:rsidR="002C0612">
        <w:rPr>
          <w:rFonts w:cs="Times New Roman"/>
        </w:rPr>
        <w:t xml:space="preserve">, and </w:t>
      </w:r>
      <w:r w:rsidRPr="006B5B91">
        <w:rPr>
          <w:rFonts w:cs="Times New Roman"/>
        </w:rPr>
        <w:t>Kozicki (1997)</w:t>
      </w:r>
      <w:r w:rsidR="002C0612">
        <w:rPr>
          <w:rFonts w:cs="Times New Roman"/>
        </w:rPr>
        <w:t>.</w:t>
      </w:r>
    </w:p>
    <w:p w14:paraId="3A304FBA" w14:textId="67F711B2" w:rsidR="00C32845" w:rsidRPr="006B5B91" w:rsidRDefault="00C32845" w:rsidP="00CD5467">
      <w:pPr>
        <w:spacing w:line="480" w:lineRule="auto"/>
        <w:ind w:firstLine="720"/>
        <w:rPr>
          <w:rFonts w:cs="Times New Roman"/>
        </w:rPr>
      </w:pPr>
      <w:r w:rsidRPr="006B5B91">
        <w:rPr>
          <w:rFonts w:cs="Times New Roman"/>
        </w:rPr>
        <w:t xml:space="preserve">While most of these studies focus on the </w:t>
      </w:r>
      <w:r w:rsidR="000C07F3">
        <w:rPr>
          <w:rFonts w:cs="Times New Roman"/>
        </w:rPr>
        <w:t>U.S.</w:t>
      </w:r>
      <w:r w:rsidRPr="006B5B91">
        <w:rPr>
          <w:rFonts w:cs="Times New Roman"/>
        </w:rPr>
        <w:t>, there are some important findings for Canada as well. Cozier and Tkacz (1994</w:t>
      </w:r>
      <w:r w:rsidR="00594FBF" w:rsidRPr="006B5B91">
        <w:rPr>
          <w:rFonts w:cs="Times New Roman"/>
        </w:rPr>
        <w:t>)</w:t>
      </w:r>
      <w:r w:rsidR="00EC3D04" w:rsidRPr="006B5B91">
        <w:rPr>
          <w:rFonts w:cs="Times New Roman"/>
        </w:rPr>
        <w:t xml:space="preserve"> examine the relationship between yield spreads and economic activity in Canada and f</w:t>
      </w:r>
      <w:r w:rsidR="001562F0">
        <w:rPr>
          <w:rFonts w:cs="Times New Roman"/>
        </w:rPr>
        <w:t>ind</w:t>
      </w:r>
      <w:r w:rsidR="00EC3D04" w:rsidRPr="006B5B91">
        <w:rPr>
          <w:rFonts w:cs="Times New Roman"/>
        </w:rPr>
        <w:t xml:space="preserve"> that yield spreads are a good predictor of output growth. Using models </w:t>
      </w:r>
      <w:r w:rsidR="001562F0">
        <w:rPr>
          <w:rFonts w:cs="Times New Roman"/>
        </w:rPr>
        <w:t xml:space="preserve">that include </w:t>
      </w:r>
      <w:r w:rsidR="00EC3D04" w:rsidRPr="006B5B91">
        <w:rPr>
          <w:rFonts w:cs="Times New Roman"/>
        </w:rPr>
        <w:t xml:space="preserve">lagged inflation and output, the authors also find yield spreads to be a good predictor of inflation at horizons beyond two years. </w:t>
      </w:r>
      <w:r w:rsidR="00FB1FF8" w:rsidRPr="006B5B91">
        <w:rPr>
          <w:rFonts w:cs="Times New Roman"/>
        </w:rPr>
        <w:t xml:space="preserve">Using international data, </w:t>
      </w:r>
      <w:r w:rsidRPr="006B5B91">
        <w:rPr>
          <w:rFonts w:cs="Times New Roman"/>
        </w:rPr>
        <w:t>Bernard and Gerlach (199</w:t>
      </w:r>
      <w:r w:rsidR="005814C3">
        <w:rPr>
          <w:rFonts w:cs="Times New Roman"/>
        </w:rPr>
        <w:t>8</w:t>
      </w:r>
      <w:r w:rsidRPr="006B5B91">
        <w:rPr>
          <w:rFonts w:cs="Times New Roman"/>
        </w:rPr>
        <w:t>)</w:t>
      </w:r>
      <w:r w:rsidR="00FB1FF8" w:rsidRPr="006B5B91">
        <w:rPr>
          <w:rFonts w:cs="Times New Roman"/>
        </w:rPr>
        <w:t xml:space="preserve"> find that yield spreads can predict future recessions in all countries in their stud</w:t>
      </w:r>
      <w:r w:rsidR="000C07F3">
        <w:rPr>
          <w:rFonts w:cs="Times New Roman"/>
        </w:rPr>
        <w:t xml:space="preserve">y, </w:t>
      </w:r>
      <w:r w:rsidR="000C07F3">
        <w:rPr>
          <w:rFonts w:cs="Times New Roman"/>
        </w:rPr>
        <w:lastRenderedPageBreak/>
        <w:t>including Canada.</w:t>
      </w:r>
      <w:r w:rsidR="00FB1FF8" w:rsidRPr="006B5B91">
        <w:rPr>
          <w:rStyle w:val="FootnoteReference"/>
          <w:rFonts w:cs="Times New Roman"/>
        </w:rPr>
        <w:footnoteReference w:id="3"/>
      </w:r>
      <w:r w:rsidR="00D17D49" w:rsidRPr="006B5B91">
        <w:rPr>
          <w:rFonts w:cs="Times New Roman"/>
        </w:rPr>
        <w:t xml:space="preserve"> The effect </w:t>
      </w:r>
      <w:r w:rsidR="001562F0">
        <w:rPr>
          <w:rFonts w:cs="Times New Roman"/>
        </w:rPr>
        <w:t>is found</w:t>
      </w:r>
      <w:r w:rsidR="00D17D49" w:rsidRPr="006B5B91">
        <w:rPr>
          <w:rFonts w:cs="Times New Roman"/>
        </w:rPr>
        <w:t xml:space="preserve"> to be the </w:t>
      </w:r>
      <w:r w:rsidR="00131950">
        <w:rPr>
          <w:rFonts w:cs="Times New Roman"/>
        </w:rPr>
        <w:t xml:space="preserve">strongest </w:t>
      </w:r>
      <w:r w:rsidR="00D17D49" w:rsidRPr="006B5B91">
        <w:rPr>
          <w:rFonts w:cs="Times New Roman"/>
        </w:rPr>
        <w:t xml:space="preserve">in Canada, </w:t>
      </w:r>
      <w:r w:rsidR="00F65A20">
        <w:rPr>
          <w:rFonts w:cs="Times New Roman"/>
        </w:rPr>
        <w:t>the U.S., and Germany</w:t>
      </w:r>
      <w:r w:rsidR="00D3497E" w:rsidRPr="006B5B91">
        <w:rPr>
          <w:rFonts w:cs="Times New Roman"/>
        </w:rPr>
        <w:t>.</w:t>
      </w:r>
      <w:r w:rsidR="00CD5467" w:rsidRPr="006B5B91">
        <w:rPr>
          <w:rFonts w:cs="Times New Roman"/>
        </w:rPr>
        <w:t xml:space="preserve"> </w:t>
      </w:r>
      <w:r w:rsidRPr="006B5B91">
        <w:rPr>
          <w:rFonts w:cs="Times New Roman"/>
        </w:rPr>
        <w:t xml:space="preserve">Atta-Mensah </w:t>
      </w:r>
      <w:r w:rsidR="004E4F38" w:rsidRPr="006B5B91">
        <w:rPr>
          <w:rFonts w:cs="Times New Roman"/>
        </w:rPr>
        <w:t xml:space="preserve">and Tkacz </w:t>
      </w:r>
      <w:r w:rsidRPr="006B5B91">
        <w:rPr>
          <w:rFonts w:cs="Times New Roman"/>
        </w:rPr>
        <w:t>(1998)</w:t>
      </w:r>
      <w:r w:rsidR="004E4F38" w:rsidRPr="006B5B91">
        <w:rPr>
          <w:rFonts w:cs="Times New Roman"/>
        </w:rPr>
        <w:t xml:space="preserve"> use a </w:t>
      </w:r>
      <w:r w:rsidR="00CD5467" w:rsidRPr="006B5B91">
        <w:rPr>
          <w:rFonts w:cs="Times New Roman"/>
        </w:rPr>
        <w:t xml:space="preserve">static </w:t>
      </w:r>
      <w:r w:rsidR="004E4F38" w:rsidRPr="006B5B91">
        <w:rPr>
          <w:rFonts w:cs="Times New Roman"/>
        </w:rPr>
        <w:t>probit model to test the power of some financial variables to predict Canadian recessions and find the yield spread between Canadian long-term bonds and the 90-day commercial paper rate is the best predictor.</w:t>
      </w:r>
      <w:r w:rsidR="00CD5467" w:rsidRPr="006B5B91">
        <w:rPr>
          <w:rFonts w:cs="Times New Roman"/>
        </w:rPr>
        <w:t xml:space="preserve"> </w:t>
      </w:r>
      <w:r w:rsidRPr="006B5B91">
        <w:rPr>
          <w:rFonts w:cs="Times New Roman"/>
        </w:rPr>
        <w:t>Hao and Ng (2011)</w:t>
      </w:r>
      <w:r w:rsidR="00CD5467" w:rsidRPr="006B5B91">
        <w:rPr>
          <w:rFonts w:cs="Times New Roman"/>
        </w:rPr>
        <w:t xml:space="preserve"> </w:t>
      </w:r>
      <w:r w:rsidR="00B604F8">
        <w:rPr>
          <w:rFonts w:cs="Times New Roman"/>
        </w:rPr>
        <w:t xml:space="preserve">use a similar spread and </w:t>
      </w:r>
      <w:r w:rsidR="00CD5467" w:rsidRPr="006B5B91">
        <w:rPr>
          <w:rFonts w:cs="Times New Roman"/>
        </w:rPr>
        <w:t>confirm these results using a dynamic probit model.</w:t>
      </w:r>
      <w:r w:rsidRPr="006B5B91">
        <w:rPr>
          <w:rFonts w:cs="Times New Roman"/>
        </w:rPr>
        <w:t xml:space="preserve"> </w:t>
      </w:r>
    </w:p>
    <w:p w14:paraId="035A4892" w14:textId="765DF475" w:rsidR="008E4F28" w:rsidRDefault="00322EE8" w:rsidP="00D3497E">
      <w:pPr>
        <w:spacing w:line="480" w:lineRule="auto"/>
        <w:ind w:firstLine="720"/>
        <w:rPr>
          <w:rFonts w:cs="Times New Roman"/>
        </w:rPr>
      </w:pPr>
      <w:bookmarkStart w:id="8" w:name="_Toc32251668"/>
      <w:r w:rsidRPr="006B5B91">
        <w:rPr>
          <w:rFonts w:cs="Times New Roman"/>
        </w:rPr>
        <w:t xml:space="preserve">While there is a plethora of research on the relationship between conventional yield spreads and macroeconomic variables, the only study that examines the predictive power of the near-term forward spread so far is by Engstrom and </w:t>
      </w:r>
      <w:r w:rsidR="00594E2B" w:rsidRPr="006B5B91">
        <w:rPr>
          <w:rFonts w:cs="Times New Roman"/>
        </w:rPr>
        <w:t>Sharpe</w:t>
      </w:r>
      <w:r w:rsidRPr="006B5B91">
        <w:rPr>
          <w:rFonts w:cs="Times New Roman"/>
        </w:rPr>
        <w:t xml:space="preserve"> (</w:t>
      </w:r>
      <w:r w:rsidR="00D37B9D">
        <w:rPr>
          <w:rFonts w:cs="Times New Roman"/>
        </w:rPr>
        <w:t>2019</w:t>
      </w:r>
      <w:r w:rsidRPr="006B5B91">
        <w:rPr>
          <w:rFonts w:cs="Times New Roman"/>
        </w:rPr>
        <w:t xml:space="preserve">), who developed and introduced </w:t>
      </w:r>
      <w:r w:rsidR="00131950" w:rsidRPr="006B5B91">
        <w:rPr>
          <w:rFonts w:cs="Times New Roman"/>
        </w:rPr>
        <w:t>th</w:t>
      </w:r>
      <w:r w:rsidR="00131950">
        <w:rPr>
          <w:rFonts w:cs="Times New Roman"/>
        </w:rPr>
        <w:t>is</w:t>
      </w:r>
      <w:r w:rsidR="00131950" w:rsidRPr="006B5B91">
        <w:rPr>
          <w:rFonts w:cs="Times New Roman"/>
        </w:rPr>
        <w:t xml:space="preserve"> </w:t>
      </w:r>
      <w:r w:rsidRPr="006B5B91">
        <w:rPr>
          <w:rFonts w:cs="Times New Roman"/>
        </w:rPr>
        <w:t>novel measure.</w:t>
      </w:r>
      <w:r w:rsidR="00CD5467" w:rsidRPr="006B5B91">
        <w:rPr>
          <w:rFonts w:cs="Times New Roman"/>
        </w:rPr>
        <w:t xml:space="preserve"> </w:t>
      </w:r>
      <w:r w:rsidR="00C3188A" w:rsidRPr="006B5B91">
        <w:rPr>
          <w:rFonts w:cs="Times New Roman"/>
        </w:rPr>
        <w:t xml:space="preserve">The </w:t>
      </w:r>
      <w:r w:rsidR="00456BB2" w:rsidRPr="006B5B91">
        <w:rPr>
          <w:rFonts w:cs="Times New Roman"/>
        </w:rPr>
        <w:t xml:space="preserve">authors </w:t>
      </w:r>
      <w:r w:rsidR="00902781">
        <w:rPr>
          <w:rFonts w:cs="Times New Roman"/>
        </w:rPr>
        <w:t xml:space="preserve">find </w:t>
      </w:r>
      <w:r w:rsidR="00456BB2" w:rsidRPr="006B5B91">
        <w:rPr>
          <w:rFonts w:cs="Times New Roman"/>
        </w:rPr>
        <w:t xml:space="preserve">that the near-term forward spread does a better job </w:t>
      </w:r>
      <w:r w:rsidR="00C15F93">
        <w:rPr>
          <w:rFonts w:cs="Times New Roman"/>
        </w:rPr>
        <w:t>of</w:t>
      </w:r>
      <w:r w:rsidR="00456BB2" w:rsidRPr="006B5B91">
        <w:rPr>
          <w:rFonts w:cs="Times New Roman"/>
        </w:rPr>
        <w:t xml:space="preserve"> predicting </w:t>
      </w:r>
      <w:r w:rsidR="000C07F3">
        <w:rPr>
          <w:rFonts w:cs="Times New Roman"/>
        </w:rPr>
        <w:t>U.S.</w:t>
      </w:r>
      <w:r w:rsidR="00456BB2" w:rsidRPr="006B5B91">
        <w:rPr>
          <w:rFonts w:cs="Times New Roman"/>
        </w:rPr>
        <w:t xml:space="preserve"> recessions than the traditional </w:t>
      </w:r>
      <w:r w:rsidR="002D5C87">
        <w:rPr>
          <w:rFonts w:cs="Times New Roman"/>
        </w:rPr>
        <w:t>10y-2y</w:t>
      </w:r>
      <w:r w:rsidR="00902781">
        <w:rPr>
          <w:rFonts w:cs="Times New Roman"/>
        </w:rPr>
        <w:t xml:space="preserve"> and </w:t>
      </w:r>
      <w:r w:rsidR="002D5C87">
        <w:rPr>
          <w:rFonts w:cs="Times New Roman"/>
        </w:rPr>
        <w:t>10y-3m</w:t>
      </w:r>
      <w:r w:rsidR="00B604F8">
        <w:rPr>
          <w:rFonts w:cs="Times New Roman"/>
        </w:rPr>
        <w:t xml:space="preserve"> </w:t>
      </w:r>
      <w:r w:rsidR="00902781">
        <w:rPr>
          <w:rFonts w:cs="Times New Roman"/>
        </w:rPr>
        <w:t xml:space="preserve">yield </w:t>
      </w:r>
      <w:r w:rsidR="00456BB2" w:rsidRPr="006B5B91">
        <w:rPr>
          <w:rFonts w:cs="Times New Roman"/>
        </w:rPr>
        <w:t>spread</w:t>
      </w:r>
      <w:r w:rsidR="00902781">
        <w:rPr>
          <w:rFonts w:cs="Times New Roman"/>
        </w:rPr>
        <w:t>s</w:t>
      </w:r>
      <w:r w:rsidR="00456BB2" w:rsidRPr="006B5B91">
        <w:rPr>
          <w:rFonts w:cs="Times New Roman"/>
        </w:rPr>
        <w:t xml:space="preserve">. </w:t>
      </w:r>
      <w:r w:rsidR="006959BB" w:rsidRPr="006B5B91">
        <w:rPr>
          <w:rFonts w:cs="Times New Roman"/>
        </w:rPr>
        <w:t>Using quarterly data from 1972</w:t>
      </w:r>
      <w:r w:rsidR="00B604F8">
        <w:rPr>
          <w:rFonts w:cs="Times New Roman"/>
        </w:rPr>
        <w:t xml:space="preserve"> to </w:t>
      </w:r>
      <w:r w:rsidR="006959BB" w:rsidRPr="006B5B91">
        <w:rPr>
          <w:rFonts w:cs="Times New Roman"/>
        </w:rPr>
        <w:t xml:space="preserve">2018 and </w:t>
      </w:r>
      <w:r w:rsidR="000C07F3">
        <w:rPr>
          <w:rFonts w:cs="Times New Roman"/>
        </w:rPr>
        <w:t>U.S.</w:t>
      </w:r>
      <w:r w:rsidR="006959BB" w:rsidRPr="006B5B91">
        <w:rPr>
          <w:rFonts w:cs="Times New Roman"/>
        </w:rPr>
        <w:t xml:space="preserve"> recession dates from the National Bureau of Economic Research (NBER), the authors find that a one</w:t>
      </w:r>
      <w:r w:rsidR="00902781">
        <w:rPr>
          <w:rFonts w:cs="Times New Roman"/>
        </w:rPr>
        <w:t>-</w:t>
      </w:r>
      <w:r w:rsidR="006959BB" w:rsidRPr="006B5B91">
        <w:rPr>
          <w:rFonts w:cs="Times New Roman"/>
        </w:rPr>
        <w:t>standard</w:t>
      </w:r>
      <w:r w:rsidR="00902781">
        <w:rPr>
          <w:rFonts w:cs="Times New Roman"/>
        </w:rPr>
        <w:t>-</w:t>
      </w:r>
      <w:r w:rsidR="006959BB" w:rsidRPr="006B5B91">
        <w:rPr>
          <w:rFonts w:cs="Times New Roman"/>
        </w:rPr>
        <w:t xml:space="preserve">deviation decrease in the near-term forward spread increases the probability of a </w:t>
      </w:r>
      <w:r w:rsidR="000C07F3">
        <w:rPr>
          <w:rFonts w:cs="Times New Roman"/>
        </w:rPr>
        <w:t>U.S.</w:t>
      </w:r>
      <w:r w:rsidR="006959BB" w:rsidRPr="006B5B91">
        <w:rPr>
          <w:rFonts w:cs="Times New Roman"/>
        </w:rPr>
        <w:t xml:space="preserve"> recession by 47 percentage points. The results are statistically significant at the 1% level of significance. The two conventional long-term spreads show a smaller effect. The same one-standard-deviation </w:t>
      </w:r>
      <w:r w:rsidR="00EC7BB5" w:rsidRPr="006B5B91">
        <w:rPr>
          <w:rFonts w:cs="Times New Roman"/>
        </w:rPr>
        <w:t xml:space="preserve">decrease in the 10y-2y and 10y-3m yield spreads increase the probability of a </w:t>
      </w:r>
      <w:r w:rsidR="000C07F3">
        <w:rPr>
          <w:rFonts w:cs="Times New Roman"/>
        </w:rPr>
        <w:t>U.S.</w:t>
      </w:r>
      <w:r w:rsidR="00EC7BB5" w:rsidRPr="006B5B91">
        <w:rPr>
          <w:rFonts w:cs="Times New Roman"/>
        </w:rPr>
        <w:t xml:space="preserve"> recession by 36 and 41 percentage points, respectively. Both results </w:t>
      </w:r>
      <w:r w:rsidR="00914A57">
        <w:rPr>
          <w:rFonts w:cs="Times New Roman"/>
        </w:rPr>
        <w:t>are</w:t>
      </w:r>
      <w:r w:rsidR="00EC7BB5" w:rsidRPr="006B5B91">
        <w:rPr>
          <w:rFonts w:cs="Times New Roman"/>
        </w:rPr>
        <w:t xml:space="preserve"> also statistically significant at the 1% level of significance.</w:t>
      </w:r>
      <w:r w:rsidR="00C069FC" w:rsidRPr="006B5B91">
        <w:rPr>
          <w:rFonts w:cs="Times New Roman"/>
        </w:rPr>
        <w:t xml:space="preserve"> </w:t>
      </w:r>
    </w:p>
    <w:p w14:paraId="11136601" w14:textId="77777777" w:rsidR="00ED5573" w:rsidRDefault="00C069FC" w:rsidP="00ED5573">
      <w:pPr>
        <w:spacing w:line="480" w:lineRule="auto"/>
        <w:ind w:firstLine="720"/>
        <w:rPr>
          <w:rFonts w:cs="Times New Roman"/>
        </w:rPr>
      </w:pPr>
      <w:r w:rsidRPr="006B5B91">
        <w:rPr>
          <w:rFonts w:cs="Times New Roman"/>
        </w:rPr>
        <w:t>To test the relative information contribution of the near-term forward spread, the authors include both the 10y-2y spread and 10y-3m spread, separately, along with the near-term forward spread</w:t>
      </w:r>
      <w:r w:rsidR="00ED5573">
        <w:rPr>
          <w:rFonts w:cs="Times New Roman"/>
        </w:rPr>
        <w:t xml:space="preserve"> in</w:t>
      </w:r>
      <w:r w:rsidRPr="006B5B91">
        <w:rPr>
          <w:rFonts w:cs="Times New Roman"/>
        </w:rPr>
        <w:t xml:space="preserve"> subsequent regressions and</w:t>
      </w:r>
      <w:r w:rsidR="008E4F28">
        <w:rPr>
          <w:rFonts w:cs="Times New Roman"/>
        </w:rPr>
        <w:t xml:space="preserve"> f</w:t>
      </w:r>
      <w:r w:rsidR="00ED5573">
        <w:rPr>
          <w:rFonts w:cs="Times New Roman"/>
        </w:rPr>
        <w:t>ind</w:t>
      </w:r>
      <w:r w:rsidR="008E4F28">
        <w:rPr>
          <w:rFonts w:cs="Times New Roman"/>
        </w:rPr>
        <w:t xml:space="preserve"> </w:t>
      </w:r>
      <w:r w:rsidRPr="006B5B91">
        <w:rPr>
          <w:rFonts w:cs="Times New Roman"/>
        </w:rPr>
        <w:t xml:space="preserve">that in both cases, the addition of the long-term spreads did not significantly change the magnitude of the coefficient on the near-term forward </w:t>
      </w:r>
      <w:r w:rsidRPr="006B5B91">
        <w:rPr>
          <w:rFonts w:cs="Times New Roman"/>
        </w:rPr>
        <w:lastRenderedPageBreak/>
        <w:t>spread. Fitted conditional probabilities d</w:t>
      </w:r>
      <w:r w:rsidR="00ED5573">
        <w:rPr>
          <w:rFonts w:cs="Times New Roman"/>
        </w:rPr>
        <w:t>o</w:t>
      </w:r>
      <w:r w:rsidRPr="006B5B91">
        <w:rPr>
          <w:rFonts w:cs="Times New Roman"/>
        </w:rPr>
        <w:t xml:space="preserve"> not change dramatically either. The authors conclude</w:t>
      </w:r>
      <w:r w:rsidR="00ED5573">
        <w:rPr>
          <w:rFonts w:cs="Times New Roman"/>
        </w:rPr>
        <w:t xml:space="preserve"> </w:t>
      </w:r>
      <w:r w:rsidRPr="006B5B91">
        <w:rPr>
          <w:rFonts w:cs="Times New Roman"/>
        </w:rPr>
        <w:t>that the near-term forward spread contains most of the information in the long-term spreads.</w:t>
      </w:r>
      <w:r w:rsidR="00ED5573">
        <w:rPr>
          <w:rFonts w:cs="Times New Roman"/>
        </w:rPr>
        <w:t xml:space="preserve"> </w:t>
      </w:r>
    </w:p>
    <w:p w14:paraId="5B515304" w14:textId="59A459BC" w:rsidR="00C95278" w:rsidRPr="006B5B91" w:rsidRDefault="00C95278" w:rsidP="00ED5573">
      <w:pPr>
        <w:spacing w:line="480" w:lineRule="auto"/>
        <w:ind w:firstLine="720"/>
        <w:rPr>
          <w:rFonts w:cs="Times New Roman"/>
        </w:rPr>
      </w:pPr>
      <w:r w:rsidRPr="006B5B91">
        <w:rPr>
          <w:rFonts w:cs="Times New Roman"/>
        </w:rPr>
        <w:t xml:space="preserve">Examining the relationship between the near-term forward spread and real activity and equity returns in the </w:t>
      </w:r>
      <w:r w:rsidR="000C07F3">
        <w:rPr>
          <w:rFonts w:cs="Times New Roman"/>
        </w:rPr>
        <w:t>U.S.</w:t>
      </w:r>
      <w:r w:rsidRPr="006B5B91">
        <w:rPr>
          <w:rFonts w:cs="Times New Roman"/>
        </w:rPr>
        <w:t>, the authors again find stronger predictive power than the other two conventional yield spreads.</w:t>
      </w:r>
      <w:r w:rsidR="000C07F3">
        <w:rPr>
          <w:rFonts w:cs="Times New Roman"/>
        </w:rPr>
        <w:t xml:space="preserve"> </w:t>
      </w:r>
    </w:p>
    <w:p w14:paraId="6189B93F" w14:textId="77777777" w:rsidR="00ED4356" w:rsidRDefault="00ED4356" w:rsidP="00456BB2">
      <w:pPr>
        <w:rPr>
          <w:rFonts w:cs="Times New Roman"/>
        </w:rPr>
        <w:sectPr w:rsidR="00ED4356">
          <w:pgSz w:w="12240" w:h="15840"/>
          <w:pgMar w:top="1440" w:right="1440" w:bottom="1440" w:left="1440" w:header="720" w:footer="720" w:gutter="0"/>
          <w:cols w:space="720"/>
          <w:docGrid w:linePitch="360"/>
        </w:sectPr>
      </w:pPr>
    </w:p>
    <w:p w14:paraId="7B948784" w14:textId="17015161" w:rsidR="00ED4356" w:rsidRPr="006B5B91" w:rsidRDefault="00ED4356" w:rsidP="00ED4356">
      <w:pPr>
        <w:pStyle w:val="Heading1"/>
        <w:rPr>
          <w:rFonts w:cs="Times New Roman"/>
        </w:rPr>
      </w:pPr>
      <w:bookmarkStart w:id="9" w:name="_Toc37338043"/>
      <w:r>
        <w:rPr>
          <w:rFonts w:cs="Times New Roman"/>
        </w:rPr>
        <w:lastRenderedPageBreak/>
        <w:t xml:space="preserve">3.  </w:t>
      </w:r>
      <w:r w:rsidRPr="006B5B91">
        <w:rPr>
          <w:rFonts w:cs="Times New Roman"/>
        </w:rPr>
        <w:t>Methodol</w:t>
      </w:r>
      <w:r>
        <w:rPr>
          <w:rFonts w:cs="Times New Roman"/>
        </w:rPr>
        <w:t>o</w:t>
      </w:r>
      <w:r w:rsidRPr="006B5B91">
        <w:rPr>
          <w:rFonts w:cs="Times New Roman"/>
        </w:rPr>
        <w:t>gy</w:t>
      </w:r>
      <w:bookmarkEnd w:id="9"/>
    </w:p>
    <w:p w14:paraId="0C1FC6CC" w14:textId="799F028F" w:rsidR="00ED4356" w:rsidRPr="006B5B91" w:rsidRDefault="00ED4356" w:rsidP="00ED4356">
      <w:pPr>
        <w:pStyle w:val="Heading2"/>
        <w:rPr>
          <w:rFonts w:cs="Times New Roman"/>
        </w:rPr>
      </w:pPr>
      <w:bookmarkStart w:id="10" w:name="_Toc37338044"/>
      <w:r>
        <w:rPr>
          <w:rFonts w:cs="Times New Roman"/>
        </w:rPr>
        <w:t xml:space="preserve">3.1.  </w:t>
      </w:r>
      <w:r w:rsidRPr="006B5B91">
        <w:rPr>
          <w:rFonts w:cs="Times New Roman"/>
        </w:rPr>
        <w:t>Models</w:t>
      </w:r>
      <w:bookmarkEnd w:id="10"/>
    </w:p>
    <w:p w14:paraId="3A1A2CB1" w14:textId="72C27758" w:rsidR="00ED4356" w:rsidRPr="006B5B91" w:rsidRDefault="00ED4356" w:rsidP="00ED4356">
      <w:pPr>
        <w:spacing w:line="480" w:lineRule="auto"/>
        <w:ind w:firstLine="720"/>
        <w:rPr>
          <w:rFonts w:cs="Times New Roman"/>
          <w:b/>
          <w:bCs/>
          <w:iCs/>
        </w:rPr>
      </w:pPr>
      <w:bookmarkStart w:id="11" w:name="_Toc37338045"/>
      <w:r>
        <w:rPr>
          <w:rStyle w:val="Heading3Char"/>
          <w:rFonts w:cs="Times New Roman"/>
        </w:rPr>
        <w:t xml:space="preserve">3.1.a.  </w:t>
      </w:r>
      <w:r w:rsidRPr="006B5B91">
        <w:rPr>
          <w:rStyle w:val="Heading3Char"/>
          <w:rFonts w:cs="Times New Roman"/>
        </w:rPr>
        <w:t xml:space="preserve">Recession </w:t>
      </w:r>
      <w:r>
        <w:rPr>
          <w:rStyle w:val="Heading3Char"/>
          <w:rFonts w:cs="Times New Roman"/>
        </w:rPr>
        <w:t>F</w:t>
      </w:r>
      <w:r w:rsidRPr="006B5B91">
        <w:rPr>
          <w:rStyle w:val="Heading3Char"/>
          <w:rFonts w:cs="Times New Roman"/>
        </w:rPr>
        <w:t>orecasting.</w:t>
      </w:r>
      <w:bookmarkEnd w:id="11"/>
      <w:r w:rsidRPr="006B5B91">
        <w:rPr>
          <w:rFonts w:cs="Times New Roman"/>
          <w:b/>
          <w:bCs/>
          <w:iCs/>
        </w:rPr>
        <w:t xml:space="preserve"> </w:t>
      </w:r>
      <w:r w:rsidRPr="006B5B91">
        <w:rPr>
          <w:rFonts w:cs="Times New Roman"/>
        </w:rPr>
        <w:t>The econometric model for recession forecasting takes the form of a static probit model</w:t>
      </w:r>
      <w:r>
        <w:rPr>
          <w:rFonts w:cs="Times New Roman"/>
        </w:rPr>
        <w:t>:</w:t>
      </w:r>
    </w:p>
    <w:p w14:paraId="19315F11" w14:textId="77777777" w:rsidR="00ED4356" w:rsidRPr="006B5B91" w:rsidRDefault="009C4B5A" w:rsidP="00ED4356">
      <w:pPr>
        <w:spacing w:line="480" w:lineRule="auto"/>
        <w:ind w:left="1440" w:firstLine="720"/>
        <w:rPr>
          <w:rFonts w:cs="Times New Roman"/>
          <w:lang w:val="en-CA"/>
        </w:rPr>
      </w:pPr>
      <m:oMath>
        <m:func>
          <m:funcPr>
            <m:ctrlPr>
              <w:rPr>
                <w:rFonts w:ascii="Cambria Math" w:hAnsi="Cambria Math" w:cs="Times New Roman"/>
                <w:lang w:val="en-CA"/>
              </w:rPr>
            </m:ctrlPr>
          </m:funcPr>
          <m:fName>
            <m:r>
              <m:rPr>
                <m:sty m:val="p"/>
              </m:rPr>
              <w:rPr>
                <w:rFonts w:ascii="Cambria Math" w:hAnsi="Cambria Math" w:cs="Times New Roman"/>
                <w:lang w:val="en-CA"/>
              </w:rPr>
              <m:t>Pr</m:t>
            </m:r>
          </m:fName>
          <m:e>
            <m:d>
              <m:dPr>
                <m:ctrlPr>
                  <w:rPr>
                    <w:rFonts w:ascii="Cambria Math" w:hAnsi="Cambria Math" w:cs="Times New Roman"/>
                    <w:i/>
                    <w:lang w:val="en-CA"/>
                  </w:rPr>
                </m:ctrlPr>
              </m:dPr>
              <m:e>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r>
                  <w:rPr>
                    <w:rFonts w:ascii="Cambria Math" w:hAnsi="Cambria Math" w:cs="Times New Roman"/>
                    <w:lang w:val="en-CA"/>
                  </w:rPr>
                  <m:t>=1</m:t>
                </m:r>
              </m:e>
            </m:d>
          </m:e>
        </m:func>
        <m:r>
          <w:rPr>
            <w:rFonts w:ascii="Cambria Math" w:hAnsi="Cambria Math" w:cs="Times New Roman"/>
            <w:lang w:val="en-CA"/>
          </w:rPr>
          <m:t>=ϕ</m:t>
        </m:r>
        <m:d>
          <m:dPr>
            <m:ctrlPr>
              <w:rPr>
                <w:rFonts w:ascii="Cambria Math" w:hAnsi="Cambria Math" w:cs="Times New Roman"/>
                <w:i/>
                <w:lang w:val="en-CA"/>
              </w:rPr>
            </m:ctrlPr>
          </m:dPr>
          <m:e>
            <m:r>
              <w:rPr>
                <w:rFonts w:ascii="Cambria Math" w:hAnsi="Cambria Math" w:cs="Times New Roman"/>
                <w:lang w:val="en-CA"/>
              </w:rPr>
              <m:t>α+β*</m:t>
            </m:r>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e>
        </m:d>
      </m:oMath>
      <w:r w:rsidR="00ED4356" w:rsidRPr="006B5B91">
        <w:rPr>
          <w:rFonts w:cs="Times New Roman"/>
          <w:lang w:val="en-CA"/>
        </w:rPr>
        <w:t xml:space="preserve"> </w:t>
      </w:r>
    </w:p>
    <w:p w14:paraId="1618BDB6" w14:textId="51C721BC" w:rsidR="00ED4356" w:rsidRDefault="00ED4356" w:rsidP="00ED4356">
      <w:pPr>
        <w:spacing w:line="480" w:lineRule="auto"/>
        <w:rPr>
          <w:rFonts w:cs="Times New Roman"/>
          <w:lang w:val="en-CA"/>
        </w:rPr>
      </w:pPr>
      <w:r w:rsidRPr="006B5B91">
        <w:rPr>
          <w:rFonts w:cs="Times New Roman"/>
          <w:lang w:val="en-CA"/>
        </w:rPr>
        <w:t xml:space="preserve">where the dependant variable </w:t>
      </w:r>
      <m:oMath>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oMath>
      <w:r w:rsidRPr="006B5B91">
        <w:rPr>
          <w:rFonts w:cs="Times New Roman"/>
          <w:lang w:val="en-CA"/>
        </w:rPr>
        <w:t xml:space="preserve"> is a binary variable that equals 1 if there is a recession from time </w:t>
      </w:r>
      <w:r w:rsidRPr="006B5B91">
        <w:rPr>
          <w:rFonts w:cs="Times New Roman"/>
          <w:i/>
          <w:lang w:val="en-CA"/>
        </w:rPr>
        <w:t>t</w:t>
      </w:r>
      <w:r w:rsidRPr="006B5B91">
        <w:rPr>
          <w:rFonts w:cs="Times New Roman"/>
          <w:lang w:val="en-CA"/>
        </w:rPr>
        <w:t xml:space="preserve"> to </w:t>
      </w:r>
      <w:r w:rsidRPr="006B5B91">
        <w:rPr>
          <w:rFonts w:cs="Times New Roman"/>
          <w:i/>
          <w:lang w:val="en-CA"/>
        </w:rPr>
        <w:t xml:space="preserve">t+k </w:t>
      </w:r>
      <w:r w:rsidRPr="006B5B91">
        <w:rPr>
          <w:rFonts w:cs="Times New Roman"/>
          <w:lang w:val="en-CA"/>
        </w:rPr>
        <w:t xml:space="preserve">and equal to 0 if not, ɸ is the cumulative normal function, and </w:t>
      </w:r>
      <m:oMath>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oMath>
      <w:r w:rsidRPr="006B5B91">
        <w:rPr>
          <w:rFonts w:cs="Times New Roman"/>
          <w:lang w:val="en-CA"/>
        </w:rPr>
        <w:t xml:space="preserve"> is the yield spread</w:t>
      </w:r>
      <w:r w:rsidRPr="006B5B91">
        <w:rPr>
          <w:rStyle w:val="FootnoteReference"/>
          <w:rFonts w:cs="Times New Roman"/>
          <w:lang w:val="en-CA"/>
        </w:rPr>
        <w:footnoteReference w:id="4"/>
      </w:r>
      <w:r w:rsidRPr="006B5B91">
        <w:rPr>
          <w:rFonts w:cs="Times New Roman"/>
          <w:lang w:val="en-CA"/>
        </w:rPr>
        <w:t xml:space="preserve"> in month </w:t>
      </w:r>
      <w:r w:rsidRPr="006B5B91">
        <w:rPr>
          <w:rFonts w:cs="Times New Roman"/>
          <w:i/>
          <w:lang w:val="en-CA"/>
        </w:rPr>
        <w:t>t</w:t>
      </w:r>
      <w:r w:rsidRPr="006B5B91">
        <w:rPr>
          <w:rFonts w:cs="Times New Roman"/>
          <w:lang w:val="en-CA"/>
        </w:rPr>
        <w:t>.</w:t>
      </w:r>
      <w:r>
        <w:rPr>
          <w:rFonts w:cs="Times New Roman"/>
          <w:lang w:val="en-CA"/>
        </w:rPr>
        <w:t xml:space="preserve"> </w:t>
      </w:r>
      <w:r w:rsidRPr="006B5B91">
        <w:rPr>
          <w:rFonts w:cs="Times New Roman"/>
          <w:lang w:val="en-CA"/>
        </w:rPr>
        <w:t xml:space="preserve">Specifically, the model is designed to estimate the probability that the economy will transition into a recession </w:t>
      </w:r>
      <w:r w:rsidR="00573C52">
        <w:rPr>
          <w:rFonts w:cs="Times New Roman"/>
          <w:lang w:val="en-CA"/>
        </w:rPr>
        <w:t>within time</w:t>
      </w:r>
      <w:r w:rsidRPr="006B5B91">
        <w:rPr>
          <w:rFonts w:cs="Times New Roman"/>
          <w:lang w:val="en-CA"/>
        </w:rPr>
        <w:t xml:space="preserve"> </w:t>
      </w:r>
      <w:r w:rsidRPr="006B5B91">
        <w:rPr>
          <w:rFonts w:cs="Times New Roman"/>
          <w:i/>
          <w:lang w:val="en-CA"/>
        </w:rPr>
        <w:t xml:space="preserve">t+k </w:t>
      </w:r>
      <w:r w:rsidR="00C15F93">
        <w:rPr>
          <w:rFonts w:cs="Times New Roman"/>
          <w:lang w:val="en-CA"/>
        </w:rPr>
        <w:t>given</w:t>
      </w:r>
      <w:r w:rsidRPr="006B5B91">
        <w:rPr>
          <w:rFonts w:cs="Times New Roman"/>
          <w:lang w:val="en-CA"/>
        </w:rPr>
        <w:t xml:space="preserve"> information used at time </w:t>
      </w:r>
      <w:r w:rsidRPr="006B5B91">
        <w:rPr>
          <w:rFonts w:cs="Times New Roman"/>
          <w:i/>
          <w:lang w:val="en-CA"/>
        </w:rPr>
        <w:t>t</w:t>
      </w:r>
      <w:r w:rsidRPr="006B5B91">
        <w:rPr>
          <w:rFonts w:cs="Times New Roman"/>
          <w:lang w:val="en-CA"/>
        </w:rPr>
        <w:t>.</w:t>
      </w:r>
    </w:p>
    <w:p w14:paraId="4E329AE0" w14:textId="77777777" w:rsidR="00ED4356" w:rsidRPr="00741D67" w:rsidRDefault="00ED4356" w:rsidP="00ED4356">
      <w:pPr>
        <w:spacing w:line="480" w:lineRule="auto"/>
        <w:ind w:firstLine="720"/>
        <w:rPr>
          <w:rFonts w:cs="Times New Roman"/>
          <w:lang w:val="en-CA"/>
        </w:rPr>
      </w:pPr>
      <w:r w:rsidRPr="006B5B91">
        <w:rPr>
          <w:rFonts w:cs="Times New Roman"/>
          <w:lang w:val="en-CA"/>
        </w:rPr>
        <w:t>This model is common</w:t>
      </w:r>
      <w:r>
        <w:rPr>
          <w:rFonts w:cs="Times New Roman"/>
          <w:lang w:val="en-CA"/>
        </w:rPr>
        <w:t>ly used</w:t>
      </w:r>
      <w:r w:rsidRPr="006B5B91">
        <w:rPr>
          <w:rFonts w:cs="Times New Roman"/>
          <w:lang w:val="en-CA"/>
        </w:rPr>
        <w:t xml:space="preserve"> in the literature to predict future recessions.</w:t>
      </w:r>
      <w:r>
        <w:rPr>
          <w:rFonts w:cs="Times New Roman"/>
          <w:lang w:val="en-CA"/>
        </w:rPr>
        <w:t xml:space="preserve"> Estrella and Hardouvelis (1991), Dueker (1998), and Estrella and Mishkin (1998) use a static probit model to predict a binary recession variable. </w:t>
      </w:r>
      <w:r w:rsidRPr="006B5B91">
        <w:rPr>
          <w:rFonts w:cs="Times New Roman"/>
          <w:lang w:val="en-CA"/>
        </w:rPr>
        <w:t xml:space="preserve">The dependant variable takes on only two possible values, 1 if there is a recession within a stated </w:t>
      </w:r>
      <w:r>
        <w:rPr>
          <w:rFonts w:cs="Times New Roman"/>
          <w:lang w:val="en-CA"/>
        </w:rPr>
        <w:t xml:space="preserve">time </w:t>
      </w:r>
      <w:r w:rsidRPr="006B5B91">
        <w:rPr>
          <w:rFonts w:cs="Times New Roman"/>
          <w:lang w:val="en-CA"/>
        </w:rPr>
        <w:t>horizon, and 0 otherwise</w:t>
      </w:r>
      <w:r>
        <w:rPr>
          <w:rFonts w:cs="Times New Roman"/>
          <w:lang w:val="en-CA"/>
        </w:rPr>
        <w:t>. However, unlike most previous studies,</w:t>
      </w:r>
      <w:r w:rsidRPr="00C9542F">
        <w:rPr>
          <w:rFonts w:cs="Times New Roman"/>
          <w:lang w:val="en-CA"/>
        </w:rPr>
        <w:t xml:space="preserve"> </w:t>
      </w:r>
      <w:r>
        <w:rPr>
          <w:rFonts w:cs="Times New Roman"/>
          <w:lang w:val="en-CA"/>
        </w:rPr>
        <w:t>this paper excludes observations for which the economy was already in a recession in the previous month. The interest of this paper is in the power of the spreads to forecast the Canadian economy transitioning from a period of expansion to a recession.</w:t>
      </w:r>
    </w:p>
    <w:p w14:paraId="066C6037" w14:textId="77777777" w:rsidR="00ED4356" w:rsidRDefault="00ED4356" w:rsidP="00ED4356">
      <w:pPr>
        <w:spacing w:line="480" w:lineRule="auto"/>
        <w:ind w:firstLine="720"/>
        <w:rPr>
          <w:rStyle w:val="Heading3Char"/>
          <w:rFonts w:cs="Times New Roman"/>
        </w:rPr>
      </w:pPr>
    </w:p>
    <w:p w14:paraId="06B3D37C" w14:textId="4A6CBDBC" w:rsidR="00ED4356" w:rsidRPr="006B5B91" w:rsidRDefault="00ED4356" w:rsidP="00ED4356">
      <w:pPr>
        <w:spacing w:line="480" w:lineRule="auto"/>
        <w:ind w:firstLine="720"/>
        <w:rPr>
          <w:rFonts w:cs="Times New Roman"/>
          <w:lang w:val="en-CA"/>
        </w:rPr>
      </w:pPr>
      <w:bookmarkStart w:id="12" w:name="_Toc37338046"/>
      <w:r>
        <w:rPr>
          <w:rStyle w:val="Heading3Char"/>
          <w:rFonts w:cs="Times New Roman"/>
        </w:rPr>
        <w:t xml:space="preserve">3.1.b.  </w:t>
      </w:r>
      <w:r w:rsidRPr="006B5B91">
        <w:rPr>
          <w:rStyle w:val="Heading3Char"/>
          <w:rFonts w:cs="Times New Roman"/>
        </w:rPr>
        <w:t xml:space="preserve">Real GDP </w:t>
      </w:r>
      <w:r>
        <w:rPr>
          <w:rStyle w:val="Heading3Char"/>
          <w:rFonts w:cs="Times New Roman"/>
        </w:rPr>
        <w:t>F</w:t>
      </w:r>
      <w:r w:rsidRPr="006B5B91">
        <w:rPr>
          <w:rStyle w:val="Heading3Char"/>
          <w:rFonts w:cs="Times New Roman"/>
        </w:rPr>
        <w:t>orecasting.</w:t>
      </w:r>
      <w:bookmarkEnd w:id="12"/>
      <w:r w:rsidRPr="006B5B91">
        <w:rPr>
          <w:rFonts w:cs="Times New Roman"/>
          <w:lang w:val="en-CA"/>
        </w:rPr>
        <w:t xml:space="preserve"> </w:t>
      </w:r>
      <w:r w:rsidRPr="006B5B91">
        <w:rPr>
          <w:rFonts w:cs="Times New Roman"/>
        </w:rPr>
        <w:t>Following the literature</w:t>
      </w:r>
      <w:r w:rsidRPr="006B5B91">
        <w:rPr>
          <w:rStyle w:val="FootnoteReference"/>
          <w:rFonts w:cs="Times New Roman"/>
        </w:rPr>
        <w:footnoteReference w:id="5"/>
      </w:r>
      <w:r w:rsidRPr="006B5B91">
        <w:rPr>
          <w:rFonts w:cs="Times New Roman"/>
        </w:rPr>
        <w:t>, the econometric model for GDP forecasting takes the form of a linear model</w:t>
      </w:r>
      <w:r>
        <w:rPr>
          <w:rFonts w:cs="Times New Roman"/>
        </w:rPr>
        <w:t>:</w:t>
      </w:r>
    </w:p>
    <w:p w14:paraId="3BC4E3AF" w14:textId="77777777" w:rsidR="00ED4356" w:rsidRPr="006B5B91" w:rsidRDefault="009C4B5A" w:rsidP="00ED4356">
      <w:pPr>
        <w:spacing w:line="480" w:lineRule="auto"/>
        <w:ind w:left="2160" w:firstLine="720"/>
        <w:rPr>
          <w:rFonts w:cs="Times New Roman"/>
        </w:rPr>
      </w:pPr>
      <m:oMath>
        <m:sSub>
          <m:sSubPr>
            <m:ctrlPr>
              <w:rPr>
                <w:rFonts w:ascii="Cambria Math" w:hAnsi="Cambria Math" w:cs="Times New Roman"/>
                <w:i/>
              </w:rPr>
            </m:ctrlPr>
          </m:sSubPr>
          <m:e>
            <m:r>
              <w:rPr>
                <w:rFonts w:ascii="Cambria Math" w:hAnsi="Cambria Math" w:cs="Times New Roman"/>
              </w:rPr>
              <m:t>g</m:t>
            </m:r>
          </m:e>
          <m:sub>
            <m:r>
              <w:rPr>
                <w:rFonts w:ascii="Cambria Math" w:hAnsi="Cambria Math" w:cs="Times New Roman"/>
              </w:rPr>
              <m:t>t →t+q</m:t>
            </m:r>
          </m:sub>
        </m:sSub>
        <m:r>
          <w:rPr>
            <w:rFonts w:ascii="Cambria Math" w:hAnsi="Cambria Math" w:cs="Times New Roman"/>
          </w:rPr>
          <m:t>=α+β*</m:t>
        </m:r>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t</m:t>
            </m:r>
          </m:sub>
        </m:sSub>
      </m:oMath>
      <w:r w:rsidR="00ED4356" w:rsidRPr="006B5B91">
        <w:rPr>
          <w:rFonts w:cs="Times New Roman"/>
        </w:rPr>
        <w:t xml:space="preserve"> </w:t>
      </w:r>
    </w:p>
    <w:p w14:paraId="0B5F8DCA" w14:textId="2BF5B165" w:rsidR="00ED4356" w:rsidRPr="00292A23" w:rsidRDefault="00ED4356" w:rsidP="00ED4356">
      <w:pPr>
        <w:spacing w:line="480" w:lineRule="auto"/>
        <w:rPr>
          <w:rFonts w:cs="Times New Roman"/>
          <w:iCs/>
        </w:rPr>
      </w:pPr>
      <w:r w:rsidRPr="006B5B91">
        <w:rPr>
          <w:rFonts w:cs="Times New Roman"/>
        </w:rPr>
        <w:lastRenderedPageBreak/>
        <w:t xml:space="preserve">where the dependent variable </w:t>
      </w:r>
      <m:oMath>
        <m:sSub>
          <m:sSubPr>
            <m:ctrlPr>
              <w:rPr>
                <w:rFonts w:ascii="Cambria Math" w:hAnsi="Cambria Math" w:cs="Times New Roman"/>
                <w:i/>
              </w:rPr>
            </m:ctrlPr>
          </m:sSubPr>
          <m:e>
            <m:r>
              <w:rPr>
                <w:rFonts w:ascii="Cambria Math" w:hAnsi="Cambria Math" w:cs="Times New Roman"/>
              </w:rPr>
              <m:t>g</m:t>
            </m:r>
          </m:e>
          <m:sub>
            <m:r>
              <w:rPr>
                <w:rFonts w:ascii="Cambria Math" w:hAnsi="Cambria Math" w:cs="Times New Roman"/>
              </w:rPr>
              <m:t>t →t+q</m:t>
            </m:r>
          </m:sub>
        </m:sSub>
      </m:oMath>
      <w:r w:rsidRPr="006B5B91">
        <w:rPr>
          <w:rFonts w:cs="Times New Roman"/>
        </w:rPr>
        <w:t xml:space="preserve"> is the percentage change in real GDP from time </w:t>
      </w:r>
      <w:r w:rsidRPr="006B5B91">
        <w:rPr>
          <w:rFonts w:cs="Times New Roman"/>
          <w:i/>
        </w:rPr>
        <w:t>t</w:t>
      </w:r>
      <w:r w:rsidRPr="006B5B91">
        <w:rPr>
          <w:rFonts w:cs="Times New Roman"/>
        </w:rPr>
        <w:t xml:space="preserve"> to </w:t>
      </w:r>
      <w:r w:rsidRPr="006B5B91">
        <w:rPr>
          <w:rFonts w:cs="Times New Roman"/>
          <w:i/>
        </w:rPr>
        <w:t>t+q</w:t>
      </w:r>
      <w:r w:rsidRPr="006B5B91">
        <w:rPr>
          <w:rFonts w:cs="Times New Roman"/>
        </w:rPr>
        <w:t xml:space="preserve">, denoted in a quarterly frequency, and calculated as  </w:t>
      </w:r>
      <m:oMath>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400</m:t>
                </m:r>
              </m:num>
              <m:den>
                <m:r>
                  <w:rPr>
                    <w:rFonts w:ascii="Cambria Math" w:hAnsi="Cambria Math" w:cs="Times New Roman"/>
                  </w:rPr>
                  <m:t>q</m:t>
                </m:r>
              </m:den>
            </m:f>
          </m:e>
        </m:d>
        <m:d>
          <m:dPr>
            <m:ctrlPr>
              <w:rPr>
                <w:rFonts w:ascii="Cambria Math" w:hAnsi="Cambria Math" w:cs="Times New Roman"/>
                <w:i/>
              </w:rPr>
            </m:ctrlPr>
          </m:dPr>
          <m:e>
            <m:func>
              <m:funcPr>
                <m:ctrlPr>
                  <w:rPr>
                    <w:rFonts w:ascii="Cambria Math" w:hAnsi="Cambria Math" w:cs="Times New Roman"/>
                    <w:i/>
                  </w:rPr>
                </m:ctrlPr>
              </m:funcPr>
              <m:fName>
                <m:r>
                  <m:rPr>
                    <m:sty m:val="p"/>
                  </m:rPr>
                  <w:rPr>
                    <w:rFonts w:ascii="Cambria Math" w:hAnsi="Cambria Math" w:cs="Times New Roman"/>
                  </w:rPr>
                  <m:t>ln</m:t>
                </m:r>
              </m:fName>
              <m:e>
                <m:sSub>
                  <m:sSubPr>
                    <m:ctrlPr>
                      <w:rPr>
                        <w:rFonts w:ascii="Cambria Math" w:hAnsi="Cambria Math" w:cs="Times New Roman"/>
                        <w:i/>
                      </w:rPr>
                    </m:ctrlPr>
                  </m:sSubPr>
                  <m:e>
                    <m:r>
                      <w:rPr>
                        <w:rFonts w:ascii="Cambria Math" w:hAnsi="Cambria Math" w:cs="Times New Roman"/>
                      </w:rPr>
                      <m:t>realGDP</m:t>
                    </m:r>
                  </m:e>
                  <m:sub>
                    <m:r>
                      <w:rPr>
                        <w:rFonts w:ascii="Cambria Math" w:hAnsi="Cambria Math" w:cs="Times New Roman"/>
                      </w:rPr>
                      <m:t>t+q</m:t>
                    </m:r>
                  </m:sub>
                </m:sSub>
              </m:e>
            </m:func>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ln</m:t>
                </m:r>
              </m:fName>
              <m:e>
                <m:sSub>
                  <m:sSubPr>
                    <m:ctrlPr>
                      <w:rPr>
                        <w:rFonts w:ascii="Cambria Math" w:hAnsi="Cambria Math" w:cs="Times New Roman"/>
                        <w:i/>
                      </w:rPr>
                    </m:ctrlPr>
                  </m:sSubPr>
                  <m:e>
                    <m:r>
                      <w:rPr>
                        <w:rFonts w:ascii="Cambria Math" w:hAnsi="Cambria Math" w:cs="Times New Roman"/>
                      </w:rPr>
                      <m:t>realGDP</m:t>
                    </m:r>
                  </m:e>
                  <m:sub>
                    <m:r>
                      <w:rPr>
                        <w:rFonts w:ascii="Cambria Math" w:hAnsi="Cambria Math" w:cs="Times New Roman"/>
                      </w:rPr>
                      <m:t>t</m:t>
                    </m:r>
                  </m:sub>
                </m:sSub>
              </m:e>
            </m:func>
          </m:e>
        </m:d>
      </m:oMath>
      <w:r w:rsidRPr="006B5B91">
        <w:rPr>
          <w:rFonts w:cs="Times New Roman"/>
        </w:rPr>
        <w:t xml:space="preserve">, and </w:t>
      </w:r>
      <m:oMath>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oMath>
      <w:r w:rsidRPr="006B5B91">
        <w:rPr>
          <w:rFonts w:cs="Times New Roman"/>
        </w:rPr>
        <w:t xml:space="preserve"> is the yield spread in quarter </w:t>
      </w:r>
      <w:r w:rsidRPr="006B5B91">
        <w:rPr>
          <w:rFonts w:cs="Times New Roman"/>
          <w:i/>
        </w:rPr>
        <w:t>t</w:t>
      </w:r>
      <w:r w:rsidR="00292A23">
        <w:rPr>
          <w:rFonts w:cs="Times New Roman"/>
          <w:iCs/>
        </w:rPr>
        <w:t>.</w:t>
      </w:r>
    </w:p>
    <w:p w14:paraId="6BCF305C" w14:textId="77777777" w:rsidR="00ED4356" w:rsidRDefault="00ED4356" w:rsidP="00ED4356">
      <w:pPr>
        <w:spacing w:line="480" w:lineRule="auto"/>
        <w:ind w:firstLine="720"/>
        <w:rPr>
          <w:rStyle w:val="Heading3Char"/>
          <w:rFonts w:cs="Times New Roman"/>
        </w:rPr>
      </w:pPr>
    </w:p>
    <w:p w14:paraId="067F192F" w14:textId="4CA3A268" w:rsidR="00ED4356" w:rsidRPr="006B5B91" w:rsidRDefault="00ED4356" w:rsidP="00ED4356">
      <w:pPr>
        <w:spacing w:line="480" w:lineRule="auto"/>
        <w:ind w:firstLine="720"/>
        <w:rPr>
          <w:rFonts w:cs="Times New Roman"/>
        </w:rPr>
      </w:pPr>
      <w:bookmarkStart w:id="14" w:name="_Toc37338047"/>
      <w:r>
        <w:rPr>
          <w:rStyle w:val="Heading3Char"/>
          <w:rFonts w:cs="Times New Roman"/>
        </w:rPr>
        <w:t xml:space="preserve">3.1.c.  </w:t>
      </w:r>
      <w:r w:rsidRPr="006B5B91">
        <w:rPr>
          <w:rStyle w:val="Heading3Char"/>
          <w:rFonts w:cs="Times New Roman"/>
        </w:rPr>
        <w:t xml:space="preserve">Inflation </w:t>
      </w:r>
      <w:r>
        <w:rPr>
          <w:rStyle w:val="Heading3Char"/>
          <w:rFonts w:cs="Times New Roman"/>
        </w:rPr>
        <w:t>F</w:t>
      </w:r>
      <w:r w:rsidRPr="006B5B91">
        <w:rPr>
          <w:rStyle w:val="Heading3Char"/>
          <w:rFonts w:cs="Times New Roman"/>
        </w:rPr>
        <w:t>orecasting.</w:t>
      </w:r>
      <w:bookmarkEnd w:id="14"/>
      <w:r w:rsidRPr="006B5B91">
        <w:rPr>
          <w:rFonts w:cs="Times New Roman"/>
          <w:lang w:val="en-CA"/>
        </w:rPr>
        <w:t xml:space="preserve"> </w:t>
      </w:r>
      <w:r w:rsidRPr="006B5B91">
        <w:rPr>
          <w:rFonts w:cs="Times New Roman"/>
        </w:rPr>
        <w:t>The econometric model for inflation forecasting takes the form of a linear model similar to Kozicki (1997)</w:t>
      </w:r>
      <w:r>
        <w:rPr>
          <w:rFonts w:cs="Times New Roman"/>
        </w:rPr>
        <w:t>:</w:t>
      </w:r>
    </w:p>
    <w:p w14:paraId="54F5D8F2" w14:textId="77777777" w:rsidR="00ED4356" w:rsidRPr="006B5B91" w:rsidRDefault="009C4B5A" w:rsidP="00ED4356">
      <w:pPr>
        <w:spacing w:line="480" w:lineRule="auto"/>
        <w:rPr>
          <w:rFonts w:cs="Times New Roman"/>
        </w:rPr>
      </w:pPr>
      <m:oMathPara>
        <m:oMath>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t+m-12→t+m</m:t>
              </m:r>
            </m:sub>
          </m:sSub>
          <m:r>
            <w:rPr>
              <w:rFonts w:ascii="Cambria Math" w:hAnsi="Cambria Math" w:cs="Times New Roman"/>
            </w:rPr>
            <m:t>=α+β*</m:t>
          </m:r>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t-12→t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t</m:t>
              </m:r>
            </m:sub>
          </m:sSub>
        </m:oMath>
      </m:oMathPara>
    </w:p>
    <w:p w14:paraId="76909094" w14:textId="3DE43E7D" w:rsidR="00ED4356" w:rsidRPr="006B5B91" w:rsidRDefault="00ED4356" w:rsidP="00ED4356">
      <w:pPr>
        <w:spacing w:line="480" w:lineRule="auto"/>
        <w:rPr>
          <w:rFonts w:cs="Times New Roman"/>
        </w:rPr>
      </w:pPr>
      <w:r w:rsidRPr="006B5B91">
        <w:rPr>
          <w:rFonts w:cs="Times New Roman"/>
        </w:rPr>
        <w:t xml:space="preserve">where the dependent variable </w:t>
      </w:r>
      <m:oMath>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t+m-12→t+m</m:t>
            </m:r>
          </m:sub>
        </m:sSub>
      </m:oMath>
      <w:r w:rsidRPr="006B5B91">
        <w:rPr>
          <w:rFonts w:cs="Times New Roman"/>
        </w:rPr>
        <w:t xml:space="preserve"> is price inflation, expressed as the percentage change in the seasonally adjusted consumer price index (CPI) of all items over 12 months starting in month </w:t>
      </w:r>
      <w:r w:rsidRPr="006B5B91">
        <w:rPr>
          <w:rFonts w:cs="Times New Roman"/>
          <w:i/>
        </w:rPr>
        <w:t>t+m-12</w:t>
      </w:r>
      <w:r w:rsidRPr="006B5B91">
        <w:rPr>
          <w:rFonts w:cs="Times New Roman"/>
        </w:rPr>
        <w:t xml:space="preserve"> and ending in month </w:t>
      </w:r>
      <w:r w:rsidRPr="006B5B91">
        <w:rPr>
          <w:rFonts w:cs="Times New Roman"/>
          <w:i/>
        </w:rPr>
        <w:t>t+m</w:t>
      </w:r>
      <w:r w:rsidRPr="006B5B91">
        <w:rPr>
          <w:rFonts w:cs="Times New Roman"/>
        </w:rPr>
        <w:t xml:space="preserve">, </w:t>
      </w:r>
      <m:oMath>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oMath>
      <w:r w:rsidRPr="006B5B91">
        <w:rPr>
          <w:rFonts w:cs="Times New Roman"/>
        </w:rPr>
        <w:t xml:space="preserve"> is the yield spread in month </w:t>
      </w:r>
      <w:r w:rsidRPr="006B5B91">
        <w:rPr>
          <w:rFonts w:cs="Times New Roman"/>
          <w:i/>
        </w:rPr>
        <w:t>t</w:t>
      </w:r>
      <w:r w:rsidRPr="006B5B91">
        <w:rPr>
          <w:rFonts w:cs="Times New Roman"/>
        </w:rPr>
        <w:t xml:space="preserve">, and </w:t>
      </w:r>
      <m:oMath>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t-12→t</m:t>
            </m:r>
          </m:sub>
        </m:sSub>
      </m:oMath>
      <w:r w:rsidRPr="006B5B91">
        <w:rPr>
          <w:rFonts w:cs="Times New Roman"/>
        </w:rPr>
        <w:t xml:space="preserve"> is the current level of inflation calculated as the percentage change in the seasonally adjusted CPI starting in month </w:t>
      </w:r>
      <w:r w:rsidRPr="006B5B91">
        <w:rPr>
          <w:rFonts w:cs="Times New Roman"/>
          <w:i/>
        </w:rPr>
        <w:t>t-12</w:t>
      </w:r>
      <w:r w:rsidRPr="006B5B91">
        <w:rPr>
          <w:rFonts w:cs="Times New Roman"/>
        </w:rPr>
        <w:t xml:space="preserve"> and ending in month </w:t>
      </w:r>
      <w:r w:rsidRPr="006B5B91">
        <w:rPr>
          <w:rFonts w:cs="Times New Roman"/>
          <w:i/>
        </w:rPr>
        <w:t>t</w:t>
      </w:r>
      <w:r w:rsidR="00292A23">
        <w:rPr>
          <w:rFonts w:cs="Times New Roman"/>
          <w:i/>
        </w:rPr>
        <w:t xml:space="preserve">. </w:t>
      </w:r>
      <w:r w:rsidRPr="006B5B91">
        <w:rPr>
          <w:rFonts w:cs="Times New Roman"/>
        </w:rPr>
        <w:t>The current level of inflation is included because theories of the predictive power of spreads postulate that they predict future inflation relative to current inflation (Kozicki, 1997).</w:t>
      </w:r>
    </w:p>
    <w:p w14:paraId="230787B6" w14:textId="77777777" w:rsidR="00ED4356" w:rsidRPr="006B5B91" w:rsidRDefault="00ED4356" w:rsidP="00ED4356">
      <w:pPr>
        <w:rPr>
          <w:rFonts w:cs="Times New Roman"/>
        </w:rPr>
      </w:pPr>
    </w:p>
    <w:p w14:paraId="72EE1406" w14:textId="0973E2FE" w:rsidR="00ED4356" w:rsidRPr="006B5B91" w:rsidRDefault="00ED4356" w:rsidP="00ED4356">
      <w:pPr>
        <w:pStyle w:val="Heading2"/>
        <w:rPr>
          <w:rFonts w:cs="Times New Roman"/>
        </w:rPr>
      </w:pPr>
      <w:bookmarkStart w:id="15" w:name="_Toc37338048"/>
      <w:r>
        <w:rPr>
          <w:rFonts w:cs="Times New Roman"/>
        </w:rPr>
        <w:t xml:space="preserve">3.2.  </w:t>
      </w:r>
      <w:r w:rsidRPr="006B5B91">
        <w:rPr>
          <w:rFonts w:cs="Times New Roman"/>
        </w:rPr>
        <w:t xml:space="preserve">Calculating the Near-Term Forward </w:t>
      </w:r>
      <w:r>
        <w:rPr>
          <w:rFonts w:cs="Times New Roman"/>
        </w:rPr>
        <w:t>Spread</w:t>
      </w:r>
      <w:bookmarkEnd w:id="15"/>
    </w:p>
    <w:p w14:paraId="32833240" w14:textId="43885B73" w:rsidR="00ED4356" w:rsidRPr="006B5B91" w:rsidRDefault="00ED4356" w:rsidP="00ED4356">
      <w:pPr>
        <w:spacing w:line="480" w:lineRule="auto"/>
        <w:ind w:firstLine="720"/>
        <w:rPr>
          <w:rFonts w:cs="Times New Roman"/>
          <w:lang w:val="en-CA"/>
        </w:rPr>
      </w:pPr>
      <w:r>
        <w:rPr>
          <w:rFonts w:cs="Times New Roman"/>
          <w:lang w:val="en-CA"/>
        </w:rPr>
        <w:t xml:space="preserve">The first step </w:t>
      </w:r>
      <w:r w:rsidR="008257B3">
        <w:rPr>
          <w:rFonts w:cs="Times New Roman"/>
          <w:lang w:val="en-CA"/>
        </w:rPr>
        <w:t>in</w:t>
      </w:r>
      <w:r>
        <w:rPr>
          <w:rFonts w:cs="Times New Roman"/>
          <w:lang w:val="en-CA"/>
        </w:rPr>
        <w:t xml:space="preserve"> calculating the near-term forward </w:t>
      </w:r>
      <w:r w:rsidRPr="00AD1ECB">
        <w:rPr>
          <w:rFonts w:cs="Times New Roman"/>
          <w:i/>
          <w:iCs/>
          <w:lang w:val="en-CA"/>
        </w:rPr>
        <w:t>spread</w:t>
      </w:r>
      <w:r>
        <w:rPr>
          <w:rFonts w:cs="Times New Roman"/>
          <w:lang w:val="en-CA"/>
        </w:rPr>
        <w:t xml:space="preserve"> is deriving the near-term forward </w:t>
      </w:r>
      <w:r w:rsidRPr="00AD1ECB">
        <w:rPr>
          <w:rFonts w:cs="Times New Roman"/>
          <w:i/>
          <w:iCs/>
          <w:lang w:val="en-CA"/>
        </w:rPr>
        <w:t>rate</w:t>
      </w:r>
      <w:r>
        <w:rPr>
          <w:rFonts w:cs="Times New Roman"/>
          <w:lang w:val="en-CA"/>
        </w:rPr>
        <w:t xml:space="preserve">. </w:t>
      </w:r>
      <w:r w:rsidRPr="006B5B91">
        <w:rPr>
          <w:rFonts w:cs="Times New Roman"/>
          <w:lang w:val="en-CA"/>
        </w:rPr>
        <w:t xml:space="preserve">The forward rate is the interest rate on a financial instrument, such as a Treasury bill or bond, applicable in the future. Forward rates are not observable and must be derived. This is why they are sometimes referred to as </w:t>
      </w:r>
      <w:r w:rsidR="008257B3">
        <w:rPr>
          <w:rFonts w:cs="Times New Roman"/>
          <w:lang w:val="en-CA"/>
        </w:rPr>
        <w:t>‘</w:t>
      </w:r>
      <w:r w:rsidRPr="006B5B91">
        <w:rPr>
          <w:rFonts w:cs="Times New Roman"/>
          <w:lang w:val="en-CA"/>
        </w:rPr>
        <w:t>implied</w:t>
      </w:r>
      <w:r w:rsidR="008257B3">
        <w:rPr>
          <w:rFonts w:cs="Times New Roman"/>
          <w:lang w:val="en-CA"/>
        </w:rPr>
        <w:t>’</w:t>
      </w:r>
      <w:r w:rsidRPr="006B5B91">
        <w:rPr>
          <w:rFonts w:cs="Times New Roman"/>
          <w:lang w:val="en-CA"/>
        </w:rPr>
        <w:t xml:space="preserve"> forward rates. They are calculated using a zero-coupon yield curve. The equation used to calculate the six-quarter-ahead implied forward rate on a three-month Treasury bill is as follows:</w:t>
      </w:r>
    </w:p>
    <w:p w14:paraId="6E2B95B1" w14:textId="77777777" w:rsidR="00ED4356" w:rsidRPr="006B5B91" w:rsidRDefault="009C4B5A" w:rsidP="00ED4356">
      <w:pPr>
        <w:spacing w:line="480" w:lineRule="auto"/>
        <w:rPr>
          <w:rFonts w:cs="Times New Roman"/>
          <w:lang w:val="en-CA"/>
        </w:rPr>
      </w:pPr>
      <m:oMathPara>
        <m:oMath>
          <m:sSup>
            <m:sSupPr>
              <m:ctrlPr>
                <w:rPr>
                  <w:rFonts w:ascii="Cambria Math" w:hAnsi="Cambria Math" w:cs="Times New Roman"/>
                  <w:i/>
                  <w:lang w:val="en-CA"/>
                </w:rPr>
              </m:ctrlPr>
            </m:sSupPr>
            <m:e>
              <m:sSub>
                <m:sSubPr>
                  <m:ctrlPr>
                    <w:rPr>
                      <w:rFonts w:ascii="Cambria Math" w:hAnsi="Cambria Math" w:cs="Times New Roman"/>
                      <w:i/>
                      <w:lang w:val="en-CA"/>
                    </w:rPr>
                  </m:ctrlPr>
                </m:sSubPr>
                <m:e>
                  <m:r>
                    <w:rPr>
                      <w:rFonts w:ascii="Cambria Math" w:hAnsi="Cambria Math" w:cs="Times New Roman"/>
                      <w:lang w:val="en-CA"/>
                    </w:rPr>
                    <m:t>f</m:t>
                  </m:r>
                </m:e>
                <m:sub>
                  <m:r>
                    <w:rPr>
                      <w:rFonts w:ascii="Cambria Math" w:hAnsi="Cambria Math" w:cs="Times New Roman"/>
                      <w:lang w:val="en-CA"/>
                    </w:rPr>
                    <m:t>q,m</m:t>
                  </m:r>
                </m:sub>
              </m:sSub>
            </m:e>
            <m:sup>
              <m:r>
                <w:rPr>
                  <w:rFonts w:ascii="Cambria Math" w:hAnsi="Cambria Math" w:cs="Times New Roman"/>
                  <w:lang w:val="en-CA"/>
                </w:rPr>
                <m:t>m</m:t>
              </m:r>
            </m:sup>
          </m:sSup>
          <m:r>
            <w:rPr>
              <w:rFonts w:ascii="Cambria Math" w:hAnsi="Cambria Math" w:cs="Times New Roman"/>
              <w:lang w:val="en-CA"/>
            </w:rPr>
            <m:t>=</m:t>
          </m:r>
          <m:f>
            <m:fPr>
              <m:ctrlPr>
                <w:rPr>
                  <w:rFonts w:ascii="Cambria Math" w:hAnsi="Cambria Math" w:cs="Times New Roman"/>
                  <w:i/>
                  <w:lang w:val="en-CA"/>
                </w:rPr>
              </m:ctrlPr>
            </m:fPr>
            <m:num>
              <m:sSup>
                <m:sSupPr>
                  <m:ctrlPr>
                    <w:rPr>
                      <w:rFonts w:ascii="Cambria Math" w:hAnsi="Cambria Math" w:cs="Times New Roman"/>
                      <w:i/>
                      <w:lang w:val="en-CA"/>
                    </w:rPr>
                  </m:ctrlPr>
                </m:sSup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m:t>
                      </m:r>
                    </m:sub>
                  </m:sSub>
                  <m:r>
                    <w:rPr>
                      <w:rFonts w:ascii="Cambria Math" w:hAnsi="Cambria Math" w:cs="Times New Roman"/>
                      <w:lang w:val="en-CA"/>
                    </w:rPr>
                    <m:t>)</m:t>
                  </m:r>
                </m:e>
                <m:sup>
                  <m:r>
                    <w:rPr>
                      <w:rFonts w:ascii="Cambria Math" w:hAnsi="Cambria Math" w:cs="Times New Roman"/>
                      <w:lang w:val="en-CA"/>
                    </w:rPr>
                    <m:t>q+m</m:t>
                  </m:r>
                </m:sup>
              </m:sSup>
            </m:num>
            <m:den>
              <m:sSup>
                <m:sSupPr>
                  <m:ctrlPr>
                    <w:rPr>
                      <w:rFonts w:ascii="Cambria Math" w:hAnsi="Cambria Math" w:cs="Times New Roman"/>
                      <w:i/>
                      <w:lang w:val="en-CA"/>
                    </w:rPr>
                  </m:ctrlPr>
                </m:sSup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t>
                      </m:r>
                    </m:sub>
                  </m:sSub>
                  <m:r>
                    <w:rPr>
                      <w:rFonts w:ascii="Cambria Math" w:hAnsi="Cambria Math" w:cs="Times New Roman"/>
                      <w:lang w:val="en-CA"/>
                    </w:rPr>
                    <m:t>)</m:t>
                  </m:r>
                </m:e>
                <m:sup>
                  <m:r>
                    <w:rPr>
                      <w:rFonts w:ascii="Cambria Math" w:hAnsi="Cambria Math" w:cs="Times New Roman"/>
                      <w:lang w:val="en-CA"/>
                    </w:rPr>
                    <m:t>q</m:t>
                  </m:r>
                </m:sup>
              </m:sSup>
            </m:den>
          </m:f>
          <m:r>
            <w:rPr>
              <w:rFonts w:ascii="Cambria Math" w:hAnsi="Cambria Math" w:cs="Times New Roman"/>
              <w:lang w:val="en-CA"/>
            </w:rPr>
            <m:t>-1</m:t>
          </m:r>
        </m:oMath>
      </m:oMathPara>
    </w:p>
    <w:p w14:paraId="191A9C57" w14:textId="37AFAF34" w:rsidR="00ED4356" w:rsidRPr="006B5B91" w:rsidRDefault="00ED4356" w:rsidP="00ED4356">
      <w:pPr>
        <w:spacing w:line="480" w:lineRule="auto"/>
        <w:rPr>
          <w:rFonts w:cs="Times New Roman"/>
          <w:lang w:val="en-CA"/>
        </w:rPr>
      </w:pPr>
      <w:r w:rsidRPr="006B5B91">
        <w:rPr>
          <w:rFonts w:cs="Times New Roman"/>
          <w:lang w:val="en-CA"/>
        </w:rPr>
        <w:lastRenderedPageBreak/>
        <w:t xml:space="preserve">where </w:t>
      </w:r>
      <m:oMath>
        <m:sSub>
          <m:sSubPr>
            <m:ctrlPr>
              <w:rPr>
                <w:rFonts w:ascii="Cambria Math" w:hAnsi="Cambria Math" w:cs="Times New Roman"/>
                <w:i/>
                <w:lang w:val="en-CA"/>
              </w:rPr>
            </m:ctrlPr>
          </m:sSubPr>
          <m:e>
            <m:r>
              <w:rPr>
                <w:rFonts w:ascii="Cambria Math" w:hAnsi="Cambria Math" w:cs="Times New Roman"/>
                <w:lang w:val="en-CA"/>
              </w:rPr>
              <m:t>f</m:t>
            </m:r>
          </m:e>
          <m:sub>
            <m:r>
              <w:rPr>
                <w:rFonts w:ascii="Cambria Math" w:hAnsi="Cambria Math" w:cs="Times New Roman"/>
                <w:lang w:val="en-CA"/>
              </w:rPr>
              <m:t>q,m</m:t>
            </m:r>
          </m:sub>
        </m:sSub>
      </m:oMath>
      <w:r w:rsidRPr="006B5B91">
        <w:rPr>
          <w:rFonts w:cs="Times New Roman"/>
          <w:lang w:val="en-CA"/>
        </w:rPr>
        <w:t xml:space="preserve"> is the implied forward rate in </w:t>
      </w:r>
      <w:r w:rsidRPr="006B5B91">
        <w:rPr>
          <w:rFonts w:cs="Times New Roman"/>
          <w:i/>
          <w:lang w:val="en-CA"/>
        </w:rPr>
        <w:t>q</w:t>
      </w:r>
      <w:r w:rsidRPr="006B5B91">
        <w:rPr>
          <w:rFonts w:cs="Times New Roman"/>
          <w:lang w:val="en-CA"/>
        </w:rPr>
        <w:t xml:space="preserve"> quarters with a maturity of </w:t>
      </w:r>
      <w:r w:rsidRPr="006B5B91">
        <w:rPr>
          <w:rFonts w:cs="Times New Roman"/>
          <w:i/>
          <w:lang w:val="en-CA"/>
        </w:rPr>
        <w:t>m</w:t>
      </w:r>
      <w:r w:rsidRPr="006B5B91">
        <w:rPr>
          <w:rFonts w:cs="Times New Roman"/>
          <w:lang w:val="en-CA"/>
        </w:rPr>
        <w:t xml:space="preserve"> quarters, </w:t>
      </w:r>
      <m:oMath>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m:t>
            </m:r>
          </m:sub>
        </m:sSub>
      </m:oMath>
      <w:r w:rsidRPr="006B5B91">
        <w:rPr>
          <w:rFonts w:cs="Times New Roman"/>
          <w:lang w:val="en-CA"/>
        </w:rPr>
        <w:t xml:space="preserve"> is the zero-coupon rate of a </w:t>
      </w:r>
      <w:r w:rsidR="008257B3">
        <w:rPr>
          <w:rFonts w:cs="Times New Roman"/>
          <w:lang w:val="en-CA"/>
        </w:rPr>
        <w:t>T</w:t>
      </w:r>
      <w:r w:rsidRPr="006B5B91">
        <w:rPr>
          <w:rFonts w:cs="Times New Roman"/>
          <w:lang w:val="en-CA"/>
        </w:rPr>
        <w:t xml:space="preserve">reasury bill with </w:t>
      </w:r>
      <w:r w:rsidRPr="006B5B91">
        <w:rPr>
          <w:rFonts w:cs="Times New Roman"/>
          <w:i/>
          <w:lang w:val="en-CA"/>
        </w:rPr>
        <w:t xml:space="preserve">q+m </w:t>
      </w:r>
      <w:r w:rsidRPr="006B5B91">
        <w:rPr>
          <w:rFonts w:cs="Times New Roman"/>
          <w:lang w:val="en-CA"/>
        </w:rPr>
        <w:t xml:space="preserve">maturity, </w:t>
      </w:r>
      <m:oMath>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t>
            </m:r>
          </m:sub>
        </m:sSub>
      </m:oMath>
      <w:r w:rsidRPr="006B5B91">
        <w:rPr>
          <w:rFonts w:cs="Times New Roman"/>
          <w:lang w:val="en-CA"/>
        </w:rPr>
        <w:t xml:space="preserve"> is the zero-coupon rate of a </w:t>
      </w:r>
      <w:r w:rsidR="008257B3">
        <w:rPr>
          <w:rFonts w:cs="Times New Roman"/>
          <w:lang w:val="en-CA"/>
        </w:rPr>
        <w:t>T</w:t>
      </w:r>
      <w:r w:rsidRPr="006B5B91">
        <w:rPr>
          <w:rFonts w:cs="Times New Roman"/>
          <w:lang w:val="en-CA"/>
        </w:rPr>
        <w:t xml:space="preserve">reasury bill with </w:t>
      </w:r>
      <w:r w:rsidRPr="006B5B91">
        <w:rPr>
          <w:rFonts w:cs="Times New Roman"/>
          <w:i/>
          <w:lang w:val="en-CA"/>
        </w:rPr>
        <w:t>q</w:t>
      </w:r>
      <w:r w:rsidRPr="006B5B91">
        <w:rPr>
          <w:rFonts w:cs="Times New Roman"/>
          <w:lang w:val="en-CA"/>
        </w:rPr>
        <w:t xml:space="preserve"> maturity.</w:t>
      </w:r>
    </w:p>
    <w:p w14:paraId="2CEC84F5" w14:textId="77777777" w:rsidR="00ED4356" w:rsidRPr="006B5B91" w:rsidRDefault="00ED4356" w:rsidP="00ED4356">
      <w:pPr>
        <w:spacing w:line="480" w:lineRule="auto"/>
        <w:ind w:firstLine="720"/>
        <w:rPr>
          <w:rFonts w:cs="Times New Roman"/>
          <w:lang w:val="en-CA"/>
        </w:rPr>
      </w:pPr>
      <w:r w:rsidRPr="00F95907">
        <w:rPr>
          <w:rFonts w:cs="Times New Roman"/>
          <w:lang w:val="en-CA"/>
        </w:rPr>
        <w:t>The implied forward rate satisfies a ‘no</w:t>
      </w:r>
      <w:r>
        <w:rPr>
          <w:rFonts w:cs="Times New Roman"/>
          <w:lang w:val="en-CA"/>
        </w:rPr>
        <w:t xml:space="preserve"> </w:t>
      </w:r>
      <w:r w:rsidRPr="00F95907">
        <w:rPr>
          <w:rFonts w:cs="Times New Roman"/>
          <w:lang w:val="en-CA"/>
        </w:rPr>
        <w:t xml:space="preserve">arbitrage’ outcome. </w:t>
      </w:r>
      <w:r>
        <w:rPr>
          <w:rFonts w:cs="Times New Roman"/>
          <w:lang w:val="en-CA"/>
        </w:rPr>
        <w:t xml:space="preserve">In other words, if an individual invests in a security for a period of </w:t>
      </w:r>
      <w:r>
        <w:rPr>
          <w:rFonts w:cs="Times New Roman"/>
          <w:i/>
          <w:iCs/>
          <w:lang w:val="en-CA"/>
        </w:rPr>
        <w:t xml:space="preserve">q </w:t>
      </w:r>
      <w:r>
        <w:rPr>
          <w:rFonts w:cs="Times New Roman"/>
          <w:lang w:val="en-CA"/>
        </w:rPr>
        <w:t xml:space="preserve">quarters and then re-invests the proceeds of that investment into another security for a period of </w:t>
      </w:r>
      <w:r>
        <w:rPr>
          <w:rFonts w:cs="Times New Roman"/>
          <w:i/>
          <w:iCs/>
          <w:lang w:val="en-CA"/>
        </w:rPr>
        <w:t xml:space="preserve">m </w:t>
      </w:r>
      <w:r>
        <w:rPr>
          <w:rFonts w:cs="Times New Roman"/>
          <w:lang w:val="en-CA"/>
        </w:rPr>
        <w:t xml:space="preserve">quarters, then the overall yield must be equal to an investment in a security for a period of </w:t>
      </w:r>
      <w:r>
        <w:rPr>
          <w:rFonts w:cs="Times New Roman"/>
          <w:i/>
          <w:iCs/>
          <w:lang w:val="en-CA"/>
        </w:rPr>
        <w:t>q+m</w:t>
      </w:r>
      <w:r>
        <w:rPr>
          <w:rFonts w:cs="Times New Roman"/>
          <w:lang w:val="en-CA"/>
        </w:rPr>
        <w:t xml:space="preserve"> quarters. </w:t>
      </w:r>
      <w:r w:rsidRPr="006B5B91">
        <w:rPr>
          <w:rFonts w:cs="Times New Roman"/>
          <w:lang w:val="en-CA"/>
        </w:rPr>
        <w:t>Mathematically, this can be expressed as:</w:t>
      </w:r>
    </w:p>
    <w:p w14:paraId="08B56C32" w14:textId="77777777" w:rsidR="00ED4356" w:rsidRPr="006B5B91" w:rsidRDefault="009C4B5A" w:rsidP="00ED4356">
      <w:pPr>
        <w:spacing w:line="480" w:lineRule="auto"/>
        <w:rPr>
          <w:rFonts w:cs="Times New Roman"/>
          <w:lang w:val="en-CA"/>
        </w:rPr>
      </w:pPr>
      <m:oMathPara>
        <m:oMath>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t>
                      </m:r>
                    </m:sub>
                  </m:sSub>
                </m:e>
              </m:d>
            </m:e>
            <m:sup>
              <m:r>
                <w:rPr>
                  <w:rFonts w:ascii="Cambria Math" w:hAnsi="Cambria Math" w:cs="Times New Roman"/>
                  <w:lang w:val="en-CA"/>
                </w:rPr>
                <m:t>q</m:t>
              </m:r>
            </m:sup>
          </m:sSup>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f</m:t>
                      </m:r>
                    </m:e>
                    <m:sub>
                      <m:r>
                        <w:rPr>
                          <w:rFonts w:ascii="Cambria Math" w:hAnsi="Cambria Math" w:cs="Times New Roman"/>
                          <w:lang w:val="en-CA"/>
                        </w:rPr>
                        <m:t>q,m</m:t>
                      </m:r>
                    </m:sub>
                  </m:sSub>
                </m:e>
              </m:d>
            </m:e>
            <m:sup>
              <m:r>
                <w:rPr>
                  <w:rFonts w:ascii="Cambria Math" w:hAnsi="Cambria Math" w:cs="Times New Roman"/>
                  <w:lang w:val="en-CA"/>
                </w:rPr>
                <m:t>m</m:t>
              </m:r>
            </m:sup>
          </m:sSup>
          <m:r>
            <w:rPr>
              <w:rFonts w:ascii="Cambria Math" w:hAnsi="Cambria Math" w:cs="Times New Roman"/>
              <w:lang w:val="en-CA"/>
            </w:rPr>
            <m:t>=</m:t>
          </m:r>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m:t>
                      </m:r>
                    </m:sub>
                  </m:sSub>
                </m:e>
              </m:d>
            </m:e>
            <m:sup>
              <m:r>
                <w:rPr>
                  <w:rFonts w:ascii="Cambria Math" w:hAnsi="Cambria Math" w:cs="Times New Roman"/>
                  <w:lang w:val="en-CA"/>
                </w:rPr>
                <m:t>q+m</m:t>
              </m:r>
            </m:sup>
          </m:sSup>
        </m:oMath>
      </m:oMathPara>
    </w:p>
    <w:p w14:paraId="33046EB1" w14:textId="77777777" w:rsidR="00ED4356" w:rsidRPr="006B5B91" w:rsidRDefault="00ED4356" w:rsidP="00ED4356">
      <w:pPr>
        <w:spacing w:line="480" w:lineRule="auto"/>
        <w:rPr>
          <w:rFonts w:cs="Times New Roman"/>
          <w:lang w:val="en-CA"/>
        </w:rPr>
      </w:pPr>
      <w:r w:rsidRPr="006B5B91">
        <w:rPr>
          <w:rFonts w:cs="Times New Roman"/>
          <w:lang w:val="en-CA"/>
        </w:rPr>
        <w:t>which can be rewritten as</w:t>
      </w:r>
    </w:p>
    <w:p w14:paraId="4C173C70" w14:textId="77777777" w:rsidR="00ED4356" w:rsidRPr="006B5B91" w:rsidRDefault="009C4B5A" w:rsidP="00ED4356">
      <w:pPr>
        <w:spacing w:line="480" w:lineRule="auto"/>
        <w:rPr>
          <w:rFonts w:cs="Times New Roman"/>
          <w:lang w:val="en-CA"/>
        </w:rPr>
      </w:pPr>
      <m:oMathPara>
        <m:oMath>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f</m:t>
                      </m:r>
                    </m:e>
                    <m:sub>
                      <m:r>
                        <w:rPr>
                          <w:rFonts w:ascii="Cambria Math" w:hAnsi="Cambria Math" w:cs="Times New Roman"/>
                          <w:lang w:val="en-CA"/>
                        </w:rPr>
                        <m:t>q,m</m:t>
                      </m:r>
                    </m:sub>
                  </m:sSub>
                </m:e>
              </m:d>
            </m:e>
            <m:sup>
              <m:r>
                <w:rPr>
                  <w:rFonts w:ascii="Cambria Math" w:hAnsi="Cambria Math" w:cs="Times New Roman"/>
                  <w:lang w:val="en-CA"/>
                </w:rPr>
                <m:t>m</m:t>
              </m:r>
            </m:sup>
          </m:sSup>
          <m:r>
            <w:rPr>
              <w:rFonts w:ascii="Cambria Math" w:hAnsi="Cambria Math" w:cs="Times New Roman"/>
              <w:lang w:val="en-CA"/>
            </w:rPr>
            <m:t>=</m:t>
          </m:r>
          <m:f>
            <m:fPr>
              <m:ctrlPr>
                <w:rPr>
                  <w:rFonts w:ascii="Cambria Math" w:hAnsi="Cambria Math" w:cs="Times New Roman"/>
                  <w:i/>
                  <w:lang w:val="en-CA"/>
                </w:rPr>
              </m:ctrlPr>
            </m:fPr>
            <m:num>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m:t>
                          </m:r>
                        </m:sub>
                      </m:sSub>
                    </m:e>
                  </m:d>
                </m:e>
                <m:sup>
                  <m:r>
                    <w:rPr>
                      <w:rFonts w:ascii="Cambria Math" w:hAnsi="Cambria Math" w:cs="Times New Roman"/>
                      <w:lang w:val="en-CA"/>
                    </w:rPr>
                    <m:t>q+m</m:t>
                  </m:r>
                </m:sup>
              </m:sSup>
            </m:num>
            <m:den>
              <m:sSup>
                <m:sSupPr>
                  <m:ctrlPr>
                    <w:rPr>
                      <w:rFonts w:ascii="Cambria Math" w:hAnsi="Cambria Math" w:cs="Times New Roman"/>
                      <w:i/>
                      <w:lang w:val="en-CA"/>
                    </w:rPr>
                  </m:ctrlPr>
                </m:sSupPr>
                <m:e>
                  <m:d>
                    <m:dPr>
                      <m:ctrlPr>
                        <w:rPr>
                          <w:rFonts w:ascii="Cambria Math" w:hAnsi="Cambria Math" w:cs="Times New Roman"/>
                          <w:i/>
                          <w:lang w:val="en-CA"/>
                        </w:rPr>
                      </m:ctrlPr>
                    </m:d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t>
                          </m:r>
                        </m:sub>
                      </m:sSub>
                    </m:e>
                  </m:d>
                </m:e>
                <m:sup>
                  <m:r>
                    <w:rPr>
                      <w:rFonts w:ascii="Cambria Math" w:hAnsi="Cambria Math" w:cs="Times New Roman"/>
                      <w:lang w:val="en-CA"/>
                    </w:rPr>
                    <m:t>q</m:t>
                  </m:r>
                </m:sup>
              </m:sSup>
            </m:den>
          </m:f>
        </m:oMath>
      </m:oMathPara>
    </w:p>
    <w:p w14:paraId="3276811C" w14:textId="77777777" w:rsidR="00ED4356" w:rsidRPr="006B5B91" w:rsidRDefault="00ED4356" w:rsidP="00ED4356">
      <w:pPr>
        <w:spacing w:line="480" w:lineRule="auto"/>
        <w:rPr>
          <w:rFonts w:cs="Times New Roman"/>
          <w:lang w:val="en-CA"/>
        </w:rPr>
      </w:pPr>
      <w:r w:rsidRPr="006B5B91">
        <w:rPr>
          <w:rFonts w:cs="Times New Roman"/>
          <w:lang w:val="en-CA"/>
        </w:rPr>
        <w:t xml:space="preserve">and can be further simplified to </w:t>
      </w:r>
    </w:p>
    <w:p w14:paraId="0743E2A5" w14:textId="77777777" w:rsidR="00ED4356" w:rsidRPr="006B5B91" w:rsidRDefault="009C4B5A" w:rsidP="00ED4356">
      <w:pPr>
        <w:spacing w:line="480" w:lineRule="auto"/>
        <w:rPr>
          <w:rFonts w:cs="Times New Roman"/>
          <w:lang w:val="en-CA"/>
        </w:rPr>
      </w:pPr>
      <m:oMathPara>
        <m:oMath>
          <m:sSup>
            <m:sSupPr>
              <m:ctrlPr>
                <w:rPr>
                  <w:rFonts w:ascii="Cambria Math" w:hAnsi="Cambria Math" w:cs="Times New Roman"/>
                  <w:i/>
                  <w:lang w:val="en-CA"/>
                </w:rPr>
              </m:ctrlPr>
            </m:sSupPr>
            <m:e>
              <m:sSub>
                <m:sSubPr>
                  <m:ctrlPr>
                    <w:rPr>
                      <w:rFonts w:ascii="Cambria Math" w:hAnsi="Cambria Math" w:cs="Times New Roman"/>
                      <w:i/>
                      <w:lang w:val="en-CA"/>
                    </w:rPr>
                  </m:ctrlPr>
                </m:sSubPr>
                <m:e>
                  <m:r>
                    <w:rPr>
                      <w:rFonts w:ascii="Cambria Math" w:hAnsi="Cambria Math" w:cs="Times New Roman"/>
                      <w:lang w:val="en-CA"/>
                    </w:rPr>
                    <m:t>f</m:t>
                  </m:r>
                </m:e>
                <m:sub>
                  <m:r>
                    <w:rPr>
                      <w:rFonts w:ascii="Cambria Math" w:hAnsi="Cambria Math" w:cs="Times New Roman"/>
                      <w:lang w:val="en-CA"/>
                    </w:rPr>
                    <m:t>q,m</m:t>
                  </m:r>
                </m:sub>
              </m:sSub>
            </m:e>
            <m:sup>
              <m:r>
                <w:rPr>
                  <w:rFonts w:ascii="Cambria Math" w:hAnsi="Cambria Math" w:cs="Times New Roman"/>
                  <w:lang w:val="en-CA"/>
                </w:rPr>
                <m:t>m</m:t>
              </m:r>
            </m:sup>
          </m:sSup>
          <m:r>
            <w:rPr>
              <w:rFonts w:ascii="Cambria Math" w:hAnsi="Cambria Math" w:cs="Times New Roman"/>
              <w:lang w:val="en-CA"/>
            </w:rPr>
            <m:t>=</m:t>
          </m:r>
          <m:f>
            <m:fPr>
              <m:ctrlPr>
                <w:rPr>
                  <w:rFonts w:ascii="Cambria Math" w:hAnsi="Cambria Math" w:cs="Times New Roman"/>
                  <w:i/>
                  <w:lang w:val="en-CA"/>
                </w:rPr>
              </m:ctrlPr>
            </m:fPr>
            <m:num>
              <m:sSup>
                <m:sSupPr>
                  <m:ctrlPr>
                    <w:rPr>
                      <w:rFonts w:ascii="Cambria Math" w:hAnsi="Cambria Math" w:cs="Times New Roman"/>
                      <w:i/>
                      <w:lang w:val="en-CA"/>
                    </w:rPr>
                  </m:ctrlPr>
                </m:sSup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m:t>
                      </m:r>
                    </m:sub>
                  </m:sSub>
                  <m:r>
                    <w:rPr>
                      <w:rFonts w:ascii="Cambria Math" w:hAnsi="Cambria Math" w:cs="Times New Roman"/>
                      <w:lang w:val="en-CA"/>
                    </w:rPr>
                    <m:t>)</m:t>
                  </m:r>
                </m:e>
                <m:sup>
                  <m:r>
                    <w:rPr>
                      <w:rFonts w:ascii="Cambria Math" w:hAnsi="Cambria Math" w:cs="Times New Roman"/>
                      <w:lang w:val="en-CA"/>
                    </w:rPr>
                    <m:t>q+m</m:t>
                  </m:r>
                </m:sup>
              </m:sSup>
            </m:num>
            <m:den>
              <m:sSup>
                <m:sSupPr>
                  <m:ctrlPr>
                    <w:rPr>
                      <w:rFonts w:ascii="Cambria Math" w:hAnsi="Cambria Math" w:cs="Times New Roman"/>
                      <w:i/>
                      <w:lang w:val="en-CA"/>
                    </w:rPr>
                  </m:ctrlPr>
                </m:sSupPr>
                <m:e>
                  <m:r>
                    <w:rPr>
                      <w:rFonts w:ascii="Cambria Math" w:hAnsi="Cambria Math" w:cs="Times New Roman"/>
                      <w:lang w:val="en-CA"/>
                    </w:rPr>
                    <m:t>(1+</m:t>
                  </m:r>
                  <m:sSub>
                    <m:sSubPr>
                      <m:ctrlPr>
                        <w:rPr>
                          <w:rFonts w:ascii="Cambria Math" w:hAnsi="Cambria Math" w:cs="Times New Roman"/>
                          <w:i/>
                          <w:lang w:val="en-CA"/>
                        </w:rPr>
                      </m:ctrlPr>
                    </m:sSubPr>
                    <m:e>
                      <m:r>
                        <w:rPr>
                          <w:rFonts w:ascii="Cambria Math" w:hAnsi="Cambria Math" w:cs="Times New Roman"/>
                          <w:lang w:val="en-CA"/>
                        </w:rPr>
                        <m:t>yield</m:t>
                      </m:r>
                    </m:e>
                    <m:sub>
                      <m:r>
                        <w:rPr>
                          <w:rFonts w:ascii="Cambria Math" w:hAnsi="Cambria Math" w:cs="Times New Roman"/>
                          <w:lang w:val="en-CA"/>
                        </w:rPr>
                        <m:t>q</m:t>
                      </m:r>
                    </m:sub>
                  </m:sSub>
                  <m:r>
                    <w:rPr>
                      <w:rFonts w:ascii="Cambria Math" w:hAnsi="Cambria Math" w:cs="Times New Roman"/>
                      <w:lang w:val="en-CA"/>
                    </w:rPr>
                    <m:t>)</m:t>
                  </m:r>
                </m:e>
                <m:sup>
                  <m:r>
                    <w:rPr>
                      <w:rFonts w:ascii="Cambria Math" w:hAnsi="Cambria Math" w:cs="Times New Roman"/>
                      <w:lang w:val="en-CA"/>
                    </w:rPr>
                    <m:t>q</m:t>
                  </m:r>
                </m:sup>
              </m:sSup>
            </m:den>
          </m:f>
          <m:r>
            <w:rPr>
              <w:rFonts w:ascii="Cambria Math" w:hAnsi="Cambria Math" w:cs="Times New Roman"/>
              <w:lang w:val="en-CA"/>
            </w:rPr>
            <m:t>-1</m:t>
          </m:r>
        </m:oMath>
      </m:oMathPara>
    </w:p>
    <w:p w14:paraId="525A94C1" w14:textId="77777777" w:rsidR="00ED4356" w:rsidRPr="006B5B91" w:rsidRDefault="00ED4356" w:rsidP="00ED4356">
      <w:pPr>
        <w:pStyle w:val="Subtitle"/>
        <w:rPr>
          <w:rFonts w:ascii="Times New Roman" w:hAnsi="Times New Roman" w:cs="Times New Roman"/>
        </w:rPr>
      </w:pPr>
    </w:p>
    <w:p w14:paraId="78098E85" w14:textId="77777777" w:rsidR="00ED4356" w:rsidRDefault="00ED4356" w:rsidP="00ED4356">
      <w:pPr>
        <w:pStyle w:val="Subtitle"/>
        <w:spacing w:line="480" w:lineRule="auto"/>
        <w:ind w:firstLine="720"/>
        <w:rPr>
          <w:rFonts w:ascii="Times New Roman" w:hAnsi="Times New Roman" w:cs="Times New Roman"/>
        </w:rPr>
      </w:pPr>
      <w:r w:rsidRPr="006B5B91">
        <w:rPr>
          <w:rFonts w:ascii="Times New Roman" w:hAnsi="Times New Roman" w:cs="Times New Roman"/>
        </w:rPr>
        <w:t>Given that the near-term forward rate is derived from a zero-coupon yield curve, it is important to consider the method by which that yield curve is constructed. Depending on the method, different shapes can emerge, which can produce varying results for the calculation of the near-term forward rate. There are a number of methods that can be used</w:t>
      </w:r>
      <w:r>
        <w:rPr>
          <w:rFonts w:ascii="Times New Roman" w:hAnsi="Times New Roman" w:cs="Times New Roman"/>
        </w:rPr>
        <w:t>. E</w:t>
      </w:r>
      <w:r w:rsidRPr="006B5B91">
        <w:rPr>
          <w:rFonts w:ascii="Times New Roman" w:hAnsi="Times New Roman" w:cs="Times New Roman"/>
        </w:rPr>
        <w:t xml:space="preserve">ach can be broadly categorized into ‘function-based’ </w:t>
      </w:r>
      <w:r>
        <w:rPr>
          <w:rFonts w:ascii="Times New Roman" w:hAnsi="Times New Roman" w:cs="Times New Roman"/>
        </w:rPr>
        <w:t xml:space="preserve">models </w:t>
      </w:r>
      <w:r w:rsidRPr="006B5B91">
        <w:rPr>
          <w:rFonts w:ascii="Times New Roman" w:hAnsi="Times New Roman" w:cs="Times New Roman"/>
        </w:rPr>
        <w:t xml:space="preserve">(also referred to as parametric models) or ‘spline-based’ models. </w:t>
      </w:r>
      <w:bookmarkStart w:id="16" w:name="_Hlk36636818"/>
    </w:p>
    <w:p w14:paraId="21AD7F6D" w14:textId="2EBEE157" w:rsidR="00ED4356" w:rsidRPr="006B5B91" w:rsidRDefault="00ED4356" w:rsidP="00ED4356">
      <w:pPr>
        <w:pStyle w:val="Subtitle"/>
        <w:spacing w:line="480" w:lineRule="auto"/>
        <w:ind w:firstLine="720"/>
        <w:rPr>
          <w:rFonts w:ascii="Times New Roman" w:hAnsi="Times New Roman" w:cs="Times New Roman"/>
        </w:rPr>
      </w:pPr>
      <w:r w:rsidRPr="006B5B91">
        <w:rPr>
          <w:rFonts w:ascii="Times New Roman" w:hAnsi="Times New Roman" w:cs="Times New Roman"/>
        </w:rPr>
        <w:t xml:space="preserve">Bolder and Gusba (2002) </w:t>
      </w:r>
      <w:bookmarkEnd w:id="16"/>
      <w:r w:rsidRPr="006B5B91">
        <w:rPr>
          <w:rFonts w:ascii="Times New Roman" w:hAnsi="Times New Roman" w:cs="Times New Roman"/>
        </w:rPr>
        <w:t xml:space="preserve">compare several estimation methods </w:t>
      </w:r>
      <w:r>
        <w:rPr>
          <w:rFonts w:ascii="Times New Roman" w:hAnsi="Times New Roman" w:cs="Times New Roman"/>
        </w:rPr>
        <w:t xml:space="preserve">for forward rate estimation </w:t>
      </w:r>
      <w:r w:rsidRPr="006B5B91">
        <w:rPr>
          <w:rFonts w:ascii="Times New Roman" w:hAnsi="Times New Roman" w:cs="Times New Roman"/>
        </w:rPr>
        <w:t xml:space="preserve">using Government of Canada bond data. The authors conclude that the Merrill Lynch </w:t>
      </w:r>
      <w:r w:rsidRPr="006B5B91">
        <w:rPr>
          <w:rFonts w:ascii="Times New Roman" w:hAnsi="Times New Roman" w:cs="Times New Roman"/>
        </w:rPr>
        <w:lastRenderedPageBreak/>
        <w:t>exponential spline (MLES) method</w:t>
      </w:r>
      <w:r>
        <w:rPr>
          <w:rFonts w:ascii="Times New Roman" w:hAnsi="Times New Roman" w:cs="Times New Roman"/>
        </w:rPr>
        <w:t>, based on the explanation provided by Li et al</w:t>
      </w:r>
      <w:r w:rsidR="00CE1D7F">
        <w:rPr>
          <w:rFonts w:ascii="Times New Roman" w:hAnsi="Times New Roman" w:cs="Times New Roman"/>
        </w:rPr>
        <w:t>.</w:t>
      </w:r>
      <w:r>
        <w:rPr>
          <w:rFonts w:ascii="Times New Roman" w:hAnsi="Times New Roman" w:cs="Times New Roman"/>
        </w:rPr>
        <w:t xml:space="preserve"> (2001),</w:t>
      </w:r>
      <w:r w:rsidRPr="006B5B91">
        <w:rPr>
          <w:rFonts w:ascii="Times New Roman" w:hAnsi="Times New Roman" w:cs="Times New Roman"/>
        </w:rPr>
        <w:t xml:space="preserve"> provides the most appropriate estimation for </w:t>
      </w:r>
      <w:r>
        <w:rPr>
          <w:rFonts w:ascii="Times New Roman" w:hAnsi="Times New Roman" w:cs="Times New Roman"/>
        </w:rPr>
        <w:t xml:space="preserve">the </w:t>
      </w:r>
      <w:r w:rsidRPr="006B5B91">
        <w:rPr>
          <w:rFonts w:ascii="Times New Roman" w:hAnsi="Times New Roman" w:cs="Times New Roman"/>
        </w:rPr>
        <w:t xml:space="preserve">Canadian bond data. The Bank of Canada uses this method to construct its zero-coupon yield curves. Bolder et </w:t>
      </w:r>
      <w:r w:rsidR="00CE1D7F">
        <w:rPr>
          <w:rFonts w:ascii="Times New Roman" w:hAnsi="Times New Roman" w:cs="Times New Roman"/>
        </w:rPr>
        <w:t>al.</w:t>
      </w:r>
      <w:r w:rsidRPr="006B5B91">
        <w:rPr>
          <w:rFonts w:ascii="Times New Roman" w:hAnsi="Times New Roman" w:cs="Times New Roman"/>
        </w:rPr>
        <w:t xml:space="preserve"> (2004) </w:t>
      </w:r>
      <w:r>
        <w:rPr>
          <w:rFonts w:ascii="Times New Roman" w:hAnsi="Times New Roman" w:cs="Times New Roman"/>
        </w:rPr>
        <w:t xml:space="preserve">describe </w:t>
      </w:r>
      <w:r w:rsidRPr="006B5B91">
        <w:rPr>
          <w:rFonts w:ascii="Times New Roman" w:hAnsi="Times New Roman" w:cs="Times New Roman"/>
        </w:rPr>
        <w:t xml:space="preserve">the methodology by which they constructed the continuously-updated and publicly-available database of daily zero-coupon yield curves using Government of Canada </w:t>
      </w:r>
      <w:r w:rsidR="00400FD2">
        <w:rPr>
          <w:rFonts w:ascii="Times New Roman" w:hAnsi="Times New Roman" w:cs="Times New Roman"/>
        </w:rPr>
        <w:t>bond data.</w:t>
      </w:r>
    </w:p>
    <w:p w14:paraId="12C2579F" w14:textId="16AC0D5F" w:rsidR="00456BB2" w:rsidRPr="006B5B91" w:rsidRDefault="00456BB2" w:rsidP="00456BB2">
      <w:pPr>
        <w:rPr>
          <w:rFonts w:cs="Times New Roman"/>
        </w:rPr>
      </w:pPr>
    </w:p>
    <w:p w14:paraId="655B6FD6" w14:textId="1EAD718D" w:rsidR="00011624" w:rsidRPr="006B5B91" w:rsidRDefault="00ED4356" w:rsidP="00011624">
      <w:pPr>
        <w:pStyle w:val="Heading1"/>
        <w:rPr>
          <w:rFonts w:cs="Times New Roman"/>
        </w:rPr>
      </w:pPr>
      <w:bookmarkStart w:id="17" w:name="_Toc37338049"/>
      <w:r>
        <w:rPr>
          <w:rFonts w:cs="Times New Roman"/>
        </w:rPr>
        <w:lastRenderedPageBreak/>
        <w:t>4</w:t>
      </w:r>
      <w:r w:rsidR="00CB44C9">
        <w:rPr>
          <w:rFonts w:cs="Times New Roman"/>
        </w:rPr>
        <w:t xml:space="preserve">.  </w:t>
      </w:r>
      <w:r w:rsidR="00402B90" w:rsidRPr="006B5B91">
        <w:rPr>
          <w:rFonts w:cs="Times New Roman"/>
        </w:rPr>
        <w:t>Data</w:t>
      </w:r>
      <w:bookmarkEnd w:id="8"/>
      <w:bookmarkEnd w:id="17"/>
    </w:p>
    <w:p w14:paraId="3C41F320" w14:textId="712A97AA" w:rsidR="00CF7629" w:rsidRPr="006B5B91" w:rsidRDefault="00ED4356" w:rsidP="009250E2">
      <w:pPr>
        <w:pStyle w:val="Heading2"/>
        <w:rPr>
          <w:rFonts w:cs="Times New Roman"/>
        </w:rPr>
      </w:pPr>
      <w:bookmarkStart w:id="18" w:name="_Toc37338050"/>
      <w:r>
        <w:rPr>
          <w:rFonts w:cs="Times New Roman"/>
        </w:rPr>
        <w:t>4</w:t>
      </w:r>
      <w:r w:rsidR="005E1A84">
        <w:rPr>
          <w:rFonts w:cs="Times New Roman"/>
        </w:rPr>
        <w:t>.1</w:t>
      </w:r>
      <w:r w:rsidR="00CB44C9">
        <w:rPr>
          <w:rFonts w:cs="Times New Roman"/>
        </w:rPr>
        <w:t xml:space="preserve">.  </w:t>
      </w:r>
      <w:r w:rsidR="00CF7629" w:rsidRPr="006B5B91">
        <w:rPr>
          <w:rFonts w:cs="Times New Roman"/>
        </w:rPr>
        <w:t>Spread Data</w:t>
      </w:r>
      <w:bookmarkEnd w:id="18"/>
    </w:p>
    <w:p w14:paraId="48C9947B" w14:textId="4218F2C4" w:rsidR="00623E75" w:rsidRPr="006B5B91" w:rsidRDefault="005830D4" w:rsidP="00A03664">
      <w:pPr>
        <w:spacing w:line="480" w:lineRule="auto"/>
        <w:ind w:firstLine="720"/>
        <w:rPr>
          <w:rFonts w:cs="Times New Roman"/>
          <w:lang w:val="en-CA"/>
        </w:rPr>
      </w:pPr>
      <w:r w:rsidRPr="006B5B91">
        <w:rPr>
          <w:rFonts w:cs="Times New Roman"/>
          <w:lang w:val="en-CA"/>
        </w:rPr>
        <w:t>Data on Canadian zero-coupon bond yield curve</w:t>
      </w:r>
      <w:r w:rsidR="00174F75" w:rsidRPr="006B5B91">
        <w:rPr>
          <w:rFonts w:cs="Times New Roman"/>
          <w:lang w:val="en-CA"/>
        </w:rPr>
        <w:t xml:space="preserve">s </w:t>
      </w:r>
      <w:r w:rsidR="005E128F">
        <w:rPr>
          <w:rFonts w:cs="Times New Roman"/>
          <w:lang w:val="en-CA"/>
        </w:rPr>
        <w:t>are</w:t>
      </w:r>
      <w:r w:rsidR="000C07F3">
        <w:rPr>
          <w:rFonts w:cs="Times New Roman"/>
          <w:lang w:val="en-CA"/>
        </w:rPr>
        <w:t xml:space="preserve"> from</w:t>
      </w:r>
      <w:r w:rsidRPr="006B5B91">
        <w:rPr>
          <w:rFonts w:cs="Times New Roman"/>
          <w:lang w:val="en-CA"/>
        </w:rPr>
        <w:t xml:space="preserve"> the Bank of Canada. The data</w:t>
      </w:r>
      <w:r w:rsidR="00C6729F" w:rsidRPr="006B5B91">
        <w:rPr>
          <w:rFonts w:cs="Times New Roman"/>
          <w:lang w:val="en-CA"/>
        </w:rPr>
        <w:t xml:space="preserve"> </w:t>
      </w:r>
      <w:r w:rsidRPr="006B5B91">
        <w:rPr>
          <w:rFonts w:cs="Times New Roman"/>
          <w:lang w:val="en-CA"/>
        </w:rPr>
        <w:t xml:space="preserve">is provided as daily </w:t>
      </w:r>
      <w:r w:rsidR="00841436">
        <w:rPr>
          <w:rFonts w:cs="Times New Roman"/>
          <w:lang w:val="en-CA"/>
        </w:rPr>
        <w:t>yields</w:t>
      </w:r>
      <w:r w:rsidRPr="006B5B91">
        <w:rPr>
          <w:rFonts w:cs="Times New Roman"/>
          <w:lang w:val="en-CA"/>
        </w:rPr>
        <w:t xml:space="preserve"> spanning </w:t>
      </w:r>
      <w:r w:rsidR="00B248B2" w:rsidRPr="006B5B91">
        <w:rPr>
          <w:rFonts w:cs="Times New Roman"/>
          <w:lang w:val="en-CA"/>
        </w:rPr>
        <w:t>from January 1986 until the present month</w:t>
      </w:r>
      <w:r w:rsidR="00C6729F" w:rsidRPr="006B5B91">
        <w:rPr>
          <w:rFonts w:cs="Times New Roman"/>
          <w:lang w:val="en-CA"/>
        </w:rPr>
        <w:t>.</w:t>
      </w:r>
      <w:r w:rsidR="00B248B2" w:rsidRPr="006B5B91">
        <w:rPr>
          <w:rFonts w:cs="Times New Roman"/>
          <w:lang w:val="en-CA"/>
        </w:rPr>
        <w:t xml:space="preserve"> It is updated weekly, with a two-week lag.</w:t>
      </w:r>
      <w:r w:rsidR="00C6729F" w:rsidRPr="006B5B91">
        <w:rPr>
          <w:rFonts w:cs="Times New Roman"/>
          <w:lang w:val="en-CA"/>
        </w:rPr>
        <w:t xml:space="preserve"> </w:t>
      </w:r>
      <w:r w:rsidR="004319CF" w:rsidRPr="006B5B91">
        <w:rPr>
          <w:rFonts w:cs="Times New Roman"/>
          <w:lang w:val="en-CA"/>
        </w:rPr>
        <w:t xml:space="preserve">Due to the </w:t>
      </w:r>
      <w:r w:rsidR="00791186" w:rsidRPr="006B5B91">
        <w:rPr>
          <w:rFonts w:cs="Times New Roman"/>
          <w:lang w:val="en-CA"/>
        </w:rPr>
        <w:t>l</w:t>
      </w:r>
      <w:r w:rsidR="00C6729F" w:rsidRPr="006B5B91">
        <w:rPr>
          <w:rFonts w:cs="Times New Roman"/>
          <w:lang w:val="en-CA"/>
        </w:rPr>
        <w:t xml:space="preserve">ag between the time of recessions and the official dating of recessions, </w:t>
      </w:r>
      <w:r w:rsidR="000C07F3">
        <w:rPr>
          <w:rFonts w:cs="Times New Roman"/>
          <w:lang w:val="en-CA"/>
        </w:rPr>
        <w:t>data</w:t>
      </w:r>
      <w:r w:rsidR="000852EE" w:rsidRPr="006B5B91">
        <w:rPr>
          <w:rFonts w:cs="Times New Roman"/>
          <w:lang w:val="en-CA"/>
        </w:rPr>
        <w:t xml:space="preserve"> until </w:t>
      </w:r>
      <w:r w:rsidR="008A518A" w:rsidRPr="006B5B91">
        <w:rPr>
          <w:rFonts w:cs="Times New Roman"/>
          <w:lang w:val="en-CA"/>
        </w:rPr>
        <w:t>January 2019</w:t>
      </w:r>
      <w:r w:rsidR="000C07F3">
        <w:rPr>
          <w:rFonts w:cs="Times New Roman"/>
          <w:lang w:val="en-CA"/>
        </w:rPr>
        <w:t xml:space="preserve"> is used</w:t>
      </w:r>
      <w:r w:rsidR="00C6729F" w:rsidRPr="006B5B91">
        <w:rPr>
          <w:rFonts w:cs="Times New Roman"/>
          <w:lang w:val="en-CA"/>
        </w:rPr>
        <w:t xml:space="preserve">. </w:t>
      </w:r>
      <w:r w:rsidR="008A518A" w:rsidRPr="006B5B91">
        <w:rPr>
          <w:rFonts w:cs="Times New Roman"/>
          <w:lang w:val="en-CA"/>
        </w:rPr>
        <w:t xml:space="preserve">Daily values </w:t>
      </w:r>
      <w:r w:rsidR="000C07F3">
        <w:rPr>
          <w:rFonts w:cs="Times New Roman"/>
          <w:lang w:val="en-CA"/>
        </w:rPr>
        <w:t>are converted</w:t>
      </w:r>
      <w:r w:rsidR="008A518A" w:rsidRPr="006B5B91">
        <w:rPr>
          <w:rFonts w:cs="Times New Roman"/>
          <w:lang w:val="en-CA"/>
        </w:rPr>
        <w:t xml:space="preserve"> to monthly averages for recession and inflation forecasting, and to quarterly averages for GD</w:t>
      </w:r>
      <w:r w:rsidR="00EA0D0B" w:rsidRPr="006B5B91">
        <w:rPr>
          <w:rFonts w:cs="Times New Roman"/>
          <w:lang w:val="en-CA"/>
        </w:rPr>
        <w:t>P</w:t>
      </w:r>
      <w:r w:rsidR="00174F75" w:rsidRPr="006B5B91">
        <w:rPr>
          <w:rFonts w:cs="Times New Roman"/>
          <w:lang w:val="en-CA"/>
        </w:rPr>
        <w:t xml:space="preserve"> </w:t>
      </w:r>
      <w:r w:rsidR="008A518A" w:rsidRPr="006B5B91">
        <w:rPr>
          <w:rFonts w:cs="Times New Roman"/>
          <w:lang w:val="en-CA"/>
        </w:rPr>
        <w:t>forecasting.</w:t>
      </w:r>
    </w:p>
    <w:p w14:paraId="785206AD" w14:textId="3B4E9A9D" w:rsidR="004319CF" w:rsidRPr="006B5B91" w:rsidRDefault="00623E75" w:rsidP="00A03664">
      <w:pPr>
        <w:spacing w:line="480" w:lineRule="auto"/>
        <w:ind w:firstLine="720"/>
        <w:rPr>
          <w:rFonts w:cs="Times New Roman"/>
          <w:lang w:val="en-CA"/>
        </w:rPr>
      </w:pPr>
      <w:r w:rsidRPr="006B5B91">
        <w:rPr>
          <w:rFonts w:cs="Times New Roman"/>
          <w:lang w:val="en-CA"/>
        </w:rPr>
        <w:t xml:space="preserve">Data on </w:t>
      </w:r>
      <w:r w:rsidR="00F447A4" w:rsidRPr="006B5B91">
        <w:rPr>
          <w:rFonts w:cs="Times New Roman"/>
          <w:lang w:val="en-CA"/>
        </w:rPr>
        <w:t>Government of Canada</w:t>
      </w:r>
      <w:r w:rsidRPr="006B5B91">
        <w:rPr>
          <w:rFonts w:cs="Times New Roman"/>
          <w:lang w:val="en-CA"/>
        </w:rPr>
        <w:t xml:space="preserve"> benchmark </w:t>
      </w:r>
      <w:r w:rsidR="00BF60BE">
        <w:rPr>
          <w:rFonts w:cs="Times New Roman"/>
          <w:lang w:val="en-CA"/>
        </w:rPr>
        <w:t>ten</w:t>
      </w:r>
      <w:r w:rsidR="00F447A4" w:rsidRPr="006B5B91">
        <w:rPr>
          <w:rFonts w:cs="Times New Roman"/>
          <w:lang w:val="en-CA"/>
        </w:rPr>
        <w:t>-</w:t>
      </w:r>
      <w:r w:rsidRPr="006B5B91">
        <w:rPr>
          <w:rFonts w:cs="Times New Roman"/>
          <w:lang w:val="en-CA"/>
        </w:rPr>
        <w:t>year</w:t>
      </w:r>
      <w:r w:rsidR="00FE219D" w:rsidRPr="006B5B91">
        <w:rPr>
          <w:rFonts w:cs="Times New Roman"/>
          <w:lang w:val="en-CA"/>
        </w:rPr>
        <w:t xml:space="preserve"> bonds</w:t>
      </w:r>
      <w:r w:rsidRPr="006B5B91">
        <w:rPr>
          <w:rFonts w:cs="Times New Roman"/>
          <w:lang w:val="en-CA"/>
        </w:rPr>
        <w:t xml:space="preserve"> </w:t>
      </w:r>
      <w:r w:rsidR="00F447A4" w:rsidRPr="006B5B91">
        <w:rPr>
          <w:rFonts w:cs="Times New Roman"/>
          <w:lang w:val="en-CA"/>
        </w:rPr>
        <w:t>and</w:t>
      </w:r>
      <w:r w:rsidRPr="006B5B91">
        <w:rPr>
          <w:rFonts w:cs="Times New Roman"/>
          <w:lang w:val="en-CA"/>
        </w:rPr>
        <w:t xml:space="preserve"> </w:t>
      </w:r>
      <w:r w:rsidR="00BF60BE">
        <w:rPr>
          <w:rFonts w:cs="Times New Roman"/>
          <w:lang w:val="en-CA"/>
        </w:rPr>
        <w:t>two</w:t>
      </w:r>
      <w:r w:rsidR="00F447A4" w:rsidRPr="006B5B91">
        <w:rPr>
          <w:rFonts w:cs="Times New Roman"/>
          <w:lang w:val="en-CA"/>
        </w:rPr>
        <w:t>-</w:t>
      </w:r>
      <w:r w:rsidRPr="006B5B91">
        <w:rPr>
          <w:rFonts w:cs="Times New Roman"/>
          <w:lang w:val="en-CA"/>
        </w:rPr>
        <w:t xml:space="preserve">year bonds, and </w:t>
      </w:r>
      <w:r w:rsidR="00BF60BE">
        <w:rPr>
          <w:rFonts w:cs="Times New Roman"/>
          <w:lang w:val="en-CA"/>
        </w:rPr>
        <w:t>three</w:t>
      </w:r>
      <w:r w:rsidRPr="006B5B91">
        <w:rPr>
          <w:rFonts w:cs="Times New Roman"/>
          <w:lang w:val="en-CA"/>
        </w:rPr>
        <w:t xml:space="preserve">-month </w:t>
      </w:r>
      <w:r w:rsidR="00F447A4" w:rsidRPr="006B5B91">
        <w:rPr>
          <w:rFonts w:cs="Times New Roman"/>
          <w:lang w:val="en-CA"/>
        </w:rPr>
        <w:t>T</w:t>
      </w:r>
      <w:r w:rsidRPr="006B5B91">
        <w:rPr>
          <w:rFonts w:cs="Times New Roman"/>
          <w:lang w:val="en-CA"/>
        </w:rPr>
        <w:t xml:space="preserve">reasury bills </w:t>
      </w:r>
      <w:r w:rsidR="000C07F3">
        <w:rPr>
          <w:rFonts w:cs="Times New Roman"/>
          <w:lang w:val="en-CA"/>
        </w:rPr>
        <w:t xml:space="preserve">are </w:t>
      </w:r>
      <w:r w:rsidRPr="006B5B91">
        <w:rPr>
          <w:rFonts w:cs="Times New Roman"/>
          <w:lang w:val="en-CA"/>
        </w:rPr>
        <w:t>retrieved from Haver Analytics, which gathers data on Canadian bond yields from Statistics Canada</w:t>
      </w:r>
      <w:r w:rsidR="006B4F56">
        <w:rPr>
          <w:rFonts w:cs="Times New Roman"/>
          <w:lang w:val="en-CA"/>
        </w:rPr>
        <w:t xml:space="preserve"> </w:t>
      </w:r>
      <w:r w:rsidRPr="006B5B91">
        <w:rPr>
          <w:rFonts w:cs="Times New Roman"/>
          <w:lang w:val="en-CA"/>
        </w:rPr>
        <w:t xml:space="preserve">and </w:t>
      </w:r>
      <w:r w:rsidR="00FE219D" w:rsidRPr="006B5B91">
        <w:rPr>
          <w:rFonts w:cs="Times New Roman"/>
          <w:lang w:val="en-CA"/>
        </w:rPr>
        <w:t xml:space="preserve">the </w:t>
      </w:r>
      <w:r w:rsidR="00F447A4" w:rsidRPr="006B5B91">
        <w:rPr>
          <w:rFonts w:cs="Times New Roman"/>
          <w:lang w:val="en-CA"/>
        </w:rPr>
        <w:t>Bank of Canada</w:t>
      </w:r>
      <w:r w:rsidRPr="006B5B91">
        <w:rPr>
          <w:rFonts w:cs="Times New Roman"/>
          <w:lang w:val="en-CA"/>
        </w:rPr>
        <w:t>.</w:t>
      </w:r>
      <w:r w:rsidR="00F447A4" w:rsidRPr="006B5B91">
        <w:rPr>
          <w:rFonts w:cs="Times New Roman"/>
          <w:lang w:val="en-CA"/>
        </w:rPr>
        <w:t xml:space="preserve"> Yield</w:t>
      </w:r>
      <w:r w:rsidR="00841436">
        <w:rPr>
          <w:rFonts w:cs="Times New Roman"/>
          <w:lang w:val="en-CA"/>
        </w:rPr>
        <w:t>s</w:t>
      </w:r>
      <w:r w:rsidR="00F447A4" w:rsidRPr="006B5B91">
        <w:rPr>
          <w:rFonts w:cs="Times New Roman"/>
          <w:lang w:val="en-CA"/>
        </w:rPr>
        <w:t xml:space="preserve"> are monthly averages.</w:t>
      </w:r>
      <w:r w:rsidR="004319CF" w:rsidRPr="006B5B91">
        <w:rPr>
          <w:rFonts w:cs="Times New Roman"/>
          <w:lang w:val="en-CA"/>
        </w:rPr>
        <w:t xml:space="preserve"> These three types of government securities are used to compute the </w:t>
      </w:r>
      <w:r w:rsidR="00400FD2">
        <w:rPr>
          <w:rFonts w:cs="Times New Roman"/>
          <w:lang w:val="en-CA"/>
        </w:rPr>
        <w:t>10y-2y yield spread</w:t>
      </w:r>
      <w:r w:rsidR="004319CF" w:rsidRPr="006B5B91">
        <w:rPr>
          <w:rFonts w:cs="Times New Roman"/>
          <w:lang w:val="en-CA"/>
        </w:rPr>
        <w:t xml:space="preserve"> and the </w:t>
      </w:r>
      <w:r w:rsidR="00400FD2">
        <w:rPr>
          <w:rFonts w:cs="Times New Roman"/>
          <w:lang w:val="en-CA"/>
        </w:rPr>
        <w:t>10y-3m</w:t>
      </w:r>
      <w:r w:rsidR="004319CF" w:rsidRPr="006B5B91">
        <w:rPr>
          <w:rFonts w:cs="Times New Roman"/>
          <w:lang w:val="en-CA"/>
        </w:rPr>
        <w:t xml:space="preserve"> yield spread.</w:t>
      </w:r>
      <w:r w:rsidR="00EA0D0B" w:rsidRPr="006B5B91">
        <w:rPr>
          <w:rFonts w:cs="Times New Roman"/>
          <w:lang w:val="en-CA"/>
        </w:rPr>
        <w:t xml:space="preserve"> </w:t>
      </w:r>
      <w:r w:rsidR="00F75FB2" w:rsidRPr="006B5B91">
        <w:rPr>
          <w:rFonts w:cs="Times New Roman"/>
          <w:lang w:val="en-CA"/>
        </w:rPr>
        <w:t>The near-term forward spread</w:t>
      </w:r>
      <w:r w:rsidR="00FE219D" w:rsidRPr="006B5B91">
        <w:rPr>
          <w:rFonts w:cs="Times New Roman"/>
          <w:lang w:val="en-CA"/>
        </w:rPr>
        <w:t xml:space="preserve"> </w:t>
      </w:r>
      <w:r w:rsidR="00F75FB2" w:rsidRPr="006B5B91">
        <w:rPr>
          <w:rFonts w:cs="Times New Roman"/>
          <w:lang w:val="en-CA"/>
        </w:rPr>
        <w:t xml:space="preserve">is computed using data from zero-coupon bond yield curves and </w:t>
      </w:r>
      <w:r w:rsidR="00BF60BE">
        <w:rPr>
          <w:rFonts w:cs="Times New Roman"/>
          <w:lang w:val="en-CA"/>
        </w:rPr>
        <w:t>three</w:t>
      </w:r>
      <w:r w:rsidR="00F75FB2" w:rsidRPr="006B5B91">
        <w:rPr>
          <w:rFonts w:cs="Times New Roman"/>
          <w:lang w:val="en-CA"/>
        </w:rPr>
        <w:t>-month Treasury bills.</w:t>
      </w:r>
      <w:r w:rsidR="00506C7B">
        <w:rPr>
          <w:rFonts w:cs="Times New Roman"/>
          <w:lang w:val="en-CA"/>
        </w:rPr>
        <w:t xml:space="preserve"> All three spreads are standardized so that the results </w:t>
      </w:r>
      <w:r w:rsidR="00EB70DF">
        <w:rPr>
          <w:rFonts w:cs="Times New Roman"/>
          <w:lang w:val="en-CA"/>
        </w:rPr>
        <w:t xml:space="preserve">could be interpreted as </w:t>
      </w:r>
      <w:r w:rsidR="00506C7B">
        <w:rPr>
          <w:rFonts w:cs="Times New Roman"/>
          <w:lang w:val="en-CA"/>
        </w:rPr>
        <w:t xml:space="preserve">the effects of a one-standard-deviation </w:t>
      </w:r>
      <w:r w:rsidR="00EB70DF">
        <w:rPr>
          <w:rFonts w:cs="Times New Roman"/>
          <w:lang w:val="en-CA"/>
        </w:rPr>
        <w:t>decrease</w:t>
      </w:r>
      <w:r w:rsidR="00506C7B">
        <w:rPr>
          <w:rFonts w:cs="Times New Roman"/>
          <w:lang w:val="en-CA"/>
        </w:rPr>
        <w:t xml:space="preserve"> in the spread.</w:t>
      </w:r>
    </w:p>
    <w:p w14:paraId="06D82855" w14:textId="2FDB0792" w:rsidR="00CF7629" w:rsidRPr="006B5B91" w:rsidRDefault="00CF7629" w:rsidP="00623E75">
      <w:pPr>
        <w:spacing w:line="480" w:lineRule="auto"/>
        <w:rPr>
          <w:rFonts w:cs="Times New Roman"/>
          <w:b/>
          <w:bCs/>
          <w:lang w:val="en-CA"/>
        </w:rPr>
      </w:pPr>
    </w:p>
    <w:p w14:paraId="7DD70C6F" w14:textId="23802DF1" w:rsidR="00EA0D0B" w:rsidRPr="006B5B91" w:rsidRDefault="00ED4356" w:rsidP="009250E2">
      <w:pPr>
        <w:pStyle w:val="Heading2"/>
        <w:rPr>
          <w:rFonts w:cs="Times New Roman"/>
        </w:rPr>
      </w:pPr>
      <w:bookmarkStart w:id="19" w:name="_Toc37338051"/>
      <w:r>
        <w:rPr>
          <w:rFonts w:cs="Times New Roman"/>
        </w:rPr>
        <w:t>4</w:t>
      </w:r>
      <w:r w:rsidR="005E1A84">
        <w:rPr>
          <w:rFonts w:cs="Times New Roman"/>
        </w:rPr>
        <w:t>.2</w:t>
      </w:r>
      <w:r w:rsidR="00CB44C9">
        <w:rPr>
          <w:rFonts w:cs="Times New Roman"/>
        </w:rPr>
        <w:t xml:space="preserve">.  </w:t>
      </w:r>
      <w:r w:rsidR="00CF7629" w:rsidRPr="006B5B91">
        <w:rPr>
          <w:rFonts w:cs="Times New Roman"/>
        </w:rPr>
        <w:t>Real GDP and Inflation Data</w:t>
      </w:r>
      <w:bookmarkEnd w:id="19"/>
    </w:p>
    <w:p w14:paraId="6AB5FC3F" w14:textId="45C82B62" w:rsidR="003E3616" w:rsidRPr="006B5B91" w:rsidRDefault="003B4432" w:rsidP="009A6D73">
      <w:pPr>
        <w:spacing w:line="480" w:lineRule="auto"/>
        <w:ind w:firstLine="720"/>
        <w:rPr>
          <w:rFonts w:cs="Times New Roman"/>
          <w:lang w:val="en-CA"/>
        </w:rPr>
      </w:pPr>
      <w:r w:rsidRPr="006B5B91">
        <w:rPr>
          <w:rFonts w:cs="Times New Roman"/>
          <w:lang w:val="en-CA"/>
        </w:rPr>
        <w:t xml:space="preserve">Data on real gross domestic product </w:t>
      </w:r>
      <w:r w:rsidR="001F7FB0">
        <w:rPr>
          <w:rFonts w:cs="Times New Roman"/>
          <w:lang w:val="en-CA"/>
        </w:rPr>
        <w:t>are</w:t>
      </w:r>
      <w:r w:rsidRPr="006B5B91">
        <w:rPr>
          <w:rFonts w:cs="Times New Roman"/>
          <w:lang w:val="en-CA"/>
        </w:rPr>
        <w:t xml:space="preserve"> from Haver Analytics, wh</w:t>
      </w:r>
      <w:r w:rsidR="003E3616" w:rsidRPr="006B5B91">
        <w:rPr>
          <w:rFonts w:cs="Times New Roman"/>
          <w:lang w:val="en-CA"/>
        </w:rPr>
        <w:t>ich gathers</w:t>
      </w:r>
      <w:r w:rsidRPr="006B5B91">
        <w:rPr>
          <w:rFonts w:cs="Times New Roman"/>
          <w:lang w:val="en-CA"/>
        </w:rPr>
        <w:t xml:space="preserve"> the data from Statistics Canada</w:t>
      </w:r>
      <w:r w:rsidR="001F7FB0">
        <w:rPr>
          <w:rFonts w:cs="Times New Roman"/>
          <w:lang w:val="en-CA"/>
        </w:rPr>
        <w:t>.</w:t>
      </w:r>
      <w:r w:rsidR="00594DBC" w:rsidRPr="006B5B91">
        <w:rPr>
          <w:rStyle w:val="FootnoteReference"/>
          <w:rFonts w:cs="Times New Roman"/>
          <w:lang w:val="en-CA"/>
        </w:rPr>
        <w:footnoteReference w:id="6"/>
      </w:r>
      <w:r w:rsidR="00594DBC" w:rsidRPr="006B5B91">
        <w:rPr>
          <w:rFonts w:cs="Times New Roman"/>
          <w:lang w:val="en-CA"/>
        </w:rPr>
        <w:t xml:space="preserve"> </w:t>
      </w:r>
      <w:r w:rsidRPr="006B5B91">
        <w:rPr>
          <w:rFonts w:cs="Times New Roman"/>
          <w:lang w:val="en-CA"/>
        </w:rPr>
        <w:t>The data is seasonally adjusted, in 2012 dollars, and</w:t>
      </w:r>
      <w:r w:rsidR="00AF70EE" w:rsidRPr="006B5B91">
        <w:rPr>
          <w:rFonts w:cs="Times New Roman"/>
          <w:lang w:val="en-CA"/>
        </w:rPr>
        <w:t xml:space="preserve"> expressed</w:t>
      </w:r>
      <w:r w:rsidRPr="006B5B91">
        <w:rPr>
          <w:rFonts w:cs="Times New Roman"/>
          <w:lang w:val="en-CA"/>
        </w:rPr>
        <w:t xml:space="preserve"> </w:t>
      </w:r>
      <w:r w:rsidR="00CE6C8D" w:rsidRPr="006B5B91">
        <w:rPr>
          <w:rFonts w:cs="Times New Roman"/>
          <w:lang w:val="en-CA"/>
        </w:rPr>
        <w:t>in</w:t>
      </w:r>
      <w:r w:rsidR="00AF70EE" w:rsidRPr="006B5B91">
        <w:rPr>
          <w:rFonts w:cs="Times New Roman"/>
          <w:lang w:val="en-CA"/>
        </w:rPr>
        <w:t xml:space="preserve"> a</w:t>
      </w:r>
      <w:r w:rsidRPr="006B5B91">
        <w:rPr>
          <w:rFonts w:cs="Times New Roman"/>
          <w:lang w:val="en-CA"/>
        </w:rPr>
        <w:t xml:space="preserve"> quarterly frequency</w:t>
      </w:r>
      <w:r w:rsidR="00791186" w:rsidRPr="006B5B91">
        <w:rPr>
          <w:rFonts w:cs="Times New Roman"/>
          <w:lang w:val="en-CA"/>
        </w:rPr>
        <w:t>, from Q1 1986 to Q3 2018.</w:t>
      </w:r>
      <w:r w:rsidR="00506C7B">
        <w:rPr>
          <w:rFonts w:cs="Times New Roman"/>
          <w:lang w:val="en-CA"/>
        </w:rPr>
        <w:t xml:space="preserve"> </w:t>
      </w:r>
      <w:r w:rsidR="00AF70EE" w:rsidRPr="006B5B91">
        <w:rPr>
          <w:rFonts w:cs="Times New Roman"/>
          <w:lang w:val="en-CA"/>
        </w:rPr>
        <w:t xml:space="preserve">Inflation data </w:t>
      </w:r>
      <w:r w:rsidR="001F7FB0">
        <w:rPr>
          <w:rFonts w:cs="Times New Roman"/>
          <w:lang w:val="en-CA"/>
        </w:rPr>
        <w:t>are</w:t>
      </w:r>
      <w:r w:rsidR="00AF70EE" w:rsidRPr="006B5B91">
        <w:rPr>
          <w:rFonts w:cs="Times New Roman"/>
          <w:lang w:val="en-CA"/>
        </w:rPr>
        <w:t xml:space="preserve"> also from Haver Analytics, which compile</w:t>
      </w:r>
      <w:r w:rsidR="003E3616" w:rsidRPr="006B5B91">
        <w:rPr>
          <w:rFonts w:cs="Times New Roman"/>
          <w:lang w:val="en-CA"/>
        </w:rPr>
        <w:t>s</w:t>
      </w:r>
      <w:r w:rsidR="00AF70EE" w:rsidRPr="006B5B91">
        <w:rPr>
          <w:rFonts w:cs="Times New Roman"/>
          <w:lang w:val="en-CA"/>
        </w:rPr>
        <w:t xml:space="preserve"> the data from Statistics Canada</w:t>
      </w:r>
      <w:r w:rsidR="00594DBC" w:rsidRPr="006B5B91">
        <w:rPr>
          <w:rStyle w:val="FootnoteReference"/>
          <w:rFonts w:cs="Times New Roman"/>
          <w:lang w:val="en-CA"/>
        </w:rPr>
        <w:footnoteReference w:id="7"/>
      </w:r>
      <w:r w:rsidR="00AF70EE" w:rsidRPr="006B5B91">
        <w:rPr>
          <w:rFonts w:cs="Times New Roman"/>
          <w:lang w:val="en-CA"/>
        </w:rPr>
        <w:t>. The data is</w:t>
      </w:r>
      <w:r w:rsidR="00EC3C40" w:rsidRPr="006B5B91">
        <w:rPr>
          <w:rFonts w:cs="Times New Roman"/>
          <w:lang w:val="en-CA"/>
        </w:rPr>
        <w:t xml:space="preserve"> the</w:t>
      </w:r>
      <w:r w:rsidR="00AF70EE" w:rsidRPr="006B5B91">
        <w:rPr>
          <w:rFonts w:cs="Times New Roman"/>
          <w:lang w:val="en-CA"/>
        </w:rPr>
        <w:t xml:space="preserve"> seasonally adjusted</w:t>
      </w:r>
      <w:r w:rsidR="00EC3C40" w:rsidRPr="006B5B91">
        <w:rPr>
          <w:rFonts w:cs="Times New Roman"/>
          <w:lang w:val="en-CA"/>
        </w:rPr>
        <w:t xml:space="preserve"> consumer</w:t>
      </w:r>
      <w:r w:rsidR="00506C7B">
        <w:rPr>
          <w:rFonts w:cs="Times New Roman"/>
          <w:lang w:val="en-CA"/>
        </w:rPr>
        <w:t xml:space="preserve"> </w:t>
      </w:r>
      <w:r w:rsidR="00EC3C40" w:rsidRPr="006B5B91">
        <w:rPr>
          <w:rFonts w:cs="Times New Roman"/>
          <w:lang w:val="en-CA"/>
        </w:rPr>
        <w:lastRenderedPageBreak/>
        <w:t>price index (CPI) of all items</w:t>
      </w:r>
      <w:r w:rsidR="00AF70EE" w:rsidRPr="006B5B91">
        <w:rPr>
          <w:rFonts w:cs="Times New Roman"/>
          <w:lang w:val="en-CA"/>
        </w:rPr>
        <w:t xml:space="preserve">, </w:t>
      </w:r>
      <w:r w:rsidR="00EC3C40" w:rsidRPr="006B5B91">
        <w:rPr>
          <w:rFonts w:cs="Times New Roman"/>
          <w:lang w:val="en-CA"/>
        </w:rPr>
        <w:t>with</w:t>
      </w:r>
      <w:r w:rsidR="00AF70EE" w:rsidRPr="006B5B91">
        <w:rPr>
          <w:rFonts w:cs="Times New Roman"/>
          <w:lang w:val="en-CA"/>
        </w:rPr>
        <w:t xml:space="preserve"> 2002 </w:t>
      </w:r>
      <w:r w:rsidR="00EC3C40" w:rsidRPr="006B5B91">
        <w:rPr>
          <w:rFonts w:cs="Times New Roman"/>
          <w:lang w:val="en-CA"/>
        </w:rPr>
        <w:t>as the base year</w:t>
      </w:r>
      <w:r w:rsidR="00AF70EE" w:rsidRPr="006B5B91">
        <w:rPr>
          <w:rFonts w:cs="Times New Roman"/>
          <w:lang w:val="en-CA"/>
        </w:rPr>
        <w:t>, and expressed in a monthly frequency</w:t>
      </w:r>
      <w:r w:rsidR="00791186" w:rsidRPr="006B5B91">
        <w:rPr>
          <w:rFonts w:cs="Times New Roman"/>
          <w:lang w:val="en-CA"/>
        </w:rPr>
        <w:t>, from January 1993 to January 2019.</w:t>
      </w:r>
    </w:p>
    <w:p w14:paraId="4EDBBDA7" w14:textId="77777777" w:rsidR="00506C7B" w:rsidRDefault="00506C7B" w:rsidP="009250E2">
      <w:pPr>
        <w:pStyle w:val="Heading2"/>
        <w:rPr>
          <w:rFonts w:cs="Times New Roman"/>
        </w:rPr>
      </w:pPr>
      <w:bookmarkStart w:id="20" w:name="_Toc37338052"/>
    </w:p>
    <w:p w14:paraId="07C46666" w14:textId="5ABE3A9F" w:rsidR="00CF7629" w:rsidRPr="006B5B91" w:rsidRDefault="00ED4356" w:rsidP="009250E2">
      <w:pPr>
        <w:pStyle w:val="Heading2"/>
        <w:rPr>
          <w:rFonts w:cs="Times New Roman"/>
        </w:rPr>
      </w:pPr>
      <w:r>
        <w:rPr>
          <w:rFonts w:cs="Times New Roman"/>
        </w:rPr>
        <w:t>4</w:t>
      </w:r>
      <w:r w:rsidR="005E1A84">
        <w:rPr>
          <w:rFonts w:cs="Times New Roman"/>
        </w:rPr>
        <w:t>.3</w:t>
      </w:r>
      <w:r w:rsidR="00CB44C9">
        <w:rPr>
          <w:rFonts w:cs="Times New Roman"/>
        </w:rPr>
        <w:t xml:space="preserve">.  </w:t>
      </w:r>
      <w:r w:rsidR="00CF7629" w:rsidRPr="006B5B91">
        <w:rPr>
          <w:rFonts w:cs="Times New Roman"/>
        </w:rPr>
        <w:t>Recession Data</w:t>
      </w:r>
      <w:bookmarkEnd w:id="20"/>
    </w:p>
    <w:p w14:paraId="6B62B5C3" w14:textId="192CEF73" w:rsidR="00E97FCD" w:rsidRPr="006B5B91" w:rsidRDefault="006D5A4A" w:rsidP="00A03664">
      <w:pPr>
        <w:spacing w:line="480" w:lineRule="auto"/>
        <w:ind w:firstLine="720"/>
        <w:rPr>
          <w:rFonts w:cs="Times New Roman"/>
          <w:lang w:val="en-CA"/>
        </w:rPr>
      </w:pPr>
      <w:r>
        <w:rPr>
          <w:rFonts w:cs="Times New Roman"/>
          <w:lang w:val="en-CA"/>
        </w:rPr>
        <w:t>The</w:t>
      </w:r>
      <w:r w:rsidR="00B248B2" w:rsidRPr="006B5B91">
        <w:rPr>
          <w:rFonts w:cs="Times New Roman"/>
          <w:lang w:val="en-CA"/>
        </w:rPr>
        <w:t xml:space="preserve"> recessionary periods </w:t>
      </w:r>
      <w:r>
        <w:rPr>
          <w:rFonts w:cs="Times New Roman"/>
          <w:lang w:val="en-CA"/>
        </w:rPr>
        <w:t xml:space="preserve">for </w:t>
      </w:r>
      <w:r w:rsidR="00B248B2" w:rsidRPr="006B5B91">
        <w:rPr>
          <w:rFonts w:cs="Times New Roman"/>
          <w:lang w:val="en-CA"/>
        </w:rPr>
        <w:t>Canada</w:t>
      </w:r>
      <w:r>
        <w:rPr>
          <w:rFonts w:cs="Times New Roman"/>
          <w:lang w:val="en-CA"/>
        </w:rPr>
        <w:t xml:space="preserve"> are taken </w:t>
      </w:r>
      <w:r w:rsidR="00C6729F" w:rsidRPr="006B5B91">
        <w:rPr>
          <w:rFonts w:cs="Times New Roman"/>
          <w:lang w:val="en-CA"/>
        </w:rPr>
        <w:t>from the C.D. Howe Institute</w:t>
      </w:r>
      <w:r w:rsidR="000C07F3">
        <w:rPr>
          <w:rFonts w:cs="Times New Roman"/>
          <w:lang w:val="en-CA"/>
        </w:rPr>
        <w:t>.</w:t>
      </w:r>
      <w:r w:rsidR="00C6729F" w:rsidRPr="006B5B91">
        <w:rPr>
          <w:rFonts w:cs="Times New Roman"/>
          <w:lang w:val="en-CA"/>
        </w:rPr>
        <w:t xml:space="preserve"> </w:t>
      </w:r>
      <w:r w:rsidR="007670B2" w:rsidRPr="006B5B91">
        <w:rPr>
          <w:rFonts w:cs="Times New Roman"/>
          <w:lang w:val="en-CA"/>
        </w:rPr>
        <w:t xml:space="preserve">The organization </w:t>
      </w:r>
      <w:r w:rsidR="00D9702A" w:rsidRPr="006B5B91">
        <w:rPr>
          <w:rFonts w:cs="Times New Roman"/>
          <w:lang w:val="en-CA"/>
        </w:rPr>
        <w:t>provides recession dates</w:t>
      </w:r>
      <w:r w:rsidR="001F7FB0">
        <w:rPr>
          <w:rFonts w:cs="Times New Roman"/>
          <w:lang w:val="en-CA"/>
        </w:rPr>
        <w:t xml:space="preserve"> in</w:t>
      </w:r>
      <w:r w:rsidR="00D9702A" w:rsidRPr="006B5B91">
        <w:rPr>
          <w:rFonts w:cs="Times New Roman"/>
          <w:lang w:val="en-CA"/>
        </w:rPr>
        <w:t xml:space="preserve"> Canada as far back as 1926</w:t>
      </w:r>
      <w:r w:rsidR="00E97FCD" w:rsidRPr="006B5B91">
        <w:rPr>
          <w:rFonts w:cs="Times New Roman"/>
          <w:lang w:val="en-CA"/>
        </w:rPr>
        <w:t xml:space="preserve">. </w:t>
      </w:r>
      <w:r w:rsidR="00D0689C" w:rsidRPr="006B5B91">
        <w:rPr>
          <w:rFonts w:cs="Times New Roman"/>
          <w:lang w:val="en-CA"/>
        </w:rPr>
        <w:t xml:space="preserve">The </w:t>
      </w:r>
      <w:r w:rsidR="00594DBC" w:rsidRPr="006B5B91">
        <w:rPr>
          <w:rFonts w:cs="Times New Roman"/>
          <w:lang w:val="en-CA"/>
        </w:rPr>
        <w:t>I</w:t>
      </w:r>
      <w:r w:rsidR="00D0689C" w:rsidRPr="006B5B91">
        <w:rPr>
          <w:rFonts w:cs="Times New Roman"/>
          <w:lang w:val="en-CA"/>
        </w:rPr>
        <w:t xml:space="preserve">nstitute’s Business Cycle Council, similar to the National Bureau of Economic Research (NBER)’s Business Cycle Dating Committee in the </w:t>
      </w:r>
      <w:r w:rsidR="000C07F3">
        <w:rPr>
          <w:rFonts w:cs="Times New Roman"/>
          <w:lang w:val="en-CA"/>
        </w:rPr>
        <w:t>U.S.</w:t>
      </w:r>
      <w:r w:rsidR="00D0689C" w:rsidRPr="006B5B91">
        <w:rPr>
          <w:rFonts w:cs="Times New Roman"/>
          <w:lang w:val="en-CA"/>
        </w:rPr>
        <w:t xml:space="preserve">, </w:t>
      </w:r>
      <w:r w:rsidR="00594DBC" w:rsidRPr="006B5B91">
        <w:rPr>
          <w:rFonts w:cs="Times New Roman"/>
          <w:lang w:val="en-CA"/>
        </w:rPr>
        <w:t>evaluates</w:t>
      </w:r>
      <w:r w:rsidR="00D0689C" w:rsidRPr="006B5B91">
        <w:rPr>
          <w:rFonts w:cs="Times New Roman"/>
          <w:lang w:val="en-CA"/>
        </w:rPr>
        <w:t xml:space="preserve"> business cycles in Canada and declares official recession dates. The organization disregards the technical definition of a recession, whereby real gross domestic product contracts for two consecutive quarters or six months, in favour of a more comprehensive definition. It defines</w:t>
      </w:r>
      <w:r w:rsidR="00BD2070" w:rsidRPr="006B5B91">
        <w:rPr>
          <w:rFonts w:cs="Times New Roman"/>
          <w:lang w:val="en-CA"/>
        </w:rPr>
        <w:t xml:space="preserve"> a recession as a “pronounced, pervasive, and persistent decline in aggregate economic activity” </w:t>
      </w:r>
      <w:r w:rsidR="00930084">
        <w:rPr>
          <w:rFonts w:cs="Times New Roman"/>
          <w:lang w:val="en-CA"/>
        </w:rPr>
        <w:t>(</w:t>
      </w:r>
      <w:r w:rsidR="00930084" w:rsidRPr="006B5B91">
        <w:rPr>
          <w:rFonts w:cs="Times New Roman"/>
          <w:lang w:val="en-CA"/>
        </w:rPr>
        <w:t>Cross and Bergevin, 2012</w:t>
      </w:r>
      <w:r w:rsidR="00930084">
        <w:rPr>
          <w:rFonts w:cs="Times New Roman"/>
          <w:lang w:val="en-CA"/>
        </w:rPr>
        <w:t xml:space="preserve">, p. 3) </w:t>
      </w:r>
      <w:r w:rsidR="00BD2070" w:rsidRPr="006B5B91">
        <w:rPr>
          <w:rFonts w:cs="Times New Roman"/>
          <w:lang w:val="en-CA"/>
        </w:rPr>
        <w:t>and uses three components to define these recessionary periods</w:t>
      </w:r>
      <w:r w:rsidR="00C74F9C" w:rsidRPr="006B5B91">
        <w:rPr>
          <w:rFonts w:cs="Times New Roman"/>
          <w:lang w:val="en-CA"/>
        </w:rPr>
        <w:t>:</w:t>
      </w:r>
      <w:r w:rsidR="00BD2070" w:rsidRPr="006B5B91">
        <w:rPr>
          <w:rFonts w:cs="Times New Roman"/>
          <w:lang w:val="en-CA"/>
        </w:rPr>
        <w:t xml:space="preserve"> </w:t>
      </w:r>
      <w:r w:rsidR="00741D67">
        <w:rPr>
          <w:rFonts w:cs="Times New Roman"/>
          <w:lang w:val="en-CA"/>
        </w:rPr>
        <w:t>“</w:t>
      </w:r>
      <w:r w:rsidR="00BD2070" w:rsidRPr="006B5B91">
        <w:rPr>
          <w:rFonts w:cs="Times New Roman"/>
          <w:lang w:val="en-CA"/>
        </w:rPr>
        <w:t xml:space="preserve">duration, amplitude, </w:t>
      </w:r>
      <w:r w:rsidR="00741D67">
        <w:rPr>
          <w:rFonts w:cs="Times New Roman"/>
          <w:lang w:val="en-CA"/>
        </w:rPr>
        <w:t xml:space="preserve">and </w:t>
      </w:r>
      <w:r w:rsidR="00BD2070" w:rsidRPr="006B5B91">
        <w:rPr>
          <w:rFonts w:cs="Times New Roman"/>
          <w:lang w:val="en-CA"/>
        </w:rPr>
        <w:t>scope</w:t>
      </w:r>
      <w:r w:rsidR="00741D67">
        <w:rPr>
          <w:rFonts w:cs="Times New Roman"/>
          <w:lang w:val="en-CA"/>
        </w:rPr>
        <w:t>” (p. 4)</w:t>
      </w:r>
      <w:r w:rsidR="00BD2070" w:rsidRPr="006B5B91">
        <w:rPr>
          <w:rFonts w:cs="Times New Roman"/>
          <w:lang w:val="en-CA"/>
        </w:rPr>
        <w:t xml:space="preserve"> of each </w:t>
      </w:r>
      <w:r w:rsidR="00110AC6" w:rsidRPr="006B5B91">
        <w:rPr>
          <w:rFonts w:cs="Times New Roman"/>
          <w:lang w:val="en-CA"/>
        </w:rPr>
        <w:t>economic downturn</w:t>
      </w:r>
      <w:r w:rsidR="00741D67">
        <w:rPr>
          <w:rFonts w:cs="Times New Roman"/>
          <w:lang w:val="en-CA"/>
        </w:rPr>
        <w:t>.</w:t>
      </w:r>
    </w:p>
    <w:p w14:paraId="44E3F360" w14:textId="28E5E0E1" w:rsidR="001049C0" w:rsidRDefault="001049C0" w:rsidP="00A03664">
      <w:pPr>
        <w:spacing w:line="480" w:lineRule="auto"/>
        <w:ind w:firstLine="720"/>
        <w:rPr>
          <w:rFonts w:cs="Times New Roman"/>
          <w:lang w:val="en-CA"/>
        </w:rPr>
      </w:pPr>
      <w:r w:rsidRPr="006B5B91">
        <w:rPr>
          <w:rFonts w:cs="Times New Roman"/>
          <w:lang w:val="en-CA"/>
        </w:rPr>
        <w:t xml:space="preserve">Table 1 provides </w:t>
      </w:r>
      <w:r w:rsidR="00791914" w:rsidRPr="006B5B91">
        <w:rPr>
          <w:rFonts w:cs="Times New Roman"/>
          <w:lang w:val="en-CA"/>
        </w:rPr>
        <w:t>a historical chronology of Canadian recessions</w:t>
      </w:r>
      <w:r w:rsidR="00DC3947">
        <w:rPr>
          <w:rFonts w:cs="Times New Roman"/>
          <w:lang w:val="en-CA"/>
        </w:rPr>
        <w:t xml:space="preserve"> </w:t>
      </w:r>
      <w:r w:rsidR="00DC3947" w:rsidRPr="006B5B91">
        <w:rPr>
          <w:rFonts w:cs="Times New Roman"/>
          <w:lang w:val="en-CA"/>
        </w:rPr>
        <w:t xml:space="preserve">according to the </w:t>
      </w:r>
      <w:r w:rsidR="00DC3947">
        <w:rPr>
          <w:rFonts w:cs="Times New Roman"/>
          <w:lang w:val="en-CA"/>
        </w:rPr>
        <w:t>C.D.</w:t>
      </w:r>
      <w:r w:rsidR="00DC3947" w:rsidRPr="006B5B91">
        <w:rPr>
          <w:rFonts w:cs="Times New Roman"/>
          <w:lang w:val="en-CA"/>
        </w:rPr>
        <w:t xml:space="preserve"> Howe Institute</w:t>
      </w:r>
      <w:r w:rsidR="00791914" w:rsidRPr="006B5B91">
        <w:rPr>
          <w:rFonts w:cs="Times New Roman"/>
          <w:lang w:val="en-CA"/>
        </w:rPr>
        <w:t xml:space="preserve"> since 1926</w:t>
      </w:r>
      <w:r w:rsidRPr="006B5B91">
        <w:rPr>
          <w:rFonts w:cs="Times New Roman"/>
          <w:lang w:val="en-CA"/>
        </w:rPr>
        <w:t xml:space="preserve">, </w:t>
      </w:r>
      <w:r w:rsidR="00976908" w:rsidRPr="006B5B91">
        <w:rPr>
          <w:rFonts w:cs="Times New Roman"/>
          <w:lang w:val="en-CA"/>
        </w:rPr>
        <w:t xml:space="preserve">including a measure of the severity </w:t>
      </w:r>
      <w:r w:rsidRPr="006B5B91">
        <w:rPr>
          <w:rFonts w:cs="Times New Roman"/>
          <w:lang w:val="en-CA"/>
        </w:rPr>
        <w:t>and duration of each recession</w:t>
      </w:r>
      <w:r w:rsidR="000077C6" w:rsidRPr="006B5B91">
        <w:rPr>
          <w:rFonts w:cs="Times New Roman"/>
          <w:lang w:val="en-CA"/>
        </w:rPr>
        <w:t>.</w:t>
      </w:r>
      <w:r w:rsidR="00B25D0F" w:rsidRPr="006B5B91">
        <w:rPr>
          <w:rFonts w:cs="Times New Roman"/>
          <w:lang w:val="en-CA"/>
        </w:rPr>
        <w:t xml:space="preserve"> As can be seen from the table, the last three recessions in Canada were of relatively high severity. Only the Great Depression and the subsequent 1937-1938 recession were more severe.</w:t>
      </w:r>
      <w:r w:rsidR="00095014" w:rsidRPr="006B5B91">
        <w:rPr>
          <w:rFonts w:cs="Times New Roman"/>
          <w:lang w:val="en-CA"/>
        </w:rPr>
        <w:t xml:space="preserve"> </w:t>
      </w:r>
      <w:r w:rsidR="00A03664" w:rsidRPr="006B5B91">
        <w:rPr>
          <w:rFonts w:cs="Times New Roman"/>
          <w:lang w:val="en-CA"/>
        </w:rPr>
        <w:t xml:space="preserve">Figure </w:t>
      </w:r>
      <w:r w:rsidR="00DC3947">
        <w:rPr>
          <w:rFonts w:cs="Times New Roman"/>
          <w:lang w:val="en-CA"/>
        </w:rPr>
        <w:t>4</w:t>
      </w:r>
      <w:r w:rsidR="00A03664" w:rsidRPr="006B5B91">
        <w:rPr>
          <w:rFonts w:cs="Times New Roman"/>
          <w:lang w:val="en-CA"/>
        </w:rPr>
        <w:t xml:space="preserve"> shows the rank of each Canadian recession’s duration. Figure </w:t>
      </w:r>
      <w:r w:rsidR="00DC3947">
        <w:rPr>
          <w:rFonts w:cs="Times New Roman"/>
          <w:lang w:val="en-CA"/>
        </w:rPr>
        <w:t>5</w:t>
      </w:r>
      <w:r w:rsidR="00A03664" w:rsidRPr="006B5B91">
        <w:rPr>
          <w:rFonts w:cs="Times New Roman"/>
          <w:lang w:val="en-CA"/>
        </w:rPr>
        <w:t xml:space="preserve"> shows the rank of each Canadian recession</w:t>
      </w:r>
      <w:r w:rsidR="00DC3947">
        <w:rPr>
          <w:rFonts w:cs="Times New Roman"/>
          <w:lang w:val="en-CA"/>
        </w:rPr>
        <w:t>’</w:t>
      </w:r>
      <w:r w:rsidR="00A03664" w:rsidRPr="006B5B91">
        <w:rPr>
          <w:rFonts w:cs="Times New Roman"/>
          <w:lang w:val="en-CA"/>
        </w:rPr>
        <w:t>s severity.</w:t>
      </w:r>
    </w:p>
    <w:p w14:paraId="78EC066A" w14:textId="11BF0972" w:rsidR="00506C7B" w:rsidRDefault="00506C7B" w:rsidP="00A03664">
      <w:pPr>
        <w:spacing w:line="480" w:lineRule="auto"/>
        <w:ind w:firstLine="720"/>
        <w:rPr>
          <w:rFonts w:cs="Times New Roman"/>
          <w:lang w:val="en-CA"/>
        </w:rPr>
      </w:pPr>
    </w:p>
    <w:p w14:paraId="68DA147B" w14:textId="77777777" w:rsidR="00506C7B" w:rsidRDefault="00506C7B" w:rsidP="00A03664">
      <w:pPr>
        <w:spacing w:line="480" w:lineRule="auto"/>
        <w:ind w:firstLine="720"/>
        <w:rPr>
          <w:rFonts w:cs="Times New Roman"/>
          <w:lang w:val="en-CA"/>
        </w:rPr>
      </w:pPr>
    </w:p>
    <w:p w14:paraId="7989D181" w14:textId="77777777" w:rsidR="00DA5E82" w:rsidRDefault="00DA5E82" w:rsidP="00A03664">
      <w:pPr>
        <w:spacing w:line="480" w:lineRule="auto"/>
        <w:ind w:firstLine="720"/>
        <w:rPr>
          <w:rFonts w:cs="Times New Roman"/>
          <w:lang w:val="en-CA"/>
        </w:rPr>
      </w:pPr>
    </w:p>
    <w:tbl>
      <w:tblPr>
        <w:tblW w:w="9360" w:type="dxa"/>
        <w:tblLook w:val="04A0" w:firstRow="1" w:lastRow="0" w:firstColumn="1" w:lastColumn="0" w:noHBand="0" w:noVBand="1"/>
      </w:tblPr>
      <w:tblGrid>
        <w:gridCol w:w="2237"/>
        <w:gridCol w:w="2377"/>
        <w:gridCol w:w="1907"/>
        <w:gridCol w:w="2839"/>
      </w:tblGrid>
      <w:tr w:rsidR="000C4299" w:rsidRPr="006B5B91" w14:paraId="59B473DC" w14:textId="77777777" w:rsidTr="00EB1B3C">
        <w:trPr>
          <w:trHeight w:val="315"/>
        </w:trPr>
        <w:tc>
          <w:tcPr>
            <w:tcW w:w="9360" w:type="dxa"/>
            <w:gridSpan w:val="4"/>
            <w:tcBorders>
              <w:top w:val="nil"/>
              <w:left w:val="nil"/>
              <w:bottom w:val="double" w:sz="6" w:space="0" w:color="auto"/>
              <w:right w:val="nil"/>
            </w:tcBorders>
            <w:shd w:val="clear" w:color="auto" w:fill="auto"/>
            <w:noWrap/>
            <w:vAlign w:val="center"/>
            <w:hideMark/>
          </w:tcPr>
          <w:p w14:paraId="5EF73AE5" w14:textId="1EBF4D6F" w:rsidR="00DA5E82" w:rsidRPr="00AD1ECB" w:rsidRDefault="00DA5E82" w:rsidP="00AD1ECB">
            <w:bookmarkStart w:id="21" w:name="_Toc37261607"/>
            <w:r w:rsidRPr="00AD1ECB">
              <w:lastRenderedPageBreak/>
              <w:t xml:space="preserve">Table </w:t>
            </w:r>
            <w:r w:rsidR="009C4B5A">
              <w:fldChar w:fldCharType="begin"/>
            </w:r>
            <w:r w:rsidR="009C4B5A">
              <w:instrText xml:space="preserve"> SEQ Table \* ARABIC </w:instrText>
            </w:r>
            <w:r w:rsidR="009C4B5A">
              <w:fldChar w:fldCharType="separate"/>
            </w:r>
            <w:r w:rsidR="00AC0696">
              <w:rPr>
                <w:noProof/>
              </w:rPr>
              <w:t>1</w:t>
            </w:r>
            <w:bookmarkEnd w:id="21"/>
            <w:r w:rsidR="009C4B5A">
              <w:rPr>
                <w:noProof/>
              </w:rPr>
              <w:fldChar w:fldCharType="end"/>
            </w:r>
          </w:p>
          <w:p w14:paraId="7504F192" w14:textId="54A3258C" w:rsidR="000C4299" w:rsidRPr="006B5B91" w:rsidRDefault="000C07F3" w:rsidP="00EB1B3C">
            <w:pPr>
              <w:spacing w:line="276" w:lineRule="auto"/>
              <w:rPr>
                <w:rFonts w:eastAsia="Times New Roman" w:cs="Times New Roman"/>
                <w:i/>
                <w:iCs/>
                <w:color w:val="000000"/>
                <w:lang w:val="en-CA" w:eastAsia="en-CA"/>
              </w:rPr>
            </w:pPr>
            <w:r>
              <w:rPr>
                <w:rFonts w:eastAsia="Times New Roman" w:cs="Times New Roman"/>
                <w:i/>
                <w:iCs/>
                <w:color w:val="000000"/>
                <w:lang w:val="en-CA" w:eastAsia="en-CA"/>
              </w:rPr>
              <w:t>C.D.</w:t>
            </w:r>
            <w:r w:rsidR="000C4299" w:rsidRPr="006B5B91">
              <w:rPr>
                <w:rFonts w:eastAsia="Times New Roman" w:cs="Times New Roman"/>
                <w:i/>
                <w:iCs/>
                <w:color w:val="000000"/>
                <w:lang w:val="en-CA" w:eastAsia="en-CA"/>
              </w:rPr>
              <w:t xml:space="preserve"> Howe Institute Chronology of Canadian Recessions</w:t>
            </w:r>
          </w:p>
        </w:tc>
      </w:tr>
      <w:tr w:rsidR="000C4299" w:rsidRPr="006B5B91" w14:paraId="3643A8E8" w14:textId="77777777" w:rsidTr="00EB1B3C">
        <w:trPr>
          <w:trHeight w:val="300"/>
        </w:trPr>
        <w:tc>
          <w:tcPr>
            <w:tcW w:w="2237" w:type="dxa"/>
            <w:tcBorders>
              <w:top w:val="nil"/>
              <w:left w:val="nil"/>
              <w:bottom w:val="single" w:sz="4" w:space="0" w:color="auto"/>
              <w:right w:val="nil"/>
            </w:tcBorders>
            <w:shd w:val="clear" w:color="auto" w:fill="auto"/>
            <w:noWrap/>
            <w:vAlign w:val="center"/>
            <w:hideMark/>
          </w:tcPr>
          <w:p w14:paraId="7ACDA8A4"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Peak</w:t>
            </w:r>
          </w:p>
        </w:tc>
        <w:tc>
          <w:tcPr>
            <w:tcW w:w="2377" w:type="dxa"/>
            <w:tcBorders>
              <w:top w:val="nil"/>
              <w:left w:val="nil"/>
              <w:bottom w:val="single" w:sz="4" w:space="0" w:color="auto"/>
              <w:right w:val="nil"/>
            </w:tcBorders>
            <w:shd w:val="clear" w:color="auto" w:fill="auto"/>
            <w:noWrap/>
            <w:vAlign w:val="center"/>
            <w:hideMark/>
          </w:tcPr>
          <w:p w14:paraId="3ECBA718"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Trough</w:t>
            </w:r>
          </w:p>
        </w:tc>
        <w:tc>
          <w:tcPr>
            <w:tcW w:w="1907" w:type="dxa"/>
            <w:tcBorders>
              <w:top w:val="nil"/>
              <w:left w:val="nil"/>
              <w:bottom w:val="single" w:sz="4" w:space="0" w:color="auto"/>
              <w:right w:val="nil"/>
            </w:tcBorders>
            <w:shd w:val="clear" w:color="auto" w:fill="auto"/>
            <w:noWrap/>
            <w:vAlign w:val="center"/>
            <w:hideMark/>
          </w:tcPr>
          <w:p w14:paraId="25D625F4"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Severity (1 to 5)</w:t>
            </w:r>
          </w:p>
        </w:tc>
        <w:tc>
          <w:tcPr>
            <w:tcW w:w="2839" w:type="dxa"/>
            <w:tcBorders>
              <w:top w:val="nil"/>
              <w:left w:val="nil"/>
              <w:bottom w:val="single" w:sz="4" w:space="0" w:color="auto"/>
              <w:right w:val="nil"/>
            </w:tcBorders>
            <w:shd w:val="clear" w:color="auto" w:fill="auto"/>
            <w:noWrap/>
            <w:vAlign w:val="center"/>
            <w:hideMark/>
          </w:tcPr>
          <w:p w14:paraId="237ABA23"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Duration (months)</w:t>
            </w:r>
          </w:p>
        </w:tc>
      </w:tr>
      <w:tr w:rsidR="000C4299" w:rsidRPr="006B5B91" w14:paraId="0D012245" w14:textId="77777777" w:rsidTr="00EB1B3C">
        <w:trPr>
          <w:trHeight w:val="300"/>
        </w:trPr>
        <w:tc>
          <w:tcPr>
            <w:tcW w:w="2237" w:type="dxa"/>
            <w:tcBorders>
              <w:top w:val="single" w:sz="4" w:space="0" w:color="auto"/>
              <w:left w:val="nil"/>
              <w:bottom w:val="nil"/>
              <w:right w:val="nil"/>
            </w:tcBorders>
            <w:shd w:val="clear" w:color="auto" w:fill="auto"/>
            <w:noWrap/>
            <w:vAlign w:val="center"/>
          </w:tcPr>
          <w:p w14:paraId="5CB39E1A" w14:textId="77777777" w:rsidR="000C4299" w:rsidRPr="006B5B91" w:rsidRDefault="000C4299" w:rsidP="00EB1B3C">
            <w:pPr>
              <w:spacing w:line="276" w:lineRule="auto"/>
              <w:rPr>
                <w:rFonts w:eastAsia="Times New Roman" w:cs="Times New Roman"/>
                <w:color w:val="000000"/>
                <w:lang w:val="en-CA" w:eastAsia="en-CA"/>
              </w:rPr>
            </w:pPr>
          </w:p>
        </w:tc>
        <w:tc>
          <w:tcPr>
            <w:tcW w:w="2377" w:type="dxa"/>
            <w:tcBorders>
              <w:top w:val="single" w:sz="4" w:space="0" w:color="auto"/>
              <w:left w:val="nil"/>
              <w:bottom w:val="nil"/>
              <w:right w:val="nil"/>
            </w:tcBorders>
            <w:shd w:val="clear" w:color="auto" w:fill="auto"/>
            <w:noWrap/>
            <w:vAlign w:val="center"/>
          </w:tcPr>
          <w:p w14:paraId="71C532C5" w14:textId="77777777" w:rsidR="000C4299" w:rsidRPr="006B5B91" w:rsidRDefault="000C4299" w:rsidP="00EB1B3C">
            <w:pPr>
              <w:spacing w:line="276" w:lineRule="auto"/>
              <w:rPr>
                <w:rFonts w:eastAsia="Times New Roman" w:cs="Times New Roman"/>
                <w:color w:val="000000"/>
                <w:lang w:val="en-CA" w:eastAsia="en-CA"/>
              </w:rPr>
            </w:pPr>
          </w:p>
        </w:tc>
        <w:tc>
          <w:tcPr>
            <w:tcW w:w="1907" w:type="dxa"/>
            <w:tcBorders>
              <w:top w:val="single" w:sz="4" w:space="0" w:color="auto"/>
              <w:left w:val="nil"/>
              <w:bottom w:val="nil"/>
              <w:right w:val="nil"/>
            </w:tcBorders>
            <w:shd w:val="clear" w:color="auto" w:fill="auto"/>
            <w:noWrap/>
            <w:vAlign w:val="center"/>
          </w:tcPr>
          <w:p w14:paraId="35399BEA" w14:textId="77777777" w:rsidR="000C4299" w:rsidRPr="006B5B91" w:rsidRDefault="000C4299" w:rsidP="00EB1B3C">
            <w:pPr>
              <w:spacing w:line="276" w:lineRule="auto"/>
              <w:jc w:val="center"/>
              <w:rPr>
                <w:rFonts w:eastAsia="Times New Roman" w:cs="Times New Roman"/>
                <w:color w:val="000000"/>
                <w:lang w:val="en-CA" w:eastAsia="en-CA"/>
              </w:rPr>
            </w:pPr>
          </w:p>
        </w:tc>
        <w:tc>
          <w:tcPr>
            <w:tcW w:w="2839" w:type="dxa"/>
            <w:tcBorders>
              <w:top w:val="single" w:sz="4" w:space="0" w:color="auto"/>
              <w:left w:val="nil"/>
              <w:bottom w:val="nil"/>
              <w:right w:val="nil"/>
            </w:tcBorders>
            <w:shd w:val="clear" w:color="auto" w:fill="auto"/>
            <w:noWrap/>
            <w:vAlign w:val="center"/>
          </w:tcPr>
          <w:p w14:paraId="7E1F2CA8" w14:textId="77777777" w:rsidR="000C4299" w:rsidRPr="006B5B91" w:rsidRDefault="000C4299" w:rsidP="00EB1B3C">
            <w:pPr>
              <w:spacing w:line="276" w:lineRule="auto"/>
              <w:jc w:val="center"/>
              <w:rPr>
                <w:rFonts w:eastAsia="Times New Roman" w:cs="Times New Roman"/>
                <w:color w:val="000000"/>
                <w:lang w:val="en-CA" w:eastAsia="en-CA"/>
              </w:rPr>
            </w:pPr>
          </w:p>
        </w:tc>
      </w:tr>
      <w:tr w:rsidR="000C4299" w:rsidRPr="006B5B91" w14:paraId="212765ED" w14:textId="77777777" w:rsidTr="00EB1B3C">
        <w:trPr>
          <w:trHeight w:val="300"/>
        </w:trPr>
        <w:tc>
          <w:tcPr>
            <w:tcW w:w="2237" w:type="dxa"/>
            <w:tcBorders>
              <w:top w:val="nil"/>
              <w:left w:val="nil"/>
              <w:bottom w:val="nil"/>
              <w:right w:val="nil"/>
            </w:tcBorders>
            <w:shd w:val="clear" w:color="auto" w:fill="auto"/>
            <w:noWrap/>
            <w:vAlign w:val="center"/>
            <w:hideMark/>
          </w:tcPr>
          <w:p w14:paraId="7F8C60A4"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1929</w:t>
            </w:r>
          </w:p>
        </w:tc>
        <w:tc>
          <w:tcPr>
            <w:tcW w:w="2377" w:type="dxa"/>
            <w:tcBorders>
              <w:top w:val="nil"/>
              <w:left w:val="nil"/>
              <w:bottom w:val="nil"/>
              <w:right w:val="nil"/>
            </w:tcBorders>
            <w:shd w:val="clear" w:color="auto" w:fill="auto"/>
            <w:noWrap/>
            <w:vAlign w:val="center"/>
            <w:hideMark/>
          </w:tcPr>
          <w:p w14:paraId="476480E5"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1933</w:t>
            </w:r>
          </w:p>
        </w:tc>
        <w:tc>
          <w:tcPr>
            <w:tcW w:w="1907" w:type="dxa"/>
            <w:tcBorders>
              <w:top w:val="nil"/>
              <w:left w:val="nil"/>
              <w:bottom w:val="nil"/>
              <w:right w:val="nil"/>
            </w:tcBorders>
            <w:shd w:val="clear" w:color="auto" w:fill="auto"/>
            <w:noWrap/>
            <w:vAlign w:val="center"/>
            <w:hideMark/>
          </w:tcPr>
          <w:p w14:paraId="75B19AD8"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5</w:t>
            </w:r>
          </w:p>
        </w:tc>
        <w:tc>
          <w:tcPr>
            <w:tcW w:w="2839" w:type="dxa"/>
            <w:tcBorders>
              <w:top w:val="nil"/>
              <w:left w:val="nil"/>
              <w:bottom w:val="nil"/>
              <w:right w:val="nil"/>
            </w:tcBorders>
            <w:shd w:val="clear" w:color="auto" w:fill="auto"/>
            <w:noWrap/>
            <w:vAlign w:val="center"/>
            <w:hideMark/>
          </w:tcPr>
          <w:p w14:paraId="398E3F83"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46</w:t>
            </w:r>
          </w:p>
        </w:tc>
      </w:tr>
      <w:tr w:rsidR="000C4299" w:rsidRPr="006B5B91" w14:paraId="4B23B560" w14:textId="77777777" w:rsidTr="00EB1B3C">
        <w:trPr>
          <w:trHeight w:val="300"/>
        </w:trPr>
        <w:tc>
          <w:tcPr>
            <w:tcW w:w="2237" w:type="dxa"/>
            <w:tcBorders>
              <w:top w:val="nil"/>
              <w:left w:val="nil"/>
              <w:bottom w:val="nil"/>
              <w:right w:val="nil"/>
            </w:tcBorders>
            <w:shd w:val="clear" w:color="auto" w:fill="auto"/>
            <w:noWrap/>
            <w:vAlign w:val="center"/>
            <w:hideMark/>
          </w:tcPr>
          <w:p w14:paraId="7F7DE6B2"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1937</w:t>
            </w:r>
          </w:p>
        </w:tc>
        <w:tc>
          <w:tcPr>
            <w:tcW w:w="2377" w:type="dxa"/>
            <w:tcBorders>
              <w:top w:val="nil"/>
              <w:left w:val="nil"/>
              <w:bottom w:val="nil"/>
              <w:right w:val="nil"/>
            </w:tcBorders>
            <w:shd w:val="clear" w:color="auto" w:fill="auto"/>
            <w:noWrap/>
            <w:vAlign w:val="center"/>
            <w:hideMark/>
          </w:tcPr>
          <w:p w14:paraId="1C08444F"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1938</w:t>
            </w:r>
          </w:p>
        </w:tc>
        <w:tc>
          <w:tcPr>
            <w:tcW w:w="1907" w:type="dxa"/>
            <w:tcBorders>
              <w:top w:val="nil"/>
              <w:left w:val="nil"/>
              <w:bottom w:val="nil"/>
              <w:right w:val="nil"/>
            </w:tcBorders>
            <w:shd w:val="clear" w:color="auto" w:fill="auto"/>
            <w:noWrap/>
            <w:vAlign w:val="center"/>
            <w:hideMark/>
          </w:tcPr>
          <w:p w14:paraId="0431581B"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5</w:t>
            </w:r>
          </w:p>
        </w:tc>
        <w:tc>
          <w:tcPr>
            <w:tcW w:w="2839" w:type="dxa"/>
            <w:tcBorders>
              <w:top w:val="nil"/>
              <w:left w:val="nil"/>
              <w:bottom w:val="nil"/>
              <w:right w:val="nil"/>
            </w:tcBorders>
            <w:shd w:val="clear" w:color="auto" w:fill="auto"/>
            <w:noWrap/>
            <w:vAlign w:val="center"/>
            <w:hideMark/>
          </w:tcPr>
          <w:p w14:paraId="740DA945"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7</w:t>
            </w:r>
          </w:p>
        </w:tc>
      </w:tr>
      <w:tr w:rsidR="000C4299" w:rsidRPr="006B5B91" w14:paraId="297AB8DD" w14:textId="77777777" w:rsidTr="00EB1B3C">
        <w:trPr>
          <w:trHeight w:val="300"/>
        </w:trPr>
        <w:tc>
          <w:tcPr>
            <w:tcW w:w="2237" w:type="dxa"/>
            <w:tcBorders>
              <w:top w:val="nil"/>
              <w:left w:val="nil"/>
              <w:bottom w:val="nil"/>
              <w:right w:val="nil"/>
            </w:tcBorders>
            <w:shd w:val="clear" w:color="auto" w:fill="auto"/>
            <w:noWrap/>
            <w:vAlign w:val="center"/>
            <w:hideMark/>
          </w:tcPr>
          <w:p w14:paraId="33F200B6"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August 1947</w:t>
            </w:r>
          </w:p>
        </w:tc>
        <w:tc>
          <w:tcPr>
            <w:tcW w:w="2377" w:type="dxa"/>
            <w:tcBorders>
              <w:top w:val="nil"/>
              <w:left w:val="nil"/>
              <w:bottom w:val="nil"/>
              <w:right w:val="nil"/>
            </w:tcBorders>
            <w:shd w:val="clear" w:color="auto" w:fill="auto"/>
            <w:noWrap/>
            <w:vAlign w:val="center"/>
            <w:hideMark/>
          </w:tcPr>
          <w:p w14:paraId="661221FA"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1948</w:t>
            </w:r>
          </w:p>
        </w:tc>
        <w:tc>
          <w:tcPr>
            <w:tcW w:w="1907" w:type="dxa"/>
            <w:tcBorders>
              <w:top w:val="nil"/>
              <w:left w:val="nil"/>
              <w:bottom w:val="nil"/>
              <w:right w:val="nil"/>
            </w:tcBorders>
            <w:shd w:val="clear" w:color="auto" w:fill="auto"/>
            <w:noWrap/>
            <w:vAlign w:val="center"/>
            <w:hideMark/>
          </w:tcPr>
          <w:p w14:paraId="60AE682F"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w:t>
            </w:r>
          </w:p>
        </w:tc>
        <w:tc>
          <w:tcPr>
            <w:tcW w:w="2839" w:type="dxa"/>
            <w:tcBorders>
              <w:top w:val="nil"/>
              <w:left w:val="nil"/>
              <w:bottom w:val="nil"/>
              <w:right w:val="nil"/>
            </w:tcBorders>
            <w:shd w:val="clear" w:color="auto" w:fill="auto"/>
            <w:noWrap/>
            <w:vAlign w:val="center"/>
            <w:hideMark/>
          </w:tcPr>
          <w:p w14:paraId="1DDFB04A"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7</w:t>
            </w:r>
          </w:p>
        </w:tc>
      </w:tr>
      <w:tr w:rsidR="000C4299" w:rsidRPr="006B5B91" w14:paraId="4360D20C" w14:textId="77777777" w:rsidTr="00EB1B3C">
        <w:trPr>
          <w:trHeight w:val="300"/>
        </w:trPr>
        <w:tc>
          <w:tcPr>
            <w:tcW w:w="2237" w:type="dxa"/>
            <w:tcBorders>
              <w:top w:val="nil"/>
              <w:left w:val="nil"/>
              <w:bottom w:val="nil"/>
              <w:right w:val="nil"/>
            </w:tcBorders>
            <w:shd w:val="clear" w:color="auto" w:fill="auto"/>
            <w:noWrap/>
            <w:vAlign w:val="center"/>
            <w:hideMark/>
          </w:tcPr>
          <w:p w14:paraId="6412AFAE"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1951</w:t>
            </w:r>
          </w:p>
        </w:tc>
        <w:tc>
          <w:tcPr>
            <w:tcW w:w="2377" w:type="dxa"/>
            <w:tcBorders>
              <w:top w:val="nil"/>
              <w:left w:val="nil"/>
              <w:bottom w:val="nil"/>
              <w:right w:val="nil"/>
            </w:tcBorders>
            <w:shd w:val="clear" w:color="auto" w:fill="auto"/>
            <w:noWrap/>
            <w:vAlign w:val="center"/>
            <w:hideMark/>
          </w:tcPr>
          <w:p w14:paraId="3BEA854C"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December 1951</w:t>
            </w:r>
          </w:p>
        </w:tc>
        <w:tc>
          <w:tcPr>
            <w:tcW w:w="1907" w:type="dxa"/>
            <w:tcBorders>
              <w:top w:val="nil"/>
              <w:left w:val="nil"/>
              <w:bottom w:val="nil"/>
              <w:right w:val="nil"/>
            </w:tcBorders>
            <w:shd w:val="clear" w:color="auto" w:fill="auto"/>
            <w:noWrap/>
            <w:vAlign w:val="center"/>
            <w:hideMark/>
          </w:tcPr>
          <w:p w14:paraId="2F087B58"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3</w:t>
            </w:r>
          </w:p>
        </w:tc>
        <w:tc>
          <w:tcPr>
            <w:tcW w:w="2839" w:type="dxa"/>
            <w:tcBorders>
              <w:top w:val="nil"/>
              <w:left w:val="nil"/>
              <w:bottom w:val="nil"/>
              <w:right w:val="nil"/>
            </w:tcBorders>
            <w:shd w:val="clear" w:color="auto" w:fill="auto"/>
            <w:noWrap/>
            <w:vAlign w:val="center"/>
            <w:hideMark/>
          </w:tcPr>
          <w:p w14:paraId="7370A46D"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8</w:t>
            </w:r>
          </w:p>
        </w:tc>
      </w:tr>
      <w:tr w:rsidR="000C4299" w:rsidRPr="006B5B91" w14:paraId="234A9D1F" w14:textId="77777777" w:rsidTr="00EB1B3C">
        <w:trPr>
          <w:trHeight w:val="300"/>
        </w:trPr>
        <w:tc>
          <w:tcPr>
            <w:tcW w:w="2237" w:type="dxa"/>
            <w:tcBorders>
              <w:top w:val="nil"/>
              <w:left w:val="nil"/>
              <w:bottom w:val="nil"/>
              <w:right w:val="nil"/>
            </w:tcBorders>
            <w:shd w:val="clear" w:color="auto" w:fill="auto"/>
            <w:noWrap/>
            <w:vAlign w:val="center"/>
            <w:hideMark/>
          </w:tcPr>
          <w:p w14:paraId="7466F84A"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1953</w:t>
            </w:r>
          </w:p>
        </w:tc>
        <w:tc>
          <w:tcPr>
            <w:tcW w:w="2377" w:type="dxa"/>
            <w:tcBorders>
              <w:top w:val="nil"/>
              <w:left w:val="nil"/>
              <w:bottom w:val="nil"/>
              <w:right w:val="nil"/>
            </w:tcBorders>
            <w:shd w:val="clear" w:color="auto" w:fill="auto"/>
            <w:noWrap/>
            <w:vAlign w:val="center"/>
            <w:hideMark/>
          </w:tcPr>
          <w:p w14:paraId="2D50183C"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1954</w:t>
            </w:r>
          </w:p>
        </w:tc>
        <w:tc>
          <w:tcPr>
            <w:tcW w:w="1907" w:type="dxa"/>
            <w:tcBorders>
              <w:top w:val="nil"/>
              <w:left w:val="nil"/>
              <w:bottom w:val="nil"/>
              <w:right w:val="nil"/>
            </w:tcBorders>
            <w:shd w:val="clear" w:color="auto" w:fill="auto"/>
            <w:noWrap/>
            <w:vAlign w:val="center"/>
            <w:hideMark/>
          </w:tcPr>
          <w:p w14:paraId="74BE7841"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4</w:t>
            </w:r>
          </w:p>
        </w:tc>
        <w:tc>
          <w:tcPr>
            <w:tcW w:w="2839" w:type="dxa"/>
            <w:tcBorders>
              <w:top w:val="nil"/>
              <w:left w:val="nil"/>
              <w:bottom w:val="nil"/>
              <w:right w:val="nil"/>
            </w:tcBorders>
            <w:shd w:val="clear" w:color="auto" w:fill="auto"/>
            <w:noWrap/>
            <w:vAlign w:val="center"/>
            <w:hideMark/>
          </w:tcPr>
          <w:p w14:paraId="4A185A3C"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12</w:t>
            </w:r>
          </w:p>
        </w:tc>
      </w:tr>
      <w:tr w:rsidR="000C4299" w:rsidRPr="006B5B91" w14:paraId="3FD1B4AA" w14:textId="77777777" w:rsidTr="00EB1B3C">
        <w:trPr>
          <w:trHeight w:val="300"/>
        </w:trPr>
        <w:tc>
          <w:tcPr>
            <w:tcW w:w="2237" w:type="dxa"/>
            <w:tcBorders>
              <w:top w:val="nil"/>
              <w:left w:val="nil"/>
              <w:bottom w:val="nil"/>
              <w:right w:val="nil"/>
            </w:tcBorders>
            <w:shd w:val="clear" w:color="auto" w:fill="auto"/>
            <w:noWrap/>
            <w:vAlign w:val="center"/>
            <w:hideMark/>
          </w:tcPr>
          <w:p w14:paraId="007A6244"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1957</w:t>
            </w:r>
          </w:p>
        </w:tc>
        <w:tc>
          <w:tcPr>
            <w:tcW w:w="2377" w:type="dxa"/>
            <w:tcBorders>
              <w:top w:val="nil"/>
              <w:left w:val="nil"/>
              <w:bottom w:val="nil"/>
              <w:right w:val="nil"/>
            </w:tcBorders>
            <w:shd w:val="clear" w:color="auto" w:fill="auto"/>
            <w:noWrap/>
            <w:vAlign w:val="center"/>
            <w:hideMark/>
          </w:tcPr>
          <w:p w14:paraId="7218806D"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January 1958</w:t>
            </w:r>
          </w:p>
        </w:tc>
        <w:tc>
          <w:tcPr>
            <w:tcW w:w="1907" w:type="dxa"/>
            <w:tcBorders>
              <w:top w:val="nil"/>
              <w:left w:val="nil"/>
              <w:bottom w:val="nil"/>
              <w:right w:val="nil"/>
            </w:tcBorders>
            <w:shd w:val="clear" w:color="auto" w:fill="auto"/>
            <w:noWrap/>
            <w:vAlign w:val="center"/>
            <w:hideMark/>
          </w:tcPr>
          <w:p w14:paraId="3103B881"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3</w:t>
            </w:r>
          </w:p>
        </w:tc>
        <w:tc>
          <w:tcPr>
            <w:tcW w:w="2839" w:type="dxa"/>
            <w:tcBorders>
              <w:top w:val="nil"/>
              <w:left w:val="nil"/>
              <w:bottom w:val="nil"/>
              <w:right w:val="nil"/>
            </w:tcBorders>
            <w:shd w:val="clear" w:color="auto" w:fill="auto"/>
            <w:noWrap/>
            <w:vAlign w:val="center"/>
            <w:hideMark/>
          </w:tcPr>
          <w:p w14:paraId="76CA093F"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w:t>
            </w:r>
          </w:p>
        </w:tc>
      </w:tr>
      <w:tr w:rsidR="000C4299" w:rsidRPr="006B5B91" w14:paraId="0BD248DC" w14:textId="77777777" w:rsidTr="00EB1B3C">
        <w:trPr>
          <w:trHeight w:val="300"/>
        </w:trPr>
        <w:tc>
          <w:tcPr>
            <w:tcW w:w="2237" w:type="dxa"/>
            <w:tcBorders>
              <w:top w:val="nil"/>
              <w:left w:val="nil"/>
              <w:bottom w:val="nil"/>
              <w:right w:val="nil"/>
            </w:tcBorders>
            <w:shd w:val="clear" w:color="auto" w:fill="auto"/>
            <w:noWrap/>
            <w:vAlign w:val="center"/>
            <w:hideMark/>
          </w:tcPr>
          <w:p w14:paraId="6B0CC47B"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1960</w:t>
            </w:r>
          </w:p>
        </w:tc>
        <w:tc>
          <w:tcPr>
            <w:tcW w:w="2377" w:type="dxa"/>
            <w:tcBorders>
              <w:top w:val="nil"/>
              <w:left w:val="nil"/>
              <w:bottom w:val="nil"/>
              <w:right w:val="nil"/>
            </w:tcBorders>
            <w:shd w:val="clear" w:color="auto" w:fill="auto"/>
            <w:noWrap/>
            <w:vAlign w:val="center"/>
            <w:hideMark/>
          </w:tcPr>
          <w:p w14:paraId="63DAA402"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1961</w:t>
            </w:r>
          </w:p>
        </w:tc>
        <w:tc>
          <w:tcPr>
            <w:tcW w:w="1907" w:type="dxa"/>
            <w:tcBorders>
              <w:top w:val="nil"/>
              <w:left w:val="nil"/>
              <w:bottom w:val="nil"/>
              <w:right w:val="nil"/>
            </w:tcBorders>
            <w:shd w:val="clear" w:color="auto" w:fill="auto"/>
            <w:noWrap/>
            <w:vAlign w:val="center"/>
            <w:hideMark/>
          </w:tcPr>
          <w:p w14:paraId="55D2CE58"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3</w:t>
            </w:r>
          </w:p>
        </w:tc>
        <w:tc>
          <w:tcPr>
            <w:tcW w:w="2839" w:type="dxa"/>
            <w:tcBorders>
              <w:top w:val="nil"/>
              <w:left w:val="nil"/>
              <w:bottom w:val="nil"/>
              <w:right w:val="nil"/>
            </w:tcBorders>
            <w:shd w:val="clear" w:color="auto" w:fill="auto"/>
            <w:noWrap/>
            <w:vAlign w:val="center"/>
            <w:hideMark/>
          </w:tcPr>
          <w:p w14:paraId="1342FC35"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12</w:t>
            </w:r>
          </w:p>
        </w:tc>
      </w:tr>
      <w:tr w:rsidR="000C4299" w:rsidRPr="006B5B91" w14:paraId="5576A500" w14:textId="77777777" w:rsidTr="00EB1B3C">
        <w:trPr>
          <w:trHeight w:val="300"/>
        </w:trPr>
        <w:tc>
          <w:tcPr>
            <w:tcW w:w="2237" w:type="dxa"/>
            <w:tcBorders>
              <w:top w:val="nil"/>
              <w:left w:val="nil"/>
              <w:bottom w:val="nil"/>
              <w:right w:val="nil"/>
            </w:tcBorders>
            <w:shd w:val="clear" w:color="auto" w:fill="auto"/>
            <w:noWrap/>
            <w:vAlign w:val="center"/>
            <w:hideMark/>
          </w:tcPr>
          <w:p w14:paraId="1D41DDF7"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December 1974</w:t>
            </w:r>
          </w:p>
        </w:tc>
        <w:tc>
          <w:tcPr>
            <w:tcW w:w="2377" w:type="dxa"/>
            <w:tcBorders>
              <w:top w:val="nil"/>
              <w:left w:val="nil"/>
              <w:bottom w:val="nil"/>
              <w:right w:val="nil"/>
            </w:tcBorders>
            <w:shd w:val="clear" w:color="auto" w:fill="auto"/>
            <w:noWrap/>
            <w:vAlign w:val="center"/>
            <w:hideMark/>
          </w:tcPr>
          <w:p w14:paraId="02ED0F7F"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1975</w:t>
            </w:r>
          </w:p>
        </w:tc>
        <w:tc>
          <w:tcPr>
            <w:tcW w:w="1907" w:type="dxa"/>
            <w:tcBorders>
              <w:top w:val="nil"/>
              <w:left w:val="nil"/>
              <w:bottom w:val="nil"/>
              <w:right w:val="nil"/>
            </w:tcBorders>
            <w:shd w:val="clear" w:color="auto" w:fill="auto"/>
            <w:noWrap/>
            <w:vAlign w:val="center"/>
            <w:hideMark/>
          </w:tcPr>
          <w:p w14:paraId="5B78288B"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w:t>
            </w:r>
          </w:p>
        </w:tc>
        <w:tc>
          <w:tcPr>
            <w:tcW w:w="2839" w:type="dxa"/>
            <w:tcBorders>
              <w:top w:val="nil"/>
              <w:left w:val="nil"/>
              <w:bottom w:val="nil"/>
              <w:right w:val="nil"/>
            </w:tcBorders>
            <w:shd w:val="clear" w:color="auto" w:fill="auto"/>
            <w:noWrap/>
            <w:vAlign w:val="center"/>
            <w:hideMark/>
          </w:tcPr>
          <w:p w14:paraId="2BB83930"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3</w:t>
            </w:r>
          </w:p>
        </w:tc>
      </w:tr>
      <w:tr w:rsidR="000C4299" w:rsidRPr="006B5B91" w14:paraId="775AF8CA" w14:textId="77777777" w:rsidTr="00EB1B3C">
        <w:trPr>
          <w:trHeight w:val="300"/>
        </w:trPr>
        <w:tc>
          <w:tcPr>
            <w:tcW w:w="2237" w:type="dxa"/>
            <w:tcBorders>
              <w:top w:val="nil"/>
              <w:left w:val="nil"/>
              <w:bottom w:val="nil"/>
              <w:right w:val="nil"/>
            </w:tcBorders>
            <w:shd w:val="clear" w:color="auto" w:fill="auto"/>
            <w:noWrap/>
            <w:vAlign w:val="center"/>
            <w:hideMark/>
          </w:tcPr>
          <w:p w14:paraId="43A4E48A"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January 1980</w:t>
            </w:r>
          </w:p>
        </w:tc>
        <w:tc>
          <w:tcPr>
            <w:tcW w:w="2377" w:type="dxa"/>
            <w:tcBorders>
              <w:top w:val="nil"/>
              <w:left w:val="nil"/>
              <w:bottom w:val="nil"/>
              <w:right w:val="nil"/>
            </w:tcBorders>
            <w:shd w:val="clear" w:color="auto" w:fill="auto"/>
            <w:noWrap/>
            <w:vAlign w:val="center"/>
            <w:hideMark/>
          </w:tcPr>
          <w:p w14:paraId="27E05F6C"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1980</w:t>
            </w:r>
          </w:p>
        </w:tc>
        <w:tc>
          <w:tcPr>
            <w:tcW w:w="1907" w:type="dxa"/>
            <w:tcBorders>
              <w:top w:val="nil"/>
              <w:left w:val="nil"/>
              <w:bottom w:val="nil"/>
              <w:right w:val="nil"/>
            </w:tcBorders>
            <w:shd w:val="clear" w:color="auto" w:fill="auto"/>
            <w:noWrap/>
            <w:vAlign w:val="center"/>
            <w:hideMark/>
          </w:tcPr>
          <w:p w14:paraId="65B96B2E"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w:t>
            </w:r>
          </w:p>
        </w:tc>
        <w:tc>
          <w:tcPr>
            <w:tcW w:w="2839" w:type="dxa"/>
            <w:tcBorders>
              <w:top w:val="nil"/>
              <w:left w:val="nil"/>
              <w:bottom w:val="nil"/>
              <w:right w:val="nil"/>
            </w:tcBorders>
            <w:shd w:val="clear" w:color="auto" w:fill="auto"/>
            <w:noWrap/>
            <w:vAlign w:val="center"/>
            <w:hideMark/>
          </w:tcPr>
          <w:p w14:paraId="15519F5A"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5</w:t>
            </w:r>
          </w:p>
        </w:tc>
      </w:tr>
      <w:tr w:rsidR="000C4299" w:rsidRPr="006B5B91" w14:paraId="4293B8D1" w14:textId="77777777" w:rsidTr="00EB1B3C">
        <w:trPr>
          <w:trHeight w:val="300"/>
        </w:trPr>
        <w:tc>
          <w:tcPr>
            <w:tcW w:w="2237" w:type="dxa"/>
            <w:tcBorders>
              <w:top w:val="nil"/>
              <w:left w:val="nil"/>
              <w:bottom w:val="nil"/>
              <w:right w:val="nil"/>
            </w:tcBorders>
            <w:shd w:val="clear" w:color="auto" w:fill="auto"/>
            <w:noWrap/>
            <w:vAlign w:val="center"/>
            <w:hideMark/>
          </w:tcPr>
          <w:p w14:paraId="780746F4"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1981</w:t>
            </w:r>
          </w:p>
        </w:tc>
        <w:tc>
          <w:tcPr>
            <w:tcW w:w="2377" w:type="dxa"/>
            <w:tcBorders>
              <w:top w:val="nil"/>
              <w:left w:val="nil"/>
              <w:bottom w:val="nil"/>
              <w:right w:val="nil"/>
            </w:tcBorders>
            <w:shd w:val="clear" w:color="auto" w:fill="auto"/>
            <w:noWrap/>
            <w:vAlign w:val="center"/>
            <w:hideMark/>
          </w:tcPr>
          <w:p w14:paraId="4A39FC4C"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October 1982</w:t>
            </w:r>
          </w:p>
        </w:tc>
        <w:tc>
          <w:tcPr>
            <w:tcW w:w="1907" w:type="dxa"/>
            <w:tcBorders>
              <w:top w:val="nil"/>
              <w:left w:val="nil"/>
              <w:bottom w:val="nil"/>
              <w:right w:val="nil"/>
            </w:tcBorders>
            <w:shd w:val="clear" w:color="auto" w:fill="auto"/>
            <w:noWrap/>
            <w:vAlign w:val="center"/>
            <w:hideMark/>
          </w:tcPr>
          <w:p w14:paraId="2D90BA9D"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4</w:t>
            </w:r>
          </w:p>
        </w:tc>
        <w:tc>
          <w:tcPr>
            <w:tcW w:w="2839" w:type="dxa"/>
            <w:tcBorders>
              <w:top w:val="nil"/>
              <w:left w:val="nil"/>
              <w:bottom w:val="nil"/>
              <w:right w:val="nil"/>
            </w:tcBorders>
            <w:shd w:val="clear" w:color="auto" w:fill="auto"/>
            <w:noWrap/>
            <w:vAlign w:val="center"/>
            <w:hideMark/>
          </w:tcPr>
          <w:p w14:paraId="2453EC0F"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16</w:t>
            </w:r>
          </w:p>
        </w:tc>
      </w:tr>
      <w:tr w:rsidR="000C4299" w:rsidRPr="006B5B91" w14:paraId="5B5B7211" w14:textId="77777777" w:rsidTr="00EB1B3C">
        <w:trPr>
          <w:trHeight w:val="300"/>
        </w:trPr>
        <w:tc>
          <w:tcPr>
            <w:tcW w:w="2237" w:type="dxa"/>
            <w:tcBorders>
              <w:top w:val="nil"/>
              <w:left w:val="nil"/>
              <w:bottom w:val="nil"/>
              <w:right w:val="nil"/>
            </w:tcBorders>
            <w:shd w:val="clear" w:color="auto" w:fill="auto"/>
            <w:noWrap/>
            <w:vAlign w:val="center"/>
            <w:hideMark/>
          </w:tcPr>
          <w:p w14:paraId="3825FAB3"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1990</w:t>
            </w:r>
          </w:p>
        </w:tc>
        <w:tc>
          <w:tcPr>
            <w:tcW w:w="2377" w:type="dxa"/>
            <w:tcBorders>
              <w:top w:val="nil"/>
              <w:left w:val="nil"/>
              <w:bottom w:val="nil"/>
              <w:right w:val="nil"/>
            </w:tcBorders>
            <w:shd w:val="clear" w:color="auto" w:fill="auto"/>
            <w:noWrap/>
            <w:vAlign w:val="center"/>
            <w:hideMark/>
          </w:tcPr>
          <w:p w14:paraId="240F7787"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1992</w:t>
            </w:r>
          </w:p>
        </w:tc>
        <w:tc>
          <w:tcPr>
            <w:tcW w:w="1907" w:type="dxa"/>
            <w:tcBorders>
              <w:top w:val="nil"/>
              <w:left w:val="nil"/>
              <w:bottom w:val="nil"/>
              <w:right w:val="nil"/>
            </w:tcBorders>
            <w:shd w:val="clear" w:color="auto" w:fill="auto"/>
            <w:noWrap/>
            <w:vAlign w:val="center"/>
            <w:hideMark/>
          </w:tcPr>
          <w:p w14:paraId="00692900"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4</w:t>
            </w:r>
          </w:p>
        </w:tc>
        <w:tc>
          <w:tcPr>
            <w:tcW w:w="2839" w:type="dxa"/>
            <w:tcBorders>
              <w:top w:val="nil"/>
              <w:left w:val="nil"/>
              <w:bottom w:val="nil"/>
              <w:right w:val="nil"/>
            </w:tcBorders>
            <w:shd w:val="clear" w:color="auto" w:fill="auto"/>
            <w:noWrap/>
            <w:vAlign w:val="center"/>
            <w:hideMark/>
          </w:tcPr>
          <w:p w14:paraId="5D5685E4"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24</w:t>
            </w:r>
          </w:p>
        </w:tc>
      </w:tr>
      <w:tr w:rsidR="000C4299" w:rsidRPr="006B5B91" w14:paraId="51146CB3" w14:textId="77777777" w:rsidTr="00EB1B3C">
        <w:trPr>
          <w:trHeight w:val="315"/>
        </w:trPr>
        <w:tc>
          <w:tcPr>
            <w:tcW w:w="2237" w:type="dxa"/>
            <w:tcBorders>
              <w:top w:val="nil"/>
              <w:left w:val="nil"/>
              <w:bottom w:val="double" w:sz="6" w:space="0" w:color="auto"/>
              <w:right w:val="nil"/>
            </w:tcBorders>
            <w:shd w:val="clear" w:color="auto" w:fill="auto"/>
            <w:noWrap/>
            <w:vAlign w:val="center"/>
            <w:hideMark/>
          </w:tcPr>
          <w:p w14:paraId="5E33D02A"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October 2008</w:t>
            </w:r>
          </w:p>
        </w:tc>
        <w:tc>
          <w:tcPr>
            <w:tcW w:w="2377" w:type="dxa"/>
            <w:tcBorders>
              <w:top w:val="nil"/>
              <w:left w:val="nil"/>
              <w:bottom w:val="double" w:sz="6" w:space="0" w:color="auto"/>
              <w:right w:val="nil"/>
            </w:tcBorders>
            <w:shd w:val="clear" w:color="auto" w:fill="auto"/>
            <w:noWrap/>
            <w:vAlign w:val="center"/>
            <w:hideMark/>
          </w:tcPr>
          <w:p w14:paraId="04C5BADF" w14:textId="77777777"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May 2009</w:t>
            </w:r>
          </w:p>
        </w:tc>
        <w:tc>
          <w:tcPr>
            <w:tcW w:w="1907" w:type="dxa"/>
            <w:tcBorders>
              <w:top w:val="nil"/>
              <w:left w:val="nil"/>
              <w:bottom w:val="double" w:sz="6" w:space="0" w:color="auto"/>
              <w:right w:val="nil"/>
            </w:tcBorders>
            <w:shd w:val="clear" w:color="auto" w:fill="auto"/>
            <w:noWrap/>
            <w:vAlign w:val="center"/>
            <w:hideMark/>
          </w:tcPr>
          <w:p w14:paraId="309EA7CC"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4</w:t>
            </w:r>
          </w:p>
        </w:tc>
        <w:tc>
          <w:tcPr>
            <w:tcW w:w="2839" w:type="dxa"/>
            <w:tcBorders>
              <w:top w:val="nil"/>
              <w:left w:val="nil"/>
              <w:bottom w:val="double" w:sz="6" w:space="0" w:color="auto"/>
              <w:right w:val="nil"/>
            </w:tcBorders>
            <w:shd w:val="clear" w:color="auto" w:fill="auto"/>
            <w:noWrap/>
            <w:vAlign w:val="center"/>
            <w:hideMark/>
          </w:tcPr>
          <w:p w14:paraId="51980C15" w14:textId="77777777" w:rsidR="000C4299" w:rsidRPr="006B5B91" w:rsidRDefault="000C4299" w:rsidP="00EB1B3C">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7</w:t>
            </w:r>
          </w:p>
        </w:tc>
      </w:tr>
      <w:tr w:rsidR="000C4299" w:rsidRPr="006B5B91" w14:paraId="302318F2" w14:textId="77777777" w:rsidTr="00EB1B3C">
        <w:trPr>
          <w:trHeight w:val="315"/>
        </w:trPr>
        <w:tc>
          <w:tcPr>
            <w:tcW w:w="9360" w:type="dxa"/>
            <w:gridSpan w:val="4"/>
            <w:tcBorders>
              <w:top w:val="double" w:sz="6" w:space="0" w:color="auto"/>
              <w:left w:val="nil"/>
              <w:bottom w:val="nil"/>
              <w:right w:val="nil"/>
            </w:tcBorders>
            <w:shd w:val="clear" w:color="auto" w:fill="auto"/>
            <w:noWrap/>
            <w:vAlign w:val="center"/>
            <w:hideMark/>
          </w:tcPr>
          <w:p w14:paraId="179AFE86" w14:textId="14BC19D6" w:rsidR="000C4299" w:rsidRPr="006B5B91" w:rsidRDefault="000C4299" w:rsidP="00EB1B3C">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 xml:space="preserve">*Source: </w:t>
            </w:r>
            <w:r w:rsidR="000C07F3">
              <w:rPr>
                <w:rFonts w:eastAsia="Times New Roman" w:cs="Times New Roman"/>
                <w:color w:val="000000"/>
                <w:lang w:val="en-CA" w:eastAsia="en-CA"/>
              </w:rPr>
              <w:t>C.D.</w:t>
            </w:r>
            <w:r w:rsidRPr="006B5B91">
              <w:rPr>
                <w:rFonts w:eastAsia="Times New Roman" w:cs="Times New Roman"/>
                <w:color w:val="000000"/>
                <w:lang w:val="en-CA" w:eastAsia="en-CA"/>
              </w:rPr>
              <w:t xml:space="preserve"> Howe Institute; Cross and Bergevin (2012)</w:t>
            </w:r>
            <w:r w:rsidR="00D52943">
              <w:rPr>
                <w:rFonts w:eastAsia="Times New Roman" w:cs="Times New Roman"/>
                <w:color w:val="000000"/>
                <w:lang w:val="en-CA" w:eastAsia="en-CA"/>
              </w:rPr>
              <w:t>.</w:t>
            </w:r>
          </w:p>
        </w:tc>
      </w:tr>
    </w:tbl>
    <w:p w14:paraId="5ACEC6B6" w14:textId="77777777" w:rsidR="00A6326F" w:rsidRPr="006B5B91" w:rsidRDefault="00A6326F" w:rsidP="00A27839">
      <w:pPr>
        <w:spacing w:line="480" w:lineRule="auto"/>
        <w:rPr>
          <w:rFonts w:cs="Times New Roman"/>
          <w:lang w:val="en-CA"/>
        </w:rPr>
      </w:pPr>
    </w:p>
    <w:p w14:paraId="4D02663F" w14:textId="77777777" w:rsidR="00A03664" w:rsidRPr="006B5B91" w:rsidRDefault="009B4EE6" w:rsidP="00A03664">
      <w:pPr>
        <w:keepNext/>
        <w:spacing w:line="480" w:lineRule="auto"/>
        <w:rPr>
          <w:rFonts w:cs="Times New Roman"/>
        </w:rPr>
      </w:pPr>
      <w:r w:rsidRPr="006B5B91">
        <w:rPr>
          <w:rFonts w:cs="Times New Roman"/>
          <w:noProof/>
          <w:lang w:val="en-US"/>
        </w:rPr>
        <w:drawing>
          <wp:inline distT="0" distB="0" distL="0" distR="0" wp14:anchorId="6AC2C309" wp14:editId="35B74FD8">
            <wp:extent cx="5886450" cy="3219450"/>
            <wp:effectExtent l="0" t="0" r="0" b="0"/>
            <wp:docPr id="6" name="Chart 6">
              <a:extLst xmlns:a="http://schemas.openxmlformats.org/drawingml/2006/main">
                <a:ext uri="{FF2B5EF4-FFF2-40B4-BE49-F238E27FC236}">
                  <a16:creationId xmlns:a16="http://schemas.microsoft.com/office/drawing/2014/main" id="{675D5931-F7ED-4A14-BB7C-2B23B3B663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4F9C97" w14:textId="48C44C71" w:rsidR="009B4EE6" w:rsidRPr="006B5B91" w:rsidRDefault="00A03664" w:rsidP="00A03664">
      <w:pPr>
        <w:rPr>
          <w:rFonts w:cs="Times New Roman"/>
          <w:lang w:val="en-CA"/>
        </w:rPr>
      </w:pPr>
      <w:bookmarkStart w:id="22" w:name="_Toc37263455"/>
      <w:r w:rsidRPr="006B5B91">
        <w:rPr>
          <w:rFonts w:cs="Times New Roman"/>
          <w:i/>
          <w:iCs/>
        </w:rPr>
        <w:t xml:space="preserve">Figure </w:t>
      </w:r>
      <w:r w:rsidRPr="006B5B91">
        <w:rPr>
          <w:rFonts w:cs="Times New Roman"/>
          <w:i/>
          <w:iCs/>
        </w:rPr>
        <w:fldChar w:fldCharType="begin"/>
      </w:r>
      <w:r w:rsidRPr="006B5B91">
        <w:rPr>
          <w:rFonts w:cs="Times New Roman"/>
          <w:i/>
          <w:iCs/>
        </w:rPr>
        <w:instrText xml:space="preserve"> SEQ Figure \* ARABIC </w:instrText>
      </w:r>
      <w:r w:rsidRPr="006B5B91">
        <w:rPr>
          <w:rFonts w:cs="Times New Roman"/>
          <w:i/>
          <w:iCs/>
        </w:rPr>
        <w:fldChar w:fldCharType="separate"/>
      </w:r>
      <w:r w:rsidR="00AC0696">
        <w:rPr>
          <w:rFonts w:cs="Times New Roman"/>
          <w:i/>
          <w:iCs/>
          <w:noProof/>
        </w:rPr>
        <w:t>4</w:t>
      </w:r>
      <w:r w:rsidRPr="006B5B91">
        <w:rPr>
          <w:rFonts w:cs="Times New Roman"/>
          <w:i/>
          <w:iCs/>
        </w:rPr>
        <w:fldChar w:fldCharType="end"/>
      </w:r>
      <w:r w:rsidRPr="006B5B91">
        <w:rPr>
          <w:rFonts w:cs="Times New Roman"/>
          <w:i/>
          <w:iCs/>
          <w:lang w:val="en-CA"/>
        </w:rPr>
        <w:t>.</w:t>
      </w:r>
      <w:r w:rsidRPr="006B5B91">
        <w:rPr>
          <w:rFonts w:cs="Times New Roman"/>
          <w:lang w:val="en-CA"/>
        </w:rPr>
        <w:t xml:space="preserve"> Rank of duration of Canadian recession</w:t>
      </w:r>
      <w:r w:rsidR="00E026D5">
        <w:rPr>
          <w:rFonts w:cs="Times New Roman"/>
          <w:lang w:val="en-CA"/>
        </w:rPr>
        <w:t>s</w:t>
      </w:r>
      <w:r w:rsidRPr="006B5B91">
        <w:rPr>
          <w:rFonts w:cs="Times New Roman"/>
          <w:lang w:val="en-CA"/>
        </w:rPr>
        <w:t>.</w:t>
      </w:r>
      <w:bookmarkEnd w:id="22"/>
      <w:r w:rsidR="00D52943">
        <w:rPr>
          <w:rFonts w:cs="Times New Roman"/>
          <w:lang w:val="en-CA"/>
        </w:rPr>
        <w:t xml:space="preserve"> Data from </w:t>
      </w:r>
      <w:r w:rsidR="00D52943" w:rsidRPr="006B5B91">
        <w:rPr>
          <w:rFonts w:eastAsia="Times New Roman" w:cs="Times New Roman"/>
          <w:color w:val="000000"/>
          <w:lang w:val="en-CA" w:eastAsia="en-CA"/>
        </w:rPr>
        <w:t>Cross and Bergevin (2012)</w:t>
      </w:r>
      <w:r w:rsidR="00D52943">
        <w:rPr>
          <w:rFonts w:eastAsia="Times New Roman" w:cs="Times New Roman"/>
          <w:color w:val="000000"/>
          <w:lang w:val="en-CA" w:eastAsia="en-CA"/>
        </w:rPr>
        <w:t>.</w:t>
      </w:r>
    </w:p>
    <w:p w14:paraId="1FC84B79" w14:textId="77777777" w:rsidR="00A03664" w:rsidRPr="006B5B91" w:rsidRDefault="00B55D14" w:rsidP="00A03664">
      <w:pPr>
        <w:keepNext/>
        <w:spacing w:line="480" w:lineRule="auto"/>
        <w:rPr>
          <w:rFonts w:cs="Times New Roman"/>
        </w:rPr>
      </w:pPr>
      <w:r w:rsidRPr="006B5B91">
        <w:rPr>
          <w:rFonts w:cs="Times New Roman"/>
          <w:noProof/>
          <w:lang w:val="en-US"/>
        </w:rPr>
        <w:lastRenderedPageBreak/>
        <w:drawing>
          <wp:inline distT="0" distB="0" distL="0" distR="0" wp14:anchorId="29FA68CE" wp14:editId="566DB4B5">
            <wp:extent cx="5876925" cy="2876550"/>
            <wp:effectExtent l="0" t="0" r="9525" b="0"/>
            <wp:docPr id="8" name="Chart 8">
              <a:extLst xmlns:a="http://schemas.openxmlformats.org/drawingml/2006/main">
                <a:ext uri="{FF2B5EF4-FFF2-40B4-BE49-F238E27FC236}">
                  <a16:creationId xmlns:a16="http://schemas.microsoft.com/office/drawing/2014/main" id="{82EB602A-14D4-4F17-BDC9-D3744ECBB5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E36FA56" w14:textId="1DA82294" w:rsidR="009B4EE6" w:rsidRPr="006B5B91" w:rsidRDefault="00A03664" w:rsidP="00A03664">
      <w:pPr>
        <w:rPr>
          <w:rFonts w:cs="Times New Roman"/>
          <w:lang w:val="en-CA"/>
        </w:rPr>
      </w:pPr>
      <w:bookmarkStart w:id="23" w:name="_Toc37263456"/>
      <w:r w:rsidRPr="006B5B91">
        <w:rPr>
          <w:rFonts w:cs="Times New Roman"/>
          <w:i/>
          <w:iCs/>
        </w:rPr>
        <w:t xml:space="preserve">Figure </w:t>
      </w:r>
      <w:r w:rsidRPr="006B5B91">
        <w:rPr>
          <w:rFonts w:cs="Times New Roman"/>
          <w:i/>
          <w:iCs/>
        </w:rPr>
        <w:fldChar w:fldCharType="begin"/>
      </w:r>
      <w:r w:rsidRPr="006B5B91">
        <w:rPr>
          <w:rFonts w:cs="Times New Roman"/>
          <w:i/>
          <w:iCs/>
        </w:rPr>
        <w:instrText xml:space="preserve"> SEQ Figure \* ARABIC </w:instrText>
      </w:r>
      <w:r w:rsidRPr="006B5B91">
        <w:rPr>
          <w:rFonts w:cs="Times New Roman"/>
          <w:i/>
          <w:iCs/>
        </w:rPr>
        <w:fldChar w:fldCharType="separate"/>
      </w:r>
      <w:r w:rsidR="00AC0696">
        <w:rPr>
          <w:rFonts w:cs="Times New Roman"/>
          <w:i/>
          <w:iCs/>
          <w:noProof/>
        </w:rPr>
        <w:t>5</w:t>
      </w:r>
      <w:r w:rsidRPr="006B5B91">
        <w:rPr>
          <w:rFonts w:cs="Times New Roman"/>
          <w:i/>
          <w:iCs/>
        </w:rPr>
        <w:fldChar w:fldCharType="end"/>
      </w:r>
      <w:r w:rsidRPr="006B5B91">
        <w:rPr>
          <w:rFonts w:cs="Times New Roman"/>
        </w:rPr>
        <w:t>. Rank of severity of Canadian recessions</w:t>
      </w:r>
      <w:r w:rsidR="00855DD4" w:rsidRPr="006B5B91">
        <w:rPr>
          <w:rFonts w:cs="Times New Roman"/>
        </w:rPr>
        <w:t>.</w:t>
      </w:r>
      <w:bookmarkEnd w:id="23"/>
      <w:r w:rsidR="00D52943">
        <w:rPr>
          <w:rFonts w:cs="Times New Roman"/>
        </w:rPr>
        <w:t xml:space="preserve"> </w:t>
      </w:r>
      <w:r w:rsidR="00D52943">
        <w:rPr>
          <w:rFonts w:cs="Times New Roman"/>
          <w:lang w:val="en-CA"/>
        </w:rPr>
        <w:t xml:space="preserve">Data from </w:t>
      </w:r>
      <w:r w:rsidR="00D52943" w:rsidRPr="006B5B91">
        <w:rPr>
          <w:rFonts w:eastAsia="Times New Roman" w:cs="Times New Roman"/>
          <w:color w:val="000000"/>
          <w:lang w:val="en-CA" w:eastAsia="en-CA"/>
        </w:rPr>
        <w:t>Cross and Bergevin (2012)</w:t>
      </w:r>
      <w:r w:rsidR="00D52943">
        <w:rPr>
          <w:rFonts w:eastAsia="Times New Roman" w:cs="Times New Roman"/>
          <w:color w:val="000000"/>
          <w:lang w:val="en-CA" w:eastAsia="en-CA"/>
        </w:rPr>
        <w:t>.</w:t>
      </w:r>
    </w:p>
    <w:p w14:paraId="2E2E98E6" w14:textId="77777777" w:rsidR="00097C37" w:rsidRPr="006B5B91" w:rsidRDefault="00097C37" w:rsidP="00A27839">
      <w:pPr>
        <w:spacing w:line="480" w:lineRule="auto"/>
        <w:rPr>
          <w:rFonts w:cs="Times New Roman"/>
          <w:lang w:val="en-CA"/>
        </w:rPr>
      </w:pPr>
    </w:p>
    <w:p w14:paraId="4CAC795C" w14:textId="72D9E077" w:rsidR="003D1A6F" w:rsidRPr="006B5B91" w:rsidRDefault="00097C37" w:rsidP="00FD0B8D">
      <w:pPr>
        <w:spacing w:line="480" w:lineRule="auto"/>
        <w:ind w:firstLine="720"/>
        <w:rPr>
          <w:rFonts w:cs="Times New Roman"/>
          <w:lang w:val="en-CA"/>
        </w:rPr>
      </w:pPr>
      <w:r w:rsidRPr="006B5B91">
        <w:rPr>
          <w:rFonts w:cs="Times New Roman"/>
          <w:lang w:val="en-CA"/>
        </w:rPr>
        <w:t xml:space="preserve">The major drawback </w:t>
      </w:r>
      <w:r w:rsidR="00594DBC" w:rsidRPr="006B5B91">
        <w:rPr>
          <w:rFonts w:cs="Times New Roman"/>
          <w:lang w:val="en-CA"/>
        </w:rPr>
        <w:t>of</w:t>
      </w:r>
      <w:r w:rsidRPr="006B5B91">
        <w:rPr>
          <w:rFonts w:cs="Times New Roman"/>
          <w:lang w:val="en-CA"/>
        </w:rPr>
        <w:t xml:space="preserve"> using </w:t>
      </w:r>
      <w:r w:rsidR="000C07F3">
        <w:rPr>
          <w:rFonts w:cs="Times New Roman"/>
          <w:lang w:val="en-CA"/>
        </w:rPr>
        <w:t>C.D.</w:t>
      </w:r>
      <w:r w:rsidRPr="006B5B91">
        <w:rPr>
          <w:rFonts w:cs="Times New Roman"/>
          <w:lang w:val="en-CA"/>
        </w:rPr>
        <w:t xml:space="preserve"> Howe Institute recession dates for this analysis is the limited number of recessions. Yield curve data in Canada is available from 1986 onward. Since then, only two recessions</w:t>
      </w:r>
      <w:r w:rsidR="001F7FB0">
        <w:rPr>
          <w:rFonts w:cs="Times New Roman"/>
          <w:lang w:val="en-CA"/>
        </w:rPr>
        <w:t xml:space="preserve"> </w:t>
      </w:r>
      <w:r w:rsidR="006443D3">
        <w:rPr>
          <w:rFonts w:cs="Times New Roman"/>
          <w:lang w:val="en-CA"/>
        </w:rPr>
        <w:t>as defined by the C.D. Howe Institute</w:t>
      </w:r>
      <w:r w:rsidRPr="006B5B91">
        <w:rPr>
          <w:rFonts w:cs="Times New Roman"/>
          <w:lang w:val="en-CA"/>
        </w:rPr>
        <w:t xml:space="preserve"> have occurred in Canad</w:t>
      </w:r>
      <w:r w:rsidR="006443D3">
        <w:rPr>
          <w:rFonts w:cs="Times New Roman"/>
          <w:lang w:val="en-CA"/>
        </w:rPr>
        <w:t>a.</w:t>
      </w:r>
      <w:r w:rsidR="003D1A6F" w:rsidRPr="006B5B91">
        <w:rPr>
          <w:rFonts w:cs="Times New Roman"/>
          <w:lang w:val="en-CA"/>
        </w:rPr>
        <w:t xml:space="preserve"> This limitation makes any result</w:t>
      </w:r>
      <w:r w:rsidR="001F7FB0">
        <w:rPr>
          <w:rFonts w:cs="Times New Roman"/>
          <w:lang w:val="en-CA"/>
        </w:rPr>
        <w:t>s</w:t>
      </w:r>
      <w:r w:rsidR="003D1A6F" w:rsidRPr="006B5B91">
        <w:rPr>
          <w:rFonts w:cs="Times New Roman"/>
          <w:lang w:val="en-CA"/>
        </w:rPr>
        <w:t xml:space="preserve"> seem</w:t>
      </w:r>
      <w:r w:rsidR="00D32965" w:rsidRPr="006B5B91">
        <w:rPr>
          <w:rFonts w:cs="Times New Roman"/>
          <w:lang w:val="en-CA"/>
        </w:rPr>
        <w:t xml:space="preserve"> somewhat unconvincing</w:t>
      </w:r>
      <w:r w:rsidR="003D1A6F" w:rsidRPr="006B5B91">
        <w:rPr>
          <w:rFonts w:cs="Times New Roman"/>
          <w:lang w:val="en-CA"/>
        </w:rPr>
        <w:t>.</w:t>
      </w:r>
      <w:r w:rsidR="008961B0" w:rsidRPr="006B5B91">
        <w:rPr>
          <w:rFonts w:cs="Times New Roman"/>
          <w:lang w:val="en-CA"/>
        </w:rPr>
        <w:t xml:space="preserve"> </w:t>
      </w:r>
      <w:r w:rsidR="0038313F" w:rsidRPr="006B5B91">
        <w:rPr>
          <w:rFonts w:cs="Times New Roman"/>
          <w:lang w:val="en-CA"/>
        </w:rPr>
        <w:t xml:space="preserve">For this </w:t>
      </w:r>
      <w:r w:rsidR="000848F6" w:rsidRPr="006B5B91">
        <w:rPr>
          <w:rFonts w:cs="Times New Roman"/>
          <w:lang w:val="en-CA"/>
        </w:rPr>
        <w:t>reason</w:t>
      </w:r>
      <w:r w:rsidR="0038313F" w:rsidRPr="006B5B91">
        <w:rPr>
          <w:rFonts w:cs="Times New Roman"/>
          <w:lang w:val="en-CA"/>
        </w:rPr>
        <w:t xml:space="preserve">, the same regressions </w:t>
      </w:r>
      <w:r w:rsidR="00A63107">
        <w:rPr>
          <w:rFonts w:cs="Times New Roman"/>
          <w:lang w:val="en-CA"/>
        </w:rPr>
        <w:t xml:space="preserve">are run </w:t>
      </w:r>
      <w:r w:rsidR="0038313F" w:rsidRPr="006B5B91">
        <w:rPr>
          <w:rFonts w:cs="Times New Roman"/>
          <w:lang w:val="en-CA"/>
        </w:rPr>
        <w:t>using recession dates as defined by the Organization for Economic Co</w:t>
      </w:r>
      <w:r w:rsidR="001F7FB0">
        <w:rPr>
          <w:rFonts w:cs="Times New Roman"/>
          <w:lang w:val="en-CA"/>
        </w:rPr>
        <w:t>-</w:t>
      </w:r>
      <w:r w:rsidR="0038313F" w:rsidRPr="006B5B91">
        <w:rPr>
          <w:rFonts w:cs="Times New Roman"/>
          <w:lang w:val="en-CA"/>
        </w:rPr>
        <w:t>operation and Development (OECD).</w:t>
      </w:r>
      <w:r w:rsidR="003D1A6F" w:rsidRPr="006B5B91">
        <w:rPr>
          <w:rFonts w:cs="Times New Roman"/>
          <w:lang w:val="en-CA"/>
        </w:rPr>
        <w:t xml:space="preserve"> The OECD uses its composite leading indicator (CLI) to</w:t>
      </w:r>
      <w:r w:rsidR="00D32965" w:rsidRPr="006B5B91">
        <w:rPr>
          <w:rFonts w:cs="Times New Roman"/>
          <w:lang w:val="en-CA"/>
        </w:rPr>
        <w:t>:</w:t>
      </w:r>
    </w:p>
    <w:p w14:paraId="0FB8950B" w14:textId="057EAC93" w:rsidR="00097C37" w:rsidRPr="006B5B91" w:rsidRDefault="00E026D5" w:rsidP="003D1A6F">
      <w:pPr>
        <w:spacing w:line="480" w:lineRule="auto"/>
        <w:ind w:left="720"/>
        <w:rPr>
          <w:rFonts w:cs="Times New Roman"/>
          <w:lang w:val="en-CA"/>
        </w:rPr>
      </w:pPr>
      <w:r>
        <w:rPr>
          <w:rFonts w:cs="Times New Roman"/>
          <w:lang w:val="en-CA"/>
        </w:rPr>
        <w:t>“</w:t>
      </w:r>
      <w:r w:rsidR="00930084">
        <w:rPr>
          <w:rFonts w:cs="Times New Roman"/>
          <w:lang w:val="en-CA"/>
        </w:rPr>
        <w:t>p</w:t>
      </w:r>
      <w:r w:rsidR="003D1A6F" w:rsidRPr="006B5B91">
        <w:rPr>
          <w:rFonts w:cs="Times New Roman"/>
          <w:lang w:val="en-CA"/>
        </w:rPr>
        <w:t>rovide early signals of turning points in the business cycles showing fluctuation of the economic activity around its long</w:t>
      </w:r>
      <w:r w:rsidR="00BF60BE">
        <w:rPr>
          <w:rFonts w:cs="Times New Roman"/>
          <w:lang w:val="en-CA"/>
        </w:rPr>
        <w:t>-</w:t>
      </w:r>
      <w:r w:rsidR="003D1A6F" w:rsidRPr="006B5B91">
        <w:rPr>
          <w:rFonts w:cs="Times New Roman"/>
          <w:lang w:val="en-CA"/>
        </w:rPr>
        <w:t>term potential level. CLIs show short term economic movements in qualitative rather than quantitative terms</w:t>
      </w:r>
      <w:r>
        <w:rPr>
          <w:rFonts w:cs="Times New Roman"/>
          <w:lang w:val="en-CA"/>
        </w:rPr>
        <w:t>”</w:t>
      </w:r>
      <w:r w:rsidR="003D1A6F" w:rsidRPr="006B5B91">
        <w:rPr>
          <w:rFonts w:cs="Times New Roman"/>
          <w:lang w:val="en-CA"/>
        </w:rPr>
        <w:t xml:space="preserve"> (</w:t>
      </w:r>
      <w:r w:rsidR="001412E8" w:rsidRPr="006B5B91">
        <w:rPr>
          <w:rFonts w:cs="Times New Roman"/>
          <w:lang w:val="en-CA"/>
        </w:rPr>
        <w:t>OECD, 2020</w:t>
      </w:r>
      <w:r w:rsidR="00605A92">
        <w:rPr>
          <w:rFonts w:cs="Times New Roman"/>
          <w:lang w:val="en-CA"/>
        </w:rPr>
        <w:t>a</w:t>
      </w:r>
      <w:r w:rsidR="003D1A6F" w:rsidRPr="006B5B91">
        <w:rPr>
          <w:rFonts w:cs="Times New Roman"/>
          <w:lang w:val="en-CA"/>
        </w:rPr>
        <w:t>).</w:t>
      </w:r>
    </w:p>
    <w:p w14:paraId="373A7993" w14:textId="54B86BD0" w:rsidR="003D1A6F" w:rsidRPr="006B5B91" w:rsidRDefault="003D1A6F" w:rsidP="003D1A6F">
      <w:pPr>
        <w:spacing w:line="480" w:lineRule="auto"/>
        <w:rPr>
          <w:rFonts w:cs="Times New Roman"/>
          <w:lang w:val="en-CA"/>
        </w:rPr>
      </w:pPr>
      <w:r w:rsidRPr="006B5B91">
        <w:rPr>
          <w:rFonts w:cs="Times New Roman"/>
          <w:lang w:val="en-CA"/>
        </w:rPr>
        <w:t xml:space="preserve">The OECD provides recession indicators for all its 34 member countries, including Canada, as well as six non-member countries. Industrial production is used as the primary reference series for most countries given its monthly availability and cyclical sensitivity, and gross domestic product is </w:t>
      </w:r>
      <w:r w:rsidR="004C6EC4" w:rsidRPr="006B5B91">
        <w:rPr>
          <w:rFonts w:cs="Times New Roman"/>
          <w:lang w:val="en-CA"/>
        </w:rPr>
        <w:t>used as a supplement (</w:t>
      </w:r>
      <w:r w:rsidR="00A64150">
        <w:rPr>
          <w:rFonts w:cs="Times New Roman"/>
          <w:lang w:val="en-CA"/>
        </w:rPr>
        <w:t>FRED</w:t>
      </w:r>
      <w:r w:rsidR="00741D67">
        <w:rPr>
          <w:rFonts w:cs="Times New Roman"/>
          <w:lang w:val="en-CA"/>
        </w:rPr>
        <w:t>,</w:t>
      </w:r>
      <w:r w:rsidR="004C6EC4" w:rsidRPr="006B5B91">
        <w:rPr>
          <w:rFonts w:cs="Times New Roman"/>
          <w:lang w:val="en-CA"/>
        </w:rPr>
        <w:t xml:space="preserve"> 20</w:t>
      </w:r>
      <w:r w:rsidR="008F6040">
        <w:rPr>
          <w:rFonts w:cs="Times New Roman"/>
          <w:lang w:val="en-CA"/>
        </w:rPr>
        <w:t>19</w:t>
      </w:r>
      <w:r w:rsidR="004C6EC4" w:rsidRPr="006B5B91">
        <w:rPr>
          <w:rFonts w:cs="Times New Roman"/>
          <w:lang w:val="en-CA"/>
        </w:rPr>
        <w:t xml:space="preserve">). Using the OECD CLI design allows </w:t>
      </w:r>
      <w:r w:rsidR="007670B2" w:rsidRPr="006B5B91">
        <w:rPr>
          <w:rFonts w:cs="Times New Roman"/>
          <w:lang w:val="en-CA"/>
        </w:rPr>
        <w:t>the use of</w:t>
      </w:r>
      <w:r w:rsidR="004C6EC4" w:rsidRPr="006B5B91">
        <w:rPr>
          <w:rFonts w:cs="Times New Roman"/>
          <w:lang w:val="en-CA"/>
        </w:rPr>
        <w:t xml:space="preserve"> a </w:t>
      </w:r>
      <w:r w:rsidR="004C6EC4" w:rsidRPr="006B5B91">
        <w:rPr>
          <w:rFonts w:cs="Times New Roman"/>
          <w:lang w:val="en-CA"/>
        </w:rPr>
        <w:lastRenderedPageBreak/>
        <w:t xml:space="preserve">much higher number of recessions </w:t>
      </w:r>
      <w:r w:rsidR="007670B2" w:rsidRPr="006B5B91">
        <w:rPr>
          <w:rFonts w:cs="Times New Roman"/>
          <w:lang w:val="en-CA"/>
        </w:rPr>
        <w:t>for</w:t>
      </w:r>
      <w:r w:rsidR="004C6EC4" w:rsidRPr="006B5B91">
        <w:rPr>
          <w:rFonts w:cs="Times New Roman"/>
          <w:lang w:val="en-CA"/>
        </w:rPr>
        <w:t xml:space="preserve"> this type of analysis. Since 1986, </w:t>
      </w:r>
      <w:r w:rsidR="00E026D5" w:rsidRPr="006B5B91">
        <w:rPr>
          <w:rFonts w:cs="Times New Roman"/>
          <w:lang w:val="en-CA"/>
        </w:rPr>
        <w:t xml:space="preserve">Canada </w:t>
      </w:r>
      <w:r w:rsidR="00E026D5">
        <w:rPr>
          <w:rFonts w:cs="Times New Roman"/>
          <w:lang w:val="en-CA"/>
        </w:rPr>
        <w:t xml:space="preserve">experienced </w:t>
      </w:r>
      <w:r w:rsidR="004C6EC4" w:rsidRPr="006B5B91">
        <w:rPr>
          <w:rFonts w:cs="Times New Roman"/>
          <w:lang w:val="en-CA"/>
        </w:rPr>
        <w:t>a total of nine recessions as defined by the OECD</w:t>
      </w:r>
      <w:r w:rsidR="000077C6" w:rsidRPr="006B5B91">
        <w:rPr>
          <w:rFonts w:cs="Times New Roman"/>
          <w:lang w:val="en-CA"/>
        </w:rPr>
        <w:t xml:space="preserve">. Table </w:t>
      </w:r>
      <w:r w:rsidR="008E13AC">
        <w:rPr>
          <w:rFonts w:cs="Times New Roman"/>
          <w:lang w:val="en-CA"/>
        </w:rPr>
        <w:t>2</w:t>
      </w:r>
      <w:r w:rsidR="000077C6" w:rsidRPr="006B5B91">
        <w:rPr>
          <w:rFonts w:cs="Times New Roman"/>
          <w:lang w:val="en-CA"/>
        </w:rPr>
        <w:t xml:space="preserve"> shows </w:t>
      </w:r>
      <w:r w:rsidR="00E026D5">
        <w:rPr>
          <w:rFonts w:cs="Times New Roman"/>
          <w:lang w:val="en-CA"/>
        </w:rPr>
        <w:t>the</w:t>
      </w:r>
      <w:r w:rsidR="00E026D5" w:rsidRPr="006B5B91">
        <w:rPr>
          <w:rFonts w:cs="Times New Roman"/>
          <w:lang w:val="en-CA"/>
        </w:rPr>
        <w:t xml:space="preserve"> </w:t>
      </w:r>
      <w:r w:rsidR="000077C6" w:rsidRPr="006B5B91">
        <w:rPr>
          <w:rFonts w:cs="Times New Roman"/>
          <w:lang w:val="en-CA"/>
        </w:rPr>
        <w:t xml:space="preserve">chronology of Canadian recessions based on </w:t>
      </w:r>
      <w:r w:rsidR="00E026D5">
        <w:rPr>
          <w:rFonts w:cs="Times New Roman"/>
          <w:lang w:val="en-CA"/>
        </w:rPr>
        <w:t xml:space="preserve">the </w:t>
      </w:r>
      <w:r w:rsidR="000077C6" w:rsidRPr="006B5B91">
        <w:rPr>
          <w:rFonts w:cs="Times New Roman"/>
          <w:lang w:val="en-CA"/>
        </w:rPr>
        <w:t>OECD’s recession dating methodology</w:t>
      </w:r>
      <w:r w:rsidR="005D13A0">
        <w:rPr>
          <w:rFonts w:cs="Times New Roman"/>
          <w:lang w:val="en-CA"/>
        </w:rPr>
        <w:t>.</w:t>
      </w:r>
      <w:r w:rsidR="000077C6" w:rsidRPr="006B5B91">
        <w:rPr>
          <w:rStyle w:val="FootnoteReference"/>
          <w:rFonts w:cs="Times New Roman"/>
          <w:lang w:val="en-CA"/>
        </w:rPr>
        <w:footnoteReference w:id="8"/>
      </w:r>
    </w:p>
    <w:tbl>
      <w:tblPr>
        <w:tblW w:w="9214" w:type="dxa"/>
        <w:tblLook w:val="04A0" w:firstRow="1" w:lastRow="0" w:firstColumn="1" w:lastColumn="0" w:noHBand="0" w:noVBand="1"/>
      </w:tblPr>
      <w:tblGrid>
        <w:gridCol w:w="2694"/>
        <w:gridCol w:w="1842"/>
        <w:gridCol w:w="4678"/>
      </w:tblGrid>
      <w:tr w:rsidR="00A6326F" w:rsidRPr="006B5B91" w14:paraId="32DFF7FA" w14:textId="77777777" w:rsidTr="00EB1B3C">
        <w:trPr>
          <w:trHeight w:val="315"/>
        </w:trPr>
        <w:tc>
          <w:tcPr>
            <w:tcW w:w="9214" w:type="dxa"/>
            <w:gridSpan w:val="3"/>
            <w:tcBorders>
              <w:top w:val="nil"/>
              <w:left w:val="nil"/>
              <w:bottom w:val="double" w:sz="6" w:space="0" w:color="auto"/>
              <w:right w:val="nil"/>
            </w:tcBorders>
            <w:shd w:val="clear" w:color="auto" w:fill="auto"/>
            <w:noWrap/>
            <w:vAlign w:val="center"/>
            <w:hideMark/>
          </w:tcPr>
          <w:p w14:paraId="6304841F" w14:textId="77777777" w:rsidR="00E33F59" w:rsidRPr="006B5B91" w:rsidRDefault="00E33F59" w:rsidP="00E33F59">
            <w:pPr>
              <w:spacing w:line="276" w:lineRule="auto"/>
              <w:rPr>
                <w:rFonts w:eastAsia="Times New Roman" w:cs="Times New Roman"/>
                <w:color w:val="000000"/>
                <w:lang w:val="en-CA" w:eastAsia="en-CA"/>
              </w:rPr>
            </w:pPr>
          </w:p>
          <w:p w14:paraId="192BF955" w14:textId="31FF0232" w:rsidR="00DA5E82" w:rsidRDefault="00DA5E82" w:rsidP="00AD1ECB">
            <w:bookmarkStart w:id="24" w:name="_Toc37261608"/>
            <w:r>
              <w:t xml:space="preserve">Table </w:t>
            </w:r>
            <w:r w:rsidR="009C4B5A">
              <w:fldChar w:fldCharType="begin"/>
            </w:r>
            <w:r w:rsidR="009C4B5A">
              <w:instrText xml:space="preserve"> SEQ Table \* ARABIC </w:instrText>
            </w:r>
            <w:r w:rsidR="009C4B5A">
              <w:fldChar w:fldCharType="separate"/>
            </w:r>
            <w:r w:rsidR="00AC0696">
              <w:rPr>
                <w:noProof/>
              </w:rPr>
              <w:t>2</w:t>
            </w:r>
            <w:bookmarkEnd w:id="24"/>
            <w:r w:rsidR="009C4B5A">
              <w:rPr>
                <w:noProof/>
              </w:rPr>
              <w:fldChar w:fldCharType="end"/>
            </w:r>
          </w:p>
          <w:p w14:paraId="3C6968A3" w14:textId="7A208119" w:rsidR="00A6326F" w:rsidRPr="006B5B91" w:rsidRDefault="00A6326F" w:rsidP="00E33F59">
            <w:pPr>
              <w:spacing w:line="276" w:lineRule="auto"/>
              <w:rPr>
                <w:rFonts w:eastAsia="Times New Roman" w:cs="Times New Roman"/>
                <w:i/>
                <w:iCs/>
                <w:color w:val="000000"/>
                <w:lang w:val="en-CA" w:eastAsia="en-CA"/>
              </w:rPr>
            </w:pPr>
            <w:r w:rsidRPr="006B5B91">
              <w:rPr>
                <w:rFonts w:eastAsia="Times New Roman" w:cs="Times New Roman"/>
                <w:i/>
                <w:iCs/>
                <w:color w:val="000000"/>
                <w:lang w:val="en-CA" w:eastAsia="en-CA"/>
              </w:rPr>
              <w:t>OECD Chronology of Canadian Recessions</w:t>
            </w:r>
          </w:p>
        </w:tc>
      </w:tr>
      <w:tr w:rsidR="00A6326F" w:rsidRPr="006B5B91" w14:paraId="0E8C1D7B" w14:textId="77777777" w:rsidTr="00AD1ECB">
        <w:trPr>
          <w:trHeight w:val="315"/>
        </w:trPr>
        <w:tc>
          <w:tcPr>
            <w:tcW w:w="2694" w:type="dxa"/>
            <w:tcBorders>
              <w:top w:val="nil"/>
              <w:left w:val="nil"/>
              <w:right w:val="nil"/>
            </w:tcBorders>
            <w:shd w:val="clear" w:color="auto" w:fill="auto"/>
            <w:noWrap/>
            <w:vAlign w:val="center"/>
            <w:hideMark/>
          </w:tcPr>
          <w:p w14:paraId="55390597" w14:textId="77777777" w:rsidR="00A6326F" w:rsidRPr="006B5B91" w:rsidRDefault="00A6326F" w:rsidP="00E33F59">
            <w:pPr>
              <w:spacing w:line="276" w:lineRule="auto"/>
              <w:rPr>
                <w:rFonts w:eastAsia="Times New Roman" w:cs="Times New Roman"/>
                <w:b/>
                <w:bCs/>
                <w:color w:val="000000"/>
                <w:lang w:val="en-CA" w:eastAsia="en-CA"/>
              </w:rPr>
            </w:pPr>
          </w:p>
        </w:tc>
        <w:tc>
          <w:tcPr>
            <w:tcW w:w="1842" w:type="dxa"/>
            <w:tcBorders>
              <w:top w:val="nil"/>
              <w:left w:val="nil"/>
              <w:right w:val="nil"/>
            </w:tcBorders>
            <w:shd w:val="clear" w:color="auto" w:fill="auto"/>
            <w:noWrap/>
            <w:vAlign w:val="center"/>
            <w:hideMark/>
          </w:tcPr>
          <w:p w14:paraId="07984E8C" w14:textId="77777777" w:rsidR="00A6326F" w:rsidRPr="006B5B91" w:rsidRDefault="00A6326F" w:rsidP="00E33F59">
            <w:pPr>
              <w:spacing w:line="276" w:lineRule="auto"/>
              <w:rPr>
                <w:rFonts w:eastAsia="Times New Roman" w:cs="Times New Roman"/>
                <w:sz w:val="20"/>
                <w:szCs w:val="20"/>
                <w:lang w:val="en-CA" w:eastAsia="en-CA"/>
              </w:rPr>
            </w:pPr>
          </w:p>
        </w:tc>
        <w:tc>
          <w:tcPr>
            <w:tcW w:w="4678" w:type="dxa"/>
            <w:tcBorders>
              <w:top w:val="nil"/>
              <w:left w:val="nil"/>
              <w:right w:val="nil"/>
            </w:tcBorders>
            <w:shd w:val="clear" w:color="auto" w:fill="auto"/>
            <w:noWrap/>
            <w:vAlign w:val="center"/>
            <w:hideMark/>
          </w:tcPr>
          <w:p w14:paraId="7909F86B" w14:textId="77777777" w:rsidR="00A6326F" w:rsidRPr="006B5B91" w:rsidRDefault="00A6326F" w:rsidP="00E33F59">
            <w:pPr>
              <w:spacing w:line="276" w:lineRule="auto"/>
              <w:rPr>
                <w:rFonts w:eastAsia="Times New Roman" w:cs="Times New Roman"/>
                <w:sz w:val="20"/>
                <w:szCs w:val="20"/>
                <w:lang w:val="en-CA" w:eastAsia="en-CA"/>
              </w:rPr>
            </w:pPr>
          </w:p>
        </w:tc>
      </w:tr>
      <w:tr w:rsidR="00A6326F" w:rsidRPr="006B5B91" w14:paraId="1B0DE2B4" w14:textId="77777777" w:rsidTr="00AD1ECB">
        <w:trPr>
          <w:trHeight w:val="300"/>
        </w:trPr>
        <w:tc>
          <w:tcPr>
            <w:tcW w:w="2694" w:type="dxa"/>
            <w:tcBorders>
              <w:top w:val="nil"/>
              <w:left w:val="nil"/>
              <w:bottom w:val="single" w:sz="4" w:space="0" w:color="auto"/>
              <w:right w:val="nil"/>
            </w:tcBorders>
            <w:shd w:val="clear" w:color="auto" w:fill="auto"/>
            <w:noWrap/>
            <w:vAlign w:val="center"/>
            <w:hideMark/>
          </w:tcPr>
          <w:p w14:paraId="3053ADDC" w14:textId="77777777" w:rsidR="00A6326F" w:rsidRPr="006434B5" w:rsidRDefault="00A6326F" w:rsidP="00E33F59">
            <w:pPr>
              <w:spacing w:line="276" w:lineRule="auto"/>
              <w:rPr>
                <w:rFonts w:eastAsia="Times New Roman" w:cs="Times New Roman"/>
                <w:color w:val="000000"/>
                <w:lang w:val="en-CA" w:eastAsia="en-CA"/>
              </w:rPr>
            </w:pPr>
            <w:r w:rsidRPr="006434B5">
              <w:rPr>
                <w:rFonts w:eastAsia="Times New Roman" w:cs="Times New Roman"/>
                <w:color w:val="000000"/>
                <w:lang w:val="en-CA" w:eastAsia="en-CA"/>
              </w:rPr>
              <w:t xml:space="preserve">Peak </w:t>
            </w:r>
          </w:p>
        </w:tc>
        <w:tc>
          <w:tcPr>
            <w:tcW w:w="1842" w:type="dxa"/>
            <w:tcBorders>
              <w:top w:val="nil"/>
              <w:left w:val="nil"/>
              <w:bottom w:val="single" w:sz="4" w:space="0" w:color="auto"/>
              <w:right w:val="nil"/>
            </w:tcBorders>
            <w:shd w:val="clear" w:color="auto" w:fill="auto"/>
            <w:noWrap/>
            <w:vAlign w:val="center"/>
            <w:hideMark/>
          </w:tcPr>
          <w:p w14:paraId="154190EA" w14:textId="77777777" w:rsidR="00A6326F" w:rsidRPr="006434B5" w:rsidRDefault="00A6326F" w:rsidP="00E33F59">
            <w:pPr>
              <w:spacing w:line="276" w:lineRule="auto"/>
              <w:rPr>
                <w:rFonts w:eastAsia="Times New Roman" w:cs="Times New Roman"/>
                <w:color w:val="000000"/>
                <w:lang w:val="en-CA" w:eastAsia="en-CA"/>
              </w:rPr>
            </w:pPr>
            <w:r w:rsidRPr="006434B5">
              <w:rPr>
                <w:rFonts w:eastAsia="Times New Roman" w:cs="Times New Roman"/>
                <w:color w:val="000000"/>
                <w:lang w:val="en-CA" w:eastAsia="en-CA"/>
              </w:rPr>
              <w:t>Trough</w:t>
            </w:r>
          </w:p>
        </w:tc>
        <w:tc>
          <w:tcPr>
            <w:tcW w:w="4678" w:type="dxa"/>
            <w:tcBorders>
              <w:top w:val="nil"/>
              <w:left w:val="nil"/>
              <w:bottom w:val="single" w:sz="4" w:space="0" w:color="auto"/>
              <w:right w:val="nil"/>
            </w:tcBorders>
            <w:shd w:val="clear" w:color="auto" w:fill="auto"/>
            <w:noWrap/>
            <w:vAlign w:val="center"/>
            <w:hideMark/>
          </w:tcPr>
          <w:p w14:paraId="0F611922" w14:textId="77777777" w:rsidR="00A6326F" w:rsidRPr="006434B5" w:rsidRDefault="00A6326F" w:rsidP="00E33F59">
            <w:pPr>
              <w:spacing w:line="276" w:lineRule="auto"/>
              <w:jc w:val="center"/>
              <w:rPr>
                <w:rFonts w:eastAsia="Times New Roman" w:cs="Times New Roman"/>
                <w:color w:val="000000"/>
                <w:lang w:val="en-CA" w:eastAsia="en-CA"/>
              </w:rPr>
            </w:pPr>
            <w:r w:rsidRPr="006434B5">
              <w:rPr>
                <w:rFonts w:eastAsia="Times New Roman" w:cs="Times New Roman"/>
                <w:color w:val="000000"/>
                <w:lang w:val="en-CA" w:eastAsia="en-CA"/>
              </w:rPr>
              <w:t>Duration (months)</w:t>
            </w:r>
          </w:p>
        </w:tc>
      </w:tr>
      <w:tr w:rsidR="00A6326F" w:rsidRPr="006B5B91" w14:paraId="5658EFD1" w14:textId="77777777" w:rsidTr="00AD1ECB">
        <w:trPr>
          <w:trHeight w:val="300"/>
        </w:trPr>
        <w:tc>
          <w:tcPr>
            <w:tcW w:w="2694" w:type="dxa"/>
            <w:tcBorders>
              <w:top w:val="single" w:sz="4" w:space="0" w:color="auto"/>
              <w:left w:val="nil"/>
              <w:bottom w:val="nil"/>
              <w:right w:val="nil"/>
            </w:tcBorders>
            <w:shd w:val="clear" w:color="auto" w:fill="auto"/>
            <w:noWrap/>
            <w:vAlign w:val="center"/>
            <w:hideMark/>
          </w:tcPr>
          <w:p w14:paraId="7EBED373"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1962</w:t>
            </w:r>
          </w:p>
        </w:tc>
        <w:tc>
          <w:tcPr>
            <w:tcW w:w="1842" w:type="dxa"/>
            <w:tcBorders>
              <w:top w:val="single" w:sz="4" w:space="0" w:color="auto"/>
              <w:left w:val="nil"/>
              <w:bottom w:val="nil"/>
              <w:right w:val="nil"/>
            </w:tcBorders>
            <w:shd w:val="clear" w:color="auto" w:fill="auto"/>
            <w:noWrap/>
            <w:vAlign w:val="center"/>
            <w:hideMark/>
          </w:tcPr>
          <w:p w14:paraId="79C2EE97"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1963</w:t>
            </w:r>
          </w:p>
        </w:tc>
        <w:tc>
          <w:tcPr>
            <w:tcW w:w="4678" w:type="dxa"/>
            <w:tcBorders>
              <w:top w:val="single" w:sz="4" w:space="0" w:color="auto"/>
              <w:left w:val="nil"/>
              <w:bottom w:val="nil"/>
              <w:right w:val="nil"/>
            </w:tcBorders>
            <w:shd w:val="clear" w:color="auto" w:fill="auto"/>
            <w:noWrap/>
            <w:vAlign w:val="center"/>
            <w:hideMark/>
          </w:tcPr>
          <w:p w14:paraId="464814F6"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16</w:t>
            </w:r>
          </w:p>
        </w:tc>
      </w:tr>
      <w:tr w:rsidR="00A6326F" w:rsidRPr="006B5B91" w14:paraId="75ABD7E1" w14:textId="77777777" w:rsidTr="00AD1ECB">
        <w:trPr>
          <w:trHeight w:val="300"/>
        </w:trPr>
        <w:tc>
          <w:tcPr>
            <w:tcW w:w="2694" w:type="dxa"/>
            <w:tcBorders>
              <w:top w:val="nil"/>
              <w:left w:val="nil"/>
              <w:bottom w:val="nil"/>
              <w:right w:val="nil"/>
            </w:tcBorders>
            <w:shd w:val="clear" w:color="auto" w:fill="auto"/>
            <w:noWrap/>
            <w:vAlign w:val="center"/>
            <w:hideMark/>
          </w:tcPr>
          <w:p w14:paraId="2CF50596"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1966</w:t>
            </w:r>
          </w:p>
        </w:tc>
        <w:tc>
          <w:tcPr>
            <w:tcW w:w="1842" w:type="dxa"/>
            <w:tcBorders>
              <w:top w:val="nil"/>
              <w:left w:val="nil"/>
              <w:bottom w:val="nil"/>
              <w:right w:val="nil"/>
            </w:tcBorders>
            <w:shd w:val="clear" w:color="auto" w:fill="auto"/>
            <w:noWrap/>
            <w:vAlign w:val="center"/>
            <w:hideMark/>
          </w:tcPr>
          <w:p w14:paraId="4EE40B1B"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December 1967</w:t>
            </w:r>
          </w:p>
        </w:tc>
        <w:tc>
          <w:tcPr>
            <w:tcW w:w="4678" w:type="dxa"/>
            <w:tcBorders>
              <w:top w:val="nil"/>
              <w:left w:val="nil"/>
              <w:bottom w:val="nil"/>
              <w:right w:val="nil"/>
            </w:tcBorders>
            <w:shd w:val="clear" w:color="auto" w:fill="auto"/>
            <w:noWrap/>
            <w:vAlign w:val="center"/>
            <w:hideMark/>
          </w:tcPr>
          <w:p w14:paraId="1D8AECD1"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20</w:t>
            </w:r>
          </w:p>
        </w:tc>
      </w:tr>
      <w:tr w:rsidR="00A6326F" w:rsidRPr="006B5B91" w14:paraId="75C6DB44" w14:textId="77777777" w:rsidTr="00AD1ECB">
        <w:trPr>
          <w:trHeight w:val="300"/>
        </w:trPr>
        <w:tc>
          <w:tcPr>
            <w:tcW w:w="2694" w:type="dxa"/>
            <w:tcBorders>
              <w:top w:val="nil"/>
              <w:left w:val="nil"/>
              <w:bottom w:val="nil"/>
              <w:right w:val="nil"/>
            </w:tcBorders>
            <w:shd w:val="clear" w:color="auto" w:fill="auto"/>
            <w:noWrap/>
            <w:vAlign w:val="center"/>
            <w:hideMark/>
          </w:tcPr>
          <w:p w14:paraId="5C85B74A" w14:textId="718DC8C1" w:rsidR="00A6326F" w:rsidRPr="006B5B91" w:rsidRDefault="009904A6" w:rsidP="00E33F59">
            <w:pPr>
              <w:spacing w:line="276" w:lineRule="auto"/>
              <w:rPr>
                <w:rFonts w:eastAsia="Times New Roman" w:cs="Times New Roman"/>
                <w:color w:val="000000"/>
                <w:lang w:val="en-CA" w:eastAsia="en-CA"/>
              </w:rPr>
            </w:pPr>
            <w:r>
              <w:rPr>
                <w:rFonts w:eastAsia="Times New Roman" w:cs="Times New Roman"/>
                <w:color w:val="000000"/>
                <w:lang w:val="en-CA" w:eastAsia="en-CA"/>
              </w:rPr>
              <w:t xml:space="preserve"> </w:t>
            </w:r>
            <w:r w:rsidR="00A6326F" w:rsidRPr="006B5B91">
              <w:rPr>
                <w:rFonts w:eastAsia="Times New Roman" w:cs="Times New Roman"/>
                <w:color w:val="000000"/>
                <w:lang w:val="en-CA" w:eastAsia="en-CA"/>
              </w:rPr>
              <w:t>December 1968</w:t>
            </w:r>
          </w:p>
        </w:tc>
        <w:tc>
          <w:tcPr>
            <w:tcW w:w="1842" w:type="dxa"/>
            <w:tcBorders>
              <w:top w:val="nil"/>
              <w:left w:val="nil"/>
              <w:bottom w:val="nil"/>
              <w:right w:val="nil"/>
            </w:tcBorders>
            <w:shd w:val="clear" w:color="auto" w:fill="auto"/>
            <w:noWrap/>
            <w:vAlign w:val="center"/>
            <w:hideMark/>
          </w:tcPr>
          <w:p w14:paraId="10D58919"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1971</w:t>
            </w:r>
          </w:p>
        </w:tc>
        <w:tc>
          <w:tcPr>
            <w:tcW w:w="4678" w:type="dxa"/>
            <w:tcBorders>
              <w:top w:val="nil"/>
              <w:left w:val="nil"/>
              <w:bottom w:val="nil"/>
              <w:right w:val="nil"/>
            </w:tcBorders>
            <w:shd w:val="clear" w:color="auto" w:fill="auto"/>
            <w:noWrap/>
            <w:vAlign w:val="center"/>
            <w:hideMark/>
          </w:tcPr>
          <w:p w14:paraId="6AF9372E"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26</w:t>
            </w:r>
          </w:p>
        </w:tc>
      </w:tr>
      <w:tr w:rsidR="00A6326F" w:rsidRPr="006B5B91" w14:paraId="04A6D3F5" w14:textId="77777777" w:rsidTr="00AD1ECB">
        <w:trPr>
          <w:trHeight w:val="300"/>
        </w:trPr>
        <w:tc>
          <w:tcPr>
            <w:tcW w:w="2694" w:type="dxa"/>
            <w:tcBorders>
              <w:top w:val="nil"/>
              <w:left w:val="nil"/>
              <w:bottom w:val="nil"/>
              <w:right w:val="nil"/>
            </w:tcBorders>
            <w:shd w:val="clear" w:color="auto" w:fill="auto"/>
            <w:noWrap/>
            <w:vAlign w:val="center"/>
            <w:hideMark/>
          </w:tcPr>
          <w:p w14:paraId="68D6ADC5"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January 1974</w:t>
            </w:r>
          </w:p>
        </w:tc>
        <w:tc>
          <w:tcPr>
            <w:tcW w:w="1842" w:type="dxa"/>
            <w:tcBorders>
              <w:top w:val="nil"/>
              <w:left w:val="nil"/>
              <w:bottom w:val="nil"/>
              <w:right w:val="nil"/>
            </w:tcBorders>
            <w:shd w:val="clear" w:color="auto" w:fill="auto"/>
            <w:noWrap/>
            <w:vAlign w:val="center"/>
            <w:hideMark/>
          </w:tcPr>
          <w:p w14:paraId="0ED55854"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1975</w:t>
            </w:r>
          </w:p>
        </w:tc>
        <w:tc>
          <w:tcPr>
            <w:tcW w:w="4678" w:type="dxa"/>
            <w:tcBorders>
              <w:top w:val="nil"/>
              <w:left w:val="nil"/>
              <w:bottom w:val="nil"/>
              <w:right w:val="nil"/>
            </w:tcBorders>
            <w:shd w:val="clear" w:color="auto" w:fill="auto"/>
            <w:noWrap/>
            <w:vAlign w:val="center"/>
            <w:hideMark/>
          </w:tcPr>
          <w:p w14:paraId="29AA485D"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15</w:t>
            </w:r>
          </w:p>
        </w:tc>
      </w:tr>
      <w:tr w:rsidR="00A6326F" w:rsidRPr="006B5B91" w14:paraId="5B09CC33" w14:textId="77777777" w:rsidTr="00AD1ECB">
        <w:trPr>
          <w:trHeight w:val="300"/>
        </w:trPr>
        <w:tc>
          <w:tcPr>
            <w:tcW w:w="2694" w:type="dxa"/>
            <w:tcBorders>
              <w:top w:val="nil"/>
              <w:left w:val="nil"/>
              <w:bottom w:val="nil"/>
              <w:right w:val="nil"/>
            </w:tcBorders>
            <w:shd w:val="clear" w:color="auto" w:fill="auto"/>
            <w:noWrap/>
            <w:vAlign w:val="center"/>
            <w:hideMark/>
          </w:tcPr>
          <w:p w14:paraId="0F1E0C03"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1976</w:t>
            </w:r>
          </w:p>
        </w:tc>
        <w:tc>
          <w:tcPr>
            <w:tcW w:w="1842" w:type="dxa"/>
            <w:tcBorders>
              <w:top w:val="nil"/>
              <w:left w:val="nil"/>
              <w:bottom w:val="nil"/>
              <w:right w:val="nil"/>
            </w:tcBorders>
            <w:shd w:val="clear" w:color="auto" w:fill="auto"/>
            <w:noWrap/>
            <w:vAlign w:val="center"/>
            <w:hideMark/>
          </w:tcPr>
          <w:p w14:paraId="0EBF96CD"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1977</w:t>
            </w:r>
          </w:p>
        </w:tc>
        <w:tc>
          <w:tcPr>
            <w:tcW w:w="4678" w:type="dxa"/>
            <w:tcBorders>
              <w:top w:val="nil"/>
              <w:left w:val="nil"/>
              <w:bottom w:val="nil"/>
              <w:right w:val="nil"/>
            </w:tcBorders>
            <w:shd w:val="clear" w:color="auto" w:fill="auto"/>
            <w:noWrap/>
            <w:vAlign w:val="center"/>
            <w:hideMark/>
          </w:tcPr>
          <w:p w14:paraId="6708E36D"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13</w:t>
            </w:r>
          </w:p>
        </w:tc>
      </w:tr>
      <w:tr w:rsidR="00A6326F" w:rsidRPr="006B5B91" w14:paraId="67D4421B" w14:textId="77777777" w:rsidTr="00AD1ECB">
        <w:trPr>
          <w:trHeight w:val="300"/>
        </w:trPr>
        <w:tc>
          <w:tcPr>
            <w:tcW w:w="2694" w:type="dxa"/>
            <w:tcBorders>
              <w:top w:val="nil"/>
              <w:left w:val="nil"/>
              <w:bottom w:val="nil"/>
              <w:right w:val="nil"/>
            </w:tcBorders>
            <w:shd w:val="clear" w:color="auto" w:fill="auto"/>
            <w:noWrap/>
            <w:vAlign w:val="center"/>
            <w:hideMark/>
          </w:tcPr>
          <w:p w14:paraId="21EBA72E"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May 1981</w:t>
            </w:r>
          </w:p>
        </w:tc>
        <w:tc>
          <w:tcPr>
            <w:tcW w:w="1842" w:type="dxa"/>
            <w:tcBorders>
              <w:top w:val="nil"/>
              <w:left w:val="nil"/>
              <w:bottom w:val="nil"/>
              <w:right w:val="nil"/>
            </w:tcBorders>
            <w:shd w:val="clear" w:color="auto" w:fill="auto"/>
            <w:noWrap/>
            <w:vAlign w:val="center"/>
            <w:hideMark/>
          </w:tcPr>
          <w:p w14:paraId="687963B4"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1982</w:t>
            </w:r>
          </w:p>
        </w:tc>
        <w:tc>
          <w:tcPr>
            <w:tcW w:w="4678" w:type="dxa"/>
            <w:tcBorders>
              <w:top w:val="nil"/>
              <w:left w:val="nil"/>
              <w:bottom w:val="nil"/>
              <w:right w:val="nil"/>
            </w:tcBorders>
            <w:shd w:val="clear" w:color="auto" w:fill="auto"/>
            <w:noWrap/>
            <w:vAlign w:val="center"/>
            <w:hideMark/>
          </w:tcPr>
          <w:p w14:paraId="13F2E1FC"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18</w:t>
            </w:r>
          </w:p>
        </w:tc>
      </w:tr>
      <w:tr w:rsidR="00A6326F" w:rsidRPr="006B5B91" w14:paraId="375F5AF8" w14:textId="77777777" w:rsidTr="00AD1ECB">
        <w:trPr>
          <w:trHeight w:val="300"/>
        </w:trPr>
        <w:tc>
          <w:tcPr>
            <w:tcW w:w="2694" w:type="dxa"/>
            <w:tcBorders>
              <w:top w:val="nil"/>
              <w:left w:val="nil"/>
              <w:bottom w:val="nil"/>
              <w:right w:val="nil"/>
            </w:tcBorders>
            <w:shd w:val="clear" w:color="auto" w:fill="auto"/>
            <w:noWrap/>
            <w:vAlign w:val="center"/>
            <w:hideMark/>
          </w:tcPr>
          <w:p w14:paraId="54F9038A"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1985</w:t>
            </w:r>
          </w:p>
        </w:tc>
        <w:tc>
          <w:tcPr>
            <w:tcW w:w="1842" w:type="dxa"/>
            <w:tcBorders>
              <w:top w:val="nil"/>
              <w:left w:val="nil"/>
              <w:bottom w:val="nil"/>
              <w:right w:val="nil"/>
            </w:tcBorders>
            <w:shd w:val="clear" w:color="auto" w:fill="auto"/>
            <w:noWrap/>
            <w:vAlign w:val="center"/>
            <w:hideMark/>
          </w:tcPr>
          <w:p w14:paraId="70099707"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1986</w:t>
            </w:r>
          </w:p>
        </w:tc>
        <w:tc>
          <w:tcPr>
            <w:tcW w:w="4678" w:type="dxa"/>
            <w:tcBorders>
              <w:top w:val="nil"/>
              <w:left w:val="nil"/>
              <w:bottom w:val="nil"/>
              <w:right w:val="nil"/>
            </w:tcBorders>
            <w:shd w:val="clear" w:color="auto" w:fill="auto"/>
            <w:noWrap/>
            <w:vAlign w:val="center"/>
            <w:hideMark/>
          </w:tcPr>
          <w:p w14:paraId="3AF3D5D7"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12</w:t>
            </w:r>
          </w:p>
        </w:tc>
      </w:tr>
      <w:tr w:rsidR="00A6326F" w:rsidRPr="006B5B91" w14:paraId="7AB34E30" w14:textId="77777777" w:rsidTr="00AD1ECB">
        <w:trPr>
          <w:trHeight w:val="300"/>
        </w:trPr>
        <w:tc>
          <w:tcPr>
            <w:tcW w:w="2694" w:type="dxa"/>
            <w:tcBorders>
              <w:top w:val="nil"/>
              <w:left w:val="nil"/>
              <w:bottom w:val="nil"/>
              <w:right w:val="nil"/>
            </w:tcBorders>
            <w:shd w:val="clear" w:color="auto" w:fill="auto"/>
            <w:noWrap/>
            <w:vAlign w:val="center"/>
            <w:hideMark/>
          </w:tcPr>
          <w:p w14:paraId="6031A8F8"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May 1989</w:t>
            </w:r>
          </w:p>
        </w:tc>
        <w:tc>
          <w:tcPr>
            <w:tcW w:w="1842" w:type="dxa"/>
            <w:tcBorders>
              <w:top w:val="nil"/>
              <w:left w:val="nil"/>
              <w:bottom w:val="nil"/>
              <w:right w:val="nil"/>
            </w:tcBorders>
            <w:shd w:val="clear" w:color="auto" w:fill="auto"/>
            <w:noWrap/>
            <w:vAlign w:val="center"/>
            <w:hideMark/>
          </w:tcPr>
          <w:p w14:paraId="6C2C19DE"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May 1992</w:t>
            </w:r>
          </w:p>
        </w:tc>
        <w:tc>
          <w:tcPr>
            <w:tcW w:w="4678" w:type="dxa"/>
            <w:tcBorders>
              <w:top w:val="nil"/>
              <w:left w:val="nil"/>
              <w:bottom w:val="nil"/>
              <w:right w:val="nil"/>
            </w:tcBorders>
            <w:shd w:val="clear" w:color="auto" w:fill="auto"/>
            <w:noWrap/>
            <w:vAlign w:val="center"/>
            <w:hideMark/>
          </w:tcPr>
          <w:p w14:paraId="72E94970"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36</w:t>
            </w:r>
          </w:p>
        </w:tc>
      </w:tr>
      <w:tr w:rsidR="00A6326F" w:rsidRPr="006B5B91" w14:paraId="0BA3B969" w14:textId="77777777" w:rsidTr="00AD1ECB">
        <w:trPr>
          <w:trHeight w:val="300"/>
        </w:trPr>
        <w:tc>
          <w:tcPr>
            <w:tcW w:w="2694" w:type="dxa"/>
            <w:tcBorders>
              <w:top w:val="nil"/>
              <w:left w:val="nil"/>
              <w:bottom w:val="nil"/>
              <w:right w:val="nil"/>
            </w:tcBorders>
            <w:shd w:val="clear" w:color="auto" w:fill="auto"/>
            <w:noWrap/>
            <w:vAlign w:val="center"/>
            <w:hideMark/>
          </w:tcPr>
          <w:p w14:paraId="4BCB750F"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December 1994</w:t>
            </w:r>
          </w:p>
        </w:tc>
        <w:tc>
          <w:tcPr>
            <w:tcW w:w="1842" w:type="dxa"/>
            <w:tcBorders>
              <w:top w:val="nil"/>
              <w:left w:val="nil"/>
              <w:bottom w:val="nil"/>
              <w:right w:val="nil"/>
            </w:tcBorders>
            <w:shd w:val="clear" w:color="auto" w:fill="auto"/>
            <w:noWrap/>
            <w:vAlign w:val="center"/>
            <w:hideMark/>
          </w:tcPr>
          <w:p w14:paraId="57569066"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August 1996</w:t>
            </w:r>
          </w:p>
        </w:tc>
        <w:tc>
          <w:tcPr>
            <w:tcW w:w="4678" w:type="dxa"/>
            <w:tcBorders>
              <w:top w:val="nil"/>
              <w:left w:val="nil"/>
              <w:bottom w:val="nil"/>
              <w:right w:val="nil"/>
            </w:tcBorders>
            <w:shd w:val="clear" w:color="auto" w:fill="auto"/>
            <w:noWrap/>
            <w:vAlign w:val="center"/>
            <w:hideMark/>
          </w:tcPr>
          <w:p w14:paraId="2EEE6BA1"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20</w:t>
            </w:r>
          </w:p>
        </w:tc>
      </w:tr>
      <w:tr w:rsidR="00A6326F" w:rsidRPr="006B5B91" w14:paraId="3A632516" w14:textId="77777777" w:rsidTr="00AD1ECB">
        <w:trPr>
          <w:trHeight w:val="300"/>
        </w:trPr>
        <w:tc>
          <w:tcPr>
            <w:tcW w:w="2694" w:type="dxa"/>
            <w:tcBorders>
              <w:top w:val="nil"/>
              <w:left w:val="nil"/>
              <w:bottom w:val="nil"/>
              <w:right w:val="nil"/>
            </w:tcBorders>
            <w:shd w:val="clear" w:color="auto" w:fill="auto"/>
            <w:noWrap/>
            <w:vAlign w:val="center"/>
            <w:hideMark/>
          </w:tcPr>
          <w:p w14:paraId="230CB448"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2000</w:t>
            </w:r>
          </w:p>
        </w:tc>
        <w:tc>
          <w:tcPr>
            <w:tcW w:w="1842" w:type="dxa"/>
            <w:tcBorders>
              <w:top w:val="nil"/>
              <w:left w:val="nil"/>
              <w:bottom w:val="nil"/>
              <w:right w:val="nil"/>
            </w:tcBorders>
            <w:shd w:val="clear" w:color="auto" w:fill="auto"/>
            <w:noWrap/>
            <w:vAlign w:val="center"/>
            <w:hideMark/>
          </w:tcPr>
          <w:p w14:paraId="396CFE68"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October 2001</w:t>
            </w:r>
          </w:p>
        </w:tc>
        <w:tc>
          <w:tcPr>
            <w:tcW w:w="4678" w:type="dxa"/>
            <w:tcBorders>
              <w:top w:val="nil"/>
              <w:left w:val="nil"/>
              <w:bottom w:val="nil"/>
              <w:right w:val="nil"/>
            </w:tcBorders>
            <w:shd w:val="clear" w:color="auto" w:fill="auto"/>
            <w:noWrap/>
            <w:vAlign w:val="center"/>
            <w:hideMark/>
          </w:tcPr>
          <w:p w14:paraId="2568A3DD"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16</w:t>
            </w:r>
          </w:p>
        </w:tc>
      </w:tr>
      <w:tr w:rsidR="00A6326F" w:rsidRPr="006B5B91" w14:paraId="2F12EC87" w14:textId="77777777" w:rsidTr="00AD1ECB">
        <w:trPr>
          <w:trHeight w:val="300"/>
        </w:trPr>
        <w:tc>
          <w:tcPr>
            <w:tcW w:w="2694" w:type="dxa"/>
            <w:tcBorders>
              <w:top w:val="nil"/>
              <w:left w:val="nil"/>
              <w:bottom w:val="nil"/>
              <w:right w:val="nil"/>
            </w:tcBorders>
            <w:shd w:val="clear" w:color="auto" w:fill="auto"/>
            <w:noWrap/>
            <w:vAlign w:val="center"/>
            <w:hideMark/>
          </w:tcPr>
          <w:p w14:paraId="089281A1"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2002</w:t>
            </w:r>
          </w:p>
        </w:tc>
        <w:tc>
          <w:tcPr>
            <w:tcW w:w="1842" w:type="dxa"/>
            <w:tcBorders>
              <w:top w:val="nil"/>
              <w:left w:val="nil"/>
              <w:bottom w:val="nil"/>
              <w:right w:val="nil"/>
            </w:tcBorders>
            <w:shd w:val="clear" w:color="auto" w:fill="auto"/>
            <w:noWrap/>
            <w:vAlign w:val="center"/>
            <w:hideMark/>
          </w:tcPr>
          <w:p w14:paraId="7783BFA6"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October 2003</w:t>
            </w:r>
          </w:p>
        </w:tc>
        <w:tc>
          <w:tcPr>
            <w:tcW w:w="4678" w:type="dxa"/>
            <w:tcBorders>
              <w:top w:val="nil"/>
              <w:left w:val="nil"/>
              <w:bottom w:val="nil"/>
              <w:right w:val="nil"/>
            </w:tcBorders>
            <w:shd w:val="clear" w:color="auto" w:fill="auto"/>
            <w:noWrap/>
            <w:vAlign w:val="center"/>
            <w:hideMark/>
          </w:tcPr>
          <w:p w14:paraId="145C2C0F"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15</w:t>
            </w:r>
          </w:p>
        </w:tc>
      </w:tr>
      <w:tr w:rsidR="00A6326F" w:rsidRPr="006B5B91" w14:paraId="64EFCD60" w14:textId="77777777" w:rsidTr="00AD1ECB">
        <w:trPr>
          <w:trHeight w:val="300"/>
        </w:trPr>
        <w:tc>
          <w:tcPr>
            <w:tcW w:w="2694" w:type="dxa"/>
            <w:tcBorders>
              <w:top w:val="nil"/>
              <w:left w:val="nil"/>
              <w:bottom w:val="nil"/>
              <w:right w:val="nil"/>
            </w:tcBorders>
            <w:shd w:val="clear" w:color="auto" w:fill="auto"/>
            <w:noWrap/>
            <w:vAlign w:val="center"/>
            <w:hideMark/>
          </w:tcPr>
          <w:p w14:paraId="0408CFE9"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August 2007</w:t>
            </w:r>
          </w:p>
        </w:tc>
        <w:tc>
          <w:tcPr>
            <w:tcW w:w="1842" w:type="dxa"/>
            <w:tcBorders>
              <w:top w:val="nil"/>
              <w:left w:val="nil"/>
              <w:bottom w:val="nil"/>
              <w:right w:val="nil"/>
            </w:tcBorders>
            <w:shd w:val="clear" w:color="auto" w:fill="auto"/>
            <w:noWrap/>
            <w:vAlign w:val="center"/>
            <w:hideMark/>
          </w:tcPr>
          <w:p w14:paraId="611CE174"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2009</w:t>
            </w:r>
          </w:p>
        </w:tc>
        <w:tc>
          <w:tcPr>
            <w:tcW w:w="4678" w:type="dxa"/>
            <w:tcBorders>
              <w:top w:val="nil"/>
              <w:left w:val="nil"/>
              <w:bottom w:val="nil"/>
              <w:right w:val="nil"/>
            </w:tcBorders>
            <w:shd w:val="clear" w:color="auto" w:fill="auto"/>
            <w:noWrap/>
            <w:vAlign w:val="center"/>
            <w:hideMark/>
          </w:tcPr>
          <w:p w14:paraId="2C0207BE"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23</w:t>
            </w:r>
          </w:p>
        </w:tc>
      </w:tr>
      <w:tr w:rsidR="00A6326F" w:rsidRPr="006B5B91" w14:paraId="3A5345F2" w14:textId="77777777" w:rsidTr="00AD1ECB">
        <w:trPr>
          <w:trHeight w:val="300"/>
        </w:trPr>
        <w:tc>
          <w:tcPr>
            <w:tcW w:w="2694" w:type="dxa"/>
            <w:tcBorders>
              <w:top w:val="nil"/>
              <w:left w:val="nil"/>
              <w:bottom w:val="nil"/>
              <w:right w:val="nil"/>
            </w:tcBorders>
            <w:shd w:val="clear" w:color="auto" w:fill="auto"/>
            <w:noWrap/>
            <w:vAlign w:val="center"/>
            <w:hideMark/>
          </w:tcPr>
          <w:p w14:paraId="5EA6D568"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2011</w:t>
            </w:r>
          </w:p>
        </w:tc>
        <w:tc>
          <w:tcPr>
            <w:tcW w:w="1842" w:type="dxa"/>
            <w:tcBorders>
              <w:top w:val="nil"/>
              <w:left w:val="nil"/>
              <w:bottom w:val="nil"/>
              <w:right w:val="nil"/>
            </w:tcBorders>
            <w:shd w:val="clear" w:color="auto" w:fill="auto"/>
            <w:noWrap/>
            <w:vAlign w:val="center"/>
            <w:hideMark/>
          </w:tcPr>
          <w:p w14:paraId="4155E873"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2012</w:t>
            </w:r>
          </w:p>
        </w:tc>
        <w:tc>
          <w:tcPr>
            <w:tcW w:w="4678" w:type="dxa"/>
            <w:tcBorders>
              <w:top w:val="nil"/>
              <w:left w:val="nil"/>
              <w:bottom w:val="nil"/>
              <w:right w:val="nil"/>
            </w:tcBorders>
            <w:shd w:val="clear" w:color="auto" w:fill="auto"/>
            <w:noWrap/>
            <w:vAlign w:val="center"/>
            <w:hideMark/>
          </w:tcPr>
          <w:p w14:paraId="17C34C50"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12</w:t>
            </w:r>
          </w:p>
        </w:tc>
      </w:tr>
      <w:tr w:rsidR="00A6326F" w:rsidRPr="006B5B91" w14:paraId="411748E4" w14:textId="77777777" w:rsidTr="00AD1ECB">
        <w:trPr>
          <w:trHeight w:val="300"/>
        </w:trPr>
        <w:tc>
          <w:tcPr>
            <w:tcW w:w="2694" w:type="dxa"/>
            <w:tcBorders>
              <w:top w:val="nil"/>
              <w:left w:val="nil"/>
              <w:bottom w:val="nil"/>
              <w:right w:val="nil"/>
            </w:tcBorders>
            <w:shd w:val="clear" w:color="auto" w:fill="auto"/>
            <w:noWrap/>
            <w:vAlign w:val="center"/>
            <w:hideMark/>
          </w:tcPr>
          <w:p w14:paraId="27AF2730"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September 2014</w:t>
            </w:r>
          </w:p>
        </w:tc>
        <w:tc>
          <w:tcPr>
            <w:tcW w:w="1842" w:type="dxa"/>
            <w:tcBorders>
              <w:top w:val="nil"/>
              <w:left w:val="nil"/>
              <w:bottom w:val="nil"/>
              <w:right w:val="nil"/>
            </w:tcBorders>
            <w:shd w:val="clear" w:color="auto" w:fill="auto"/>
            <w:noWrap/>
            <w:vAlign w:val="center"/>
            <w:hideMark/>
          </w:tcPr>
          <w:p w14:paraId="057F20DA"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2016</w:t>
            </w:r>
          </w:p>
        </w:tc>
        <w:tc>
          <w:tcPr>
            <w:tcW w:w="4678" w:type="dxa"/>
            <w:tcBorders>
              <w:top w:val="nil"/>
              <w:left w:val="nil"/>
              <w:bottom w:val="nil"/>
              <w:right w:val="nil"/>
            </w:tcBorders>
            <w:shd w:val="clear" w:color="auto" w:fill="auto"/>
            <w:noWrap/>
            <w:vAlign w:val="center"/>
            <w:hideMark/>
          </w:tcPr>
          <w:p w14:paraId="791BF873"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21</w:t>
            </w:r>
          </w:p>
        </w:tc>
      </w:tr>
      <w:tr w:rsidR="00A6326F" w:rsidRPr="006B5B91" w14:paraId="5A59A948" w14:textId="77777777" w:rsidTr="00AD1ECB">
        <w:trPr>
          <w:trHeight w:val="315"/>
        </w:trPr>
        <w:tc>
          <w:tcPr>
            <w:tcW w:w="2694" w:type="dxa"/>
            <w:tcBorders>
              <w:top w:val="nil"/>
              <w:left w:val="nil"/>
              <w:bottom w:val="double" w:sz="6" w:space="0" w:color="auto"/>
              <w:right w:val="nil"/>
            </w:tcBorders>
            <w:shd w:val="clear" w:color="auto" w:fill="auto"/>
            <w:noWrap/>
            <w:vAlign w:val="center"/>
            <w:hideMark/>
          </w:tcPr>
          <w:p w14:paraId="35542912"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August 2017</w:t>
            </w:r>
          </w:p>
        </w:tc>
        <w:tc>
          <w:tcPr>
            <w:tcW w:w="1842" w:type="dxa"/>
            <w:tcBorders>
              <w:top w:val="nil"/>
              <w:left w:val="nil"/>
              <w:bottom w:val="double" w:sz="6" w:space="0" w:color="auto"/>
              <w:right w:val="nil"/>
            </w:tcBorders>
            <w:shd w:val="clear" w:color="auto" w:fill="auto"/>
            <w:noWrap/>
            <w:vAlign w:val="center"/>
            <w:hideMark/>
          </w:tcPr>
          <w:p w14:paraId="78B873FF"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2019</w:t>
            </w:r>
          </w:p>
        </w:tc>
        <w:tc>
          <w:tcPr>
            <w:tcW w:w="4678" w:type="dxa"/>
            <w:tcBorders>
              <w:top w:val="nil"/>
              <w:left w:val="nil"/>
              <w:bottom w:val="double" w:sz="6" w:space="0" w:color="auto"/>
              <w:right w:val="nil"/>
            </w:tcBorders>
            <w:shd w:val="clear" w:color="auto" w:fill="auto"/>
            <w:noWrap/>
            <w:vAlign w:val="center"/>
            <w:hideMark/>
          </w:tcPr>
          <w:p w14:paraId="57470362"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18</w:t>
            </w:r>
          </w:p>
        </w:tc>
      </w:tr>
      <w:tr w:rsidR="00A6326F" w:rsidRPr="006B5B91" w14:paraId="2F6AC1B2" w14:textId="77777777" w:rsidTr="00EB1B3C">
        <w:trPr>
          <w:trHeight w:val="315"/>
        </w:trPr>
        <w:tc>
          <w:tcPr>
            <w:tcW w:w="9214" w:type="dxa"/>
            <w:gridSpan w:val="3"/>
            <w:tcBorders>
              <w:top w:val="double" w:sz="6" w:space="0" w:color="auto"/>
              <w:left w:val="nil"/>
              <w:bottom w:val="nil"/>
              <w:right w:val="nil"/>
            </w:tcBorders>
            <w:shd w:val="clear" w:color="auto" w:fill="auto"/>
            <w:noWrap/>
            <w:vAlign w:val="center"/>
            <w:hideMark/>
          </w:tcPr>
          <w:p w14:paraId="3CC01176" w14:textId="0FCEA438"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*Source: OECD (2020</w:t>
            </w:r>
            <w:r w:rsidR="00605A92">
              <w:rPr>
                <w:rFonts w:eastAsia="Times New Roman" w:cs="Times New Roman"/>
                <w:color w:val="000000"/>
                <w:lang w:val="en-CA" w:eastAsia="en-CA"/>
              </w:rPr>
              <w:t>b</w:t>
            </w:r>
            <w:r w:rsidRPr="006B5B91">
              <w:rPr>
                <w:rFonts w:eastAsia="Times New Roman" w:cs="Times New Roman"/>
                <w:color w:val="000000"/>
                <w:lang w:val="en-CA" w:eastAsia="en-CA"/>
              </w:rPr>
              <w:t>)</w:t>
            </w:r>
            <w:r w:rsidR="00CD1D46">
              <w:rPr>
                <w:rFonts w:eastAsia="Times New Roman" w:cs="Times New Roman"/>
                <w:color w:val="000000"/>
                <w:lang w:val="en-CA" w:eastAsia="en-CA"/>
              </w:rPr>
              <w:t>.</w:t>
            </w:r>
          </w:p>
        </w:tc>
      </w:tr>
    </w:tbl>
    <w:p w14:paraId="2A5A00B3" w14:textId="77777777" w:rsidR="005D13A0" w:rsidRDefault="005D13A0" w:rsidP="00314D8C">
      <w:pPr>
        <w:spacing w:line="480" w:lineRule="auto"/>
        <w:rPr>
          <w:rFonts w:cs="Times New Roman"/>
          <w:lang w:val="en-CA"/>
        </w:rPr>
      </w:pPr>
    </w:p>
    <w:p w14:paraId="5956C72E" w14:textId="1BFD880A" w:rsidR="00FE42A5" w:rsidRDefault="004D4EF8" w:rsidP="00FD0B8D">
      <w:pPr>
        <w:spacing w:line="480" w:lineRule="auto"/>
        <w:ind w:firstLine="720"/>
        <w:rPr>
          <w:rFonts w:cs="Times New Roman"/>
          <w:lang w:val="en-CA"/>
        </w:rPr>
      </w:pPr>
      <w:r w:rsidRPr="006B5B91">
        <w:rPr>
          <w:rFonts w:cs="Times New Roman"/>
          <w:lang w:val="en-CA"/>
        </w:rPr>
        <w:t xml:space="preserve">The Economic Cycle Research Institute (ECRI) is another well-known organization that dates cyclical turning points </w:t>
      </w:r>
      <w:r w:rsidR="00B6502C" w:rsidRPr="006B5B91">
        <w:rPr>
          <w:rFonts w:cs="Times New Roman"/>
          <w:lang w:val="en-CA"/>
        </w:rPr>
        <w:t>for 22 countries, including Canada</w:t>
      </w:r>
      <w:r w:rsidRPr="006B5B91">
        <w:rPr>
          <w:rFonts w:cs="Times New Roman"/>
          <w:lang w:val="en-CA"/>
        </w:rPr>
        <w:t xml:space="preserve">. The organization specializes in business cycle research and </w:t>
      </w:r>
      <w:r w:rsidR="00B6502C" w:rsidRPr="006B5B91">
        <w:rPr>
          <w:rFonts w:cs="Times New Roman"/>
          <w:lang w:val="en-CA"/>
        </w:rPr>
        <w:t>has a strong track record of business cycle forecasting.</w:t>
      </w:r>
      <w:r w:rsidR="00110C88" w:rsidRPr="006B5B91">
        <w:rPr>
          <w:rFonts w:cs="Times New Roman"/>
          <w:lang w:val="en-CA"/>
        </w:rPr>
        <w:t xml:space="preserve"> It </w:t>
      </w:r>
      <w:r w:rsidRPr="006B5B91">
        <w:rPr>
          <w:rFonts w:cs="Times New Roman"/>
          <w:lang w:val="en-CA"/>
        </w:rPr>
        <w:t xml:space="preserve">provides </w:t>
      </w:r>
      <w:r w:rsidR="00B6502C" w:rsidRPr="006B5B91">
        <w:rPr>
          <w:rFonts w:cs="Times New Roman"/>
          <w:lang w:val="en-CA"/>
        </w:rPr>
        <w:t xml:space="preserve">historical </w:t>
      </w:r>
      <w:r w:rsidRPr="006B5B91">
        <w:rPr>
          <w:rFonts w:cs="Times New Roman"/>
          <w:lang w:val="en-CA"/>
        </w:rPr>
        <w:t xml:space="preserve">recession dates </w:t>
      </w:r>
      <w:r w:rsidR="00B6502C" w:rsidRPr="006B5B91">
        <w:rPr>
          <w:rFonts w:cs="Times New Roman"/>
          <w:lang w:val="en-CA"/>
        </w:rPr>
        <w:t>for Canada dating back to 1949.</w:t>
      </w:r>
      <w:r w:rsidR="000077C6" w:rsidRPr="006B5B91">
        <w:rPr>
          <w:rFonts w:cs="Times New Roman"/>
          <w:lang w:val="en-CA"/>
        </w:rPr>
        <w:t xml:space="preserve"> Table </w:t>
      </w:r>
      <w:r w:rsidR="008E13AC">
        <w:rPr>
          <w:rFonts w:cs="Times New Roman"/>
          <w:lang w:val="en-CA"/>
        </w:rPr>
        <w:t>3</w:t>
      </w:r>
      <w:r w:rsidR="000077C6" w:rsidRPr="006B5B91">
        <w:rPr>
          <w:rFonts w:cs="Times New Roman"/>
          <w:lang w:val="en-CA"/>
        </w:rPr>
        <w:t xml:space="preserve"> shows </w:t>
      </w:r>
      <w:r w:rsidR="00E026D5">
        <w:rPr>
          <w:rFonts w:cs="Times New Roman"/>
          <w:lang w:val="en-CA"/>
        </w:rPr>
        <w:t>the</w:t>
      </w:r>
      <w:r w:rsidR="00E026D5" w:rsidRPr="006B5B91">
        <w:rPr>
          <w:rFonts w:cs="Times New Roman"/>
          <w:lang w:val="en-CA"/>
        </w:rPr>
        <w:t xml:space="preserve"> </w:t>
      </w:r>
      <w:r w:rsidR="000077C6" w:rsidRPr="006B5B91">
        <w:rPr>
          <w:rFonts w:cs="Times New Roman"/>
          <w:lang w:val="en-CA"/>
        </w:rPr>
        <w:t>chronology of</w:t>
      </w:r>
      <w:r w:rsidR="005D13A0">
        <w:rPr>
          <w:rFonts w:cs="Times New Roman"/>
          <w:lang w:val="en-CA"/>
        </w:rPr>
        <w:t xml:space="preserve"> </w:t>
      </w:r>
      <w:r w:rsidR="000077C6" w:rsidRPr="006B5B91">
        <w:rPr>
          <w:rFonts w:cs="Times New Roman"/>
          <w:lang w:val="en-CA"/>
        </w:rPr>
        <w:t>Canadian recessions according to the ECRI.</w:t>
      </w:r>
      <w:r w:rsidR="007670B2" w:rsidRPr="006B5B91">
        <w:rPr>
          <w:rFonts w:cs="Times New Roman"/>
          <w:lang w:val="en-CA"/>
        </w:rPr>
        <w:t xml:space="preserve"> </w:t>
      </w:r>
      <w:r w:rsidR="00876FFE">
        <w:rPr>
          <w:rFonts w:cs="Times New Roman"/>
          <w:lang w:val="en-CA"/>
        </w:rPr>
        <w:t xml:space="preserve">The </w:t>
      </w:r>
      <w:r w:rsidR="007670B2" w:rsidRPr="006B5B91">
        <w:rPr>
          <w:rFonts w:cs="Times New Roman"/>
          <w:lang w:val="en-CA"/>
        </w:rPr>
        <w:t>ECRI</w:t>
      </w:r>
      <w:r w:rsidR="00876FFE">
        <w:rPr>
          <w:rFonts w:cs="Times New Roman"/>
          <w:lang w:val="en-CA"/>
        </w:rPr>
        <w:t xml:space="preserve"> </w:t>
      </w:r>
      <w:r w:rsidR="007670B2" w:rsidRPr="006B5B91">
        <w:rPr>
          <w:rFonts w:cs="Times New Roman"/>
          <w:lang w:val="en-CA"/>
        </w:rPr>
        <w:t xml:space="preserve">recession dates </w:t>
      </w:r>
      <w:r w:rsidR="00A63107">
        <w:rPr>
          <w:rFonts w:cs="Times New Roman"/>
          <w:lang w:val="en-CA"/>
        </w:rPr>
        <w:t xml:space="preserve">are also incorporated </w:t>
      </w:r>
      <w:r w:rsidR="007670B2" w:rsidRPr="006B5B91">
        <w:rPr>
          <w:rFonts w:cs="Times New Roman"/>
          <w:lang w:val="en-CA"/>
        </w:rPr>
        <w:t xml:space="preserve">into </w:t>
      </w:r>
      <w:r w:rsidR="007670B2" w:rsidRPr="006B5B91">
        <w:rPr>
          <w:rFonts w:cs="Times New Roman"/>
          <w:lang w:val="en-CA"/>
        </w:rPr>
        <w:lastRenderedPageBreak/>
        <w:t>th</w:t>
      </w:r>
      <w:r w:rsidR="006443D3">
        <w:rPr>
          <w:rFonts w:cs="Times New Roman"/>
          <w:lang w:val="en-CA"/>
        </w:rPr>
        <w:t xml:space="preserve">e analysis of this </w:t>
      </w:r>
      <w:r w:rsidR="00A63107">
        <w:rPr>
          <w:rFonts w:cs="Times New Roman"/>
          <w:lang w:val="en-CA"/>
        </w:rPr>
        <w:t>pape</w:t>
      </w:r>
      <w:r w:rsidR="006443D3">
        <w:rPr>
          <w:rFonts w:cs="Times New Roman"/>
          <w:lang w:val="en-CA"/>
        </w:rPr>
        <w:t>r</w:t>
      </w:r>
      <w:r w:rsidR="007670B2" w:rsidRPr="006B5B91">
        <w:rPr>
          <w:rFonts w:cs="Times New Roman"/>
          <w:lang w:val="en-CA"/>
        </w:rPr>
        <w:t xml:space="preserve"> for comparison. However, similar to the </w:t>
      </w:r>
      <w:r w:rsidR="000C07F3">
        <w:rPr>
          <w:rFonts w:cs="Times New Roman"/>
          <w:lang w:val="en-CA"/>
        </w:rPr>
        <w:t>C.D.</w:t>
      </w:r>
      <w:r w:rsidR="007670B2" w:rsidRPr="006B5B91">
        <w:rPr>
          <w:rFonts w:cs="Times New Roman"/>
          <w:lang w:val="en-CA"/>
        </w:rPr>
        <w:t xml:space="preserve"> Howe Institute’s recession dates for Canada, the ECRI’s definition </w:t>
      </w:r>
      <w:r w:rsidR="00E026D5">
        <w:rPr>
          <w:rFonts w:cs="Times New Roman"/>
          <w:lang w:val="en-CA"/>
        </w:rPr>
        <w:t xml:space="preserve">provides </w:t>
      </w:r>
      <w:r w:rsidR="007670B2" w:rsidRPr="006B5B91">
        <w:rPr>
          <w:rFonts w:cs="Times New Roman"/>
          <w:lang w:val="en-CA"/>
        </w:rPr>
        <w:t>only t</w:t>
      </w:r>
      <w:r w:rsidR="00D866B6" w:rsidRPr="006B5B91">
        <w:rPr>
          <w:rFonts w:cs="Times New Roman"/>
          <w:lang w:val="en-CA"/>
        </w:rPr>
        <w:t>wo recessions for our analysis.</w:t>
      </w:r>
    </w:p>
    <w:p w14:paraId="48AF7146" w14:textId="77777777" w:rsidR="00DE2CF5" w:rsidRPr="006B5B91" w:rsidRDefault="00DE2CF5" w:rsidP="00FD0B8D">
      <w:pPr>
        <w:spacing w:line="480" w:lineRule="auto"/>
        <w:ind w:firstLine="720"/>
        <w:rPr>
          <w:rFonts w:cs="Times New Roman"/>
          <w:lang w:val="en-CA"/>
        </w:rPr>
      </w:pPr>
    </w:p>
    <w:tbl>
      <w:tblPr>
        <w:tblW w:w="9356" w:type="dxa"/>
        <w:tblLook w:val="04A0" w:firstRow="1" w:lastRow="0" w:firstColumn="1" w:lastColumn="0" w:noHBand="0" w:noVBand="1"/>
      </w:tblPr>
      <w:tblGrid>
        <w:gridCol w:w="2977"/>
        <w:gridCol w:w="1843"/>
        <w:gridCol w:w="4536"/>
      </w:tblGrid>
      <w:tr w:rsidR="00A6326F" w:rsidRPr="006B5B91" w14:paraId="422E656A" w14:textId="77777777" w:rsidTr="00EB1B3C">
        <w:trPr>
          <w:trHeight w:val="315"/>
        </w:trPr>
        <w:tc>
          <w:tcPr>
            <w:tcW w:w="9356" w:type="dxa"/>
            <w:gridSpan w:val="3"/>
            <w:tcBorders>
              <w:top w:val="nil"/>
              <w:left w:val="nil"/>
              <w:bottom w:val="double" w:sz="6" w:space="0" w:color="auto"/>
              <w:right w:val="nil"/>
            </w:tcBorders>
            <w:shd w:val="clear" w:color="auto" w:fill="auto"/>
            <w:noWrap/>
            <w:vAlign w:val="center"/>
            <w:hideMark/>
          </w:tcPr>
          <w:p w14:paraId="5DA47BF4" w14:textId="3494B9F9" w:rsidR="00DA5E82" w:rsidRDefault="00DA5E82" w:rsidP="00AD1ECB">
            <w:bookmarkStart w:id="25" w:name="_Toc37261609"/>
            <w:r>
              <w:t xml:space="preserve">Table </w:t>
            </w:r>
            <w:r w:rsidR="009C4B5A">
              <w:fldChar w:fldCharType="begin"/>
            </w:r>
            <w:r w:rsidR="009C4B5A">
              <w:instrText xml:space="preserve"> SEQ Table \* ARABIC </w:instrText>
            </w:r>
            <w:r w:rsidR="009C4B5A">
              <w:fldChar w:fldCharType="separate"/>
            </w:r>
            <w:r w:rsidR="00AC0696">
              <w:rPr>
                <w:noProof/>
              </w:rPr>
              <w:t>3</w:t>
            </w:r>
            <w:bookmarkEnd w:id="25"/>
            <w:r w:rsidR="009C4B5A">
              <w:rPr>
                <w:noProof/>
              </w:rPr>
              <w:fldChar w:fldCharType="end"/>
            </w:r>
          </w:p>
          <w:p w14:paraId="0DE26AF8" w14:textId="3F4D97E4" w:rsidR="00A6326F" w:rsidRPr="006B5B91" w:rsidRDefault="00A6326F" w:rsidP="00E33F59">
            <w:pPr>
              <w:spacing w:line="276" w:lineRule="auto"/>
              <w:rPr>
                <w:rFonts w:eastAsia="Times New Roman" w:cs="Times New Roman"/>
                <w:i/>
                <w:iCs/>
                <w:color w:val="000000"/>
                <w:lang w:val="en-CA" w:eastAsia="en-CA"/>
              </w:rPr>
            </w:pPr>
            <w:r w:rsidRPr="006B5B91">
              <w:rPr>
                <w:rFonts w:eastAsia="Times New Roman" w:cs="Times New Roman"/>
                <w:i/>
                <w:iCs/>
                <w:color w:val="000000"/>
                <w:lang w:val="en-CA" w:eastAsia="en-CA"/>
              </w:rPr>
              <w:t>ECRI Chronology of Canadian Recessions</w:t>
            </w:r>
          </w:p>
        </w:tc>
      </w:tr>
      <w:tr w:rsidR="00A6326F" w:rsidRPr="006B5B91" w14:paraId="40E5B1AD" w14:textId="77777777" w:rsidTr="00AD1ECB">
        <w:trPr>
          <w:trHeight w:val="315"/>
        </w:trPr>
        <w:tc>
          <w:tcPr>
            <w:tcW w:w="2977" w:type="dxa"/>
            <w:tcBorders>
              <w:top w:val="nil"/>
              <w:left w:val="nil"/>
              <w:right w:val="nil"/>
            </w:tcBorders>
            <w:shd w:val="clear" w:color="auto" w:fill="auto"/>
            <w:noWrap/>
            <w:vAlign w:val="center"/>
            <w:hideMark/>
          </w:tcPr>
          <w:p w14:paraId="08F56BA1" w14:textId="77777777" w:rsidR="00A6326F" w:rsidRPr="006B5B91" w:rsidRDefault="00A6326F" w:rsidP="00E33F59">
            <w:pPr>
              <w:spacing w:line="276" w:lineRule="auto"/>
              <w:rPr>
                <w:rFonts w:eastAsia="Times New Roman" w:cs="Times New Roman"/>
                <w:color w:val="000000"/>
                <w:lang w:val="en-CA" w:eastAsia="en-CA"/>
              </w:rPr>
            </w:pPr>
          </w:p>
        </w:tc>
        <w:tc>
          <w:tcPr>
            <w:tcW w:w="1843" w:type="dxa"/>
            <w:tcBorders>
              <w:top w:val="nil"/>
              <w:left w:val="nil"/>
              <w:right w:val="nil"/>
            </w:tcBorders>
            <w:shd w:val="clear" w:color="auto" w:fill="auto"/>
            <w:noWrap/>
            <w:vAlign w:val="center"/>
            <w:hideMark/>
          </w:tcPr>
          <w:p w14:paraId="4A2EA3FA" w14:textId="77777777" w:rsidR="00A6326F" w:rsidRPr="006B5B91" w:rsidRDefault="00A6326F" w:rsidP="00E33F59">
            <w:pPr>
              <w:spacing w:line="276" w:lineRule="auto"/>
              <w:rPr>
                <w:rFonts w:eastAsia="Times New Roman" w:cs="Times New Roman"/>
                <w:sz w:val="20"/>
                <w:szCs w:val="20"/>
                <w:lang w:val="en-CA" w:eastAsia="en-CA"/>
              </w:rPr>
            </w:pPr>
          </w:p>
        </w:tc>
        <w:tc>
          <w:tcPr>
            <w:tcW w:w="4536" w:type="dxa"/>
            <w:tcBorders>
              <w:top w:val="nil"/>
              <w:left w:val="nil"/>
              <w:right w:val="nil"/>
            </w:tcBorders>
            <w:shd w:val="clear" w:color="auto" w:fill="auto"/>
            <w:noWrap/>
            <w:vAlign w:val="center"/>
            <w:hideMark/>
          </w:tcPr>
          <w:p w14:paraId="7A559944" w14:textId="77777777" w:rsidR="00A6326F" w:rsidRPr="006B5B91" w:rsidRDefault="00A6326F" w:rsidP="00E33F59">
            <w:pPr>
              <w:spacing w:line="276" w:lineRule="auto"/>
              <w:rPr>
                <w:rFonts w:eastAsia="Times New Roman" w:cs="Times New Roman"/>
                <w:sz w:val="20"/>
                <w:szCs w:val="20"/>
                <w:lang w:val="en-CA" w:eastAsia="en-CA"/>
              </w:rPr>
            </w:pPr>
          </w:p>
        </w:tc>
      </w:tr>
      <w:tr w:rsidR="00A6326F" w:rsidRPr="006B5B91" w14:paraId="053463AF" w14:textId="77777777" w:rsidTr="00AD1ECB">
        <w:trPr>
          <w:trHeight w:val="300"/>
        </w:trPr>
        <w:tc>
          <w:tcPr>
            <w:tcW w:w="2977" w:type="dxa"/>
            <w:tcBorders>
              <w:top w:val="nil"/>
              <w:left w:val="nil"/>
              <w:bottom w:val="single" w:sz="4" w:space="0" w:color="auto"/>
              <w:right w:val="nil"/>
            </w:tcBorders>
            <w:shd w:val="clear" w:color="auto" w:fill="auto"/>
            <w:noWrap/>
            <w:vAlign w:val="center"/>
            <w:hideMark/>
          </w:tcPr>
          <w:p w14:paraId="46DE09F2"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 xml:space="preserve">Peak </w:t>
            </w:r>
          </w:p>
        </w:tc>
        <w:tc>
          <w:tcPr>
            <w:tcW w:w="1843" w:type="dxa"/>
            <w:tcBorders>
              <w:top w:val="nil"/>
              <w:left w:val="nil"/>
              <w:bottom w:val="single" w:sz="4" w:space="0" w:color="auto"/>
              <w:right w:val="nil"/>
            </w:tcBorders>
            <w:shd w:val="clear" w:color="auto" w:fill="auto"/>
            <w:noWrap/>
            <w:vAlign w:val="center"/>
            <w:hideMark/>
          </w:tcPr>
          <w:p w14:paraId="4F30696C"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Trough</w:t>
            </w:r>
          </w:p>
        </w:tc>
        <w:tc>
          <w:tcPr>
            <w:tcW w:w="4536" w:type="dxa"/>
            <w:tcBorders>
              <w:top w:val="nil"/>
              <w:left w:val="nil"/>
              <w:bottom w:val="single" w:sz="4" w:space="0" w:color="auto"/>
              <w:right w:val="nil"/>
            </w:tcBorders>
            <w:shd w:val="clear" w:color="auto" w:fill="auto"/>
            <w:noWrap/>
            <w:vAlign w:val="center"/>
            <w:hideMark/>
          </w:tcPr>
          <w:p w14:paraId="0F492C47"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Duration (months)</w:t>
            </w:r>
          </w:p>
        </w:tc>
      </w:tr>
      <w:tr w:rsidR="00A6326F" w:rsidRPr="006B5B91" w14:paraId="1C454AD8" w14:textId="77777777" w:rsidTr="00AD1ECB">
        <w:trPr>
          <w:trHeight w:val="300"/>
        </w:trPr>
        <w:tc>
          <w:tcPr>
            <w:tcW w:w="2977" w:type="dxa"/>
            <w:tcBorders>
              <w:top w:val="single" w:sz="4" w:space="0" w:color="auto"/>
              <w:left w:val="nil"/>
              <w:bottom w:val="nil"/>
              <w:right w:val="nil"/>
            </w:tcBorders>
            <w:shd w:val="clear" w:color="auto" w:fill="auto"/>
            <w:noWrap/>
            <w:vAlign w:val="center"/>
            <w:hideMark/>
          </w:tcPr>
          <w:p w14:paraId="45E0D36A" w14:textId="516E3BA4"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1953</w:t>
            </w:r>
          </w:p>
        </w:tc>
        <w:tc>
          <w:tcPr>
            <w:tcW w:w="1843" w:type="dxa"/>
            <w:tcBorders>
              <w:top w:val="single" w:sz="4" w:space="0" w:color="auto"/>
              <w:left w:val="nil"/>
              <w:bottom w:val="nil"/>
              <w:right w:val="nil"/>
            </w:tcBorders>
            <w:shd w:val="clear" w:color="auto" w:fill="auto"/>
            <w:noWrap/>
            <w:vAlign w:val="center"/>
            <w:hideMark/>
          </w:tcPr>
          <w:p w14:paraId="5D1B751A"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June 1954</w:t>
            </w:r>
          </w:p>
        </w:tc>
        <w:tc>
          <w:tcPr>
            <w:tcW w:w="4536" w:type="dxa"/>
            <w:tcBorders>
              <w:top w:val="single" w:sz="4" w:space="0" w:color="auto"/>
              <w:left w:val="nil"/>
              <w:bottom w:val="nil"/>
              <w:right w:val="nil"/>
            </w:tcBorders>
            <w:shd w:val="clear" w:color="auto" w:fill="auto"/>
            <w:noWrap/>
            <w:vAlign w:val="center"/>
            <w:hideMark/>
          </w:tcPr>
          <w:p w14:paraId="0168605C"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12</w:t>
            </w:r>
          </w:p>
        </w:tc>
      </w:tr>
      <w:tr w:rsidR="00A6326F" w:rsidRPr="006B5B91" w14:paraId="1EE36ECD" w14:textId="77777777" w:rsidTr="00AD1ECB">
        <w:trPr>
          <w:trHeight w:val="300"/>
        </w:trPr>
        <w:tc>
          <w:tcPr>
            <w:tcW w:w="2977" w:type="dxa"/>
            <w:tcBorders>
              <w:top w:val="nil"/>
              <w:left w:val="nil"/>
              <w:bottom w:val="nil"/>
              <w:right w:val="nil"/>
            </w:tcBorders>
            <w:shd w:val="clear" w:color="auto" w:fill="auto"/>
            <w:noWrap/>
            <w:vAlign w:val="center"/>
            <w:hideMark/>
          </w:tcPr>
          <w:p w14:paraId="2954F466"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1956</w:t>
            </w:r>
          </w:p>
        </w:tc>
        <w:tc>
          <w:tcPr>
            <w:tcW w:w="1843" w:type="dxa"/>
            <w:tcBorders>
              <w:top w:val="nil"/>
              <w:left w:val="nil"/>
              <w:bottom w:val="nil"/>
              <w:right w:val="nil"/>
            </w:tcBorders>
            <w:shd w:val="clear" w:color="auto" w:fill="auto"/>
            <w:noWrap/>
            <w:vAlign w:val="center"/>
            <w:hideMark/>
          </w:tcPr>
          <w:p w14:paraId="3B30A750"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1958</w:t>
            </w:r>
          </w:p>
        </w:tc>
        <w:tc>
          <w:tcPr>
            <w:tcW w:w="4536" w:type="dxa"/>
            <w:tcBorders>
              <w:top w:val="nil"/>
              <w:left w:val="nil"/>
              <w:bottom w:val="nil"/>
              <w:right w:val="nil"/>
            </w:tcBorders>
            <w:shd w:val="clear" w:color="auto" w:fill="auto"/>
            <w:noWrap/>
            <w:vAlign w:val="center"/>
            <w:hideMark/>
          </w:tcPr>
          <w:p w14:paraId="548F7760"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15</w:t>
            </w:r>
          </w:p>
        </w:tc>
      </w:tr>
      <w:tr w:rsidR="00A6326F" w:rsidRPr="006B5B91" w14:paraId="42CF8F31" w14:textId="77777777" w:rsidTr="00AD1ECB">
        <w:trPr>
          <w:trHeight w:val="300"/>
        </w:trPr>
        <w:tc>
          <w:tcPr>
            <w:tcW w:w="2977" w:type="dxa"/>
            <w:tcBorders>
              <w:top w:val="nil"/>
              <w:left w:val="nil"/>
              <w:bottom w:val="nil"/>
              <w:right w:val="nil"/>
            </w:tcBorders>
            <w:shd w:val="clear" w:color="auto" w:fill="auto"/>
            <w:noWrap/>
            <w:vAlign w:val="center"/>
            <w:hideMark/>
          </w:tcPr>
          <w:p w14:paraId="161E688C"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May 1981</w:t>
            </w:r>
          </w:p>
        </w:tc>
        <w:tc>
          <w:tcPr>
            <w:tcW w:w="1843" w:type="dxa"/>
            <w:tcBorders>
              <w:top w:val="nil"/>
              <w:left w:val="nil"/>
              <w:bottom w:val="nil"/>
              <w:right w:val="nil"/>
            </w:tcBorders>
            <w:shd w:val="clear" w:color="auto" w:fill="auto"/>
            <w:noWrap/>
            <w:vAlign w:val="center"/>
            <w:hideMark/>
          </w:tcPr>
          <w:p w14:paraId="279D6D92"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November 1982</w:t>
            </w:r>
          </w:p>
        </w:tc>
        <w:tc>
          <w:tcPr>
            <w:tcW w:w="4536" w:type="dxa"/>
            <w:tcBorders>
              <w:top w:val="nil"/>
              <w:left w:val="nil"/>
              <w:bottom w:val="nil"/>
              <w:right w:val="nil"/>
            </w:tcBorders>
            <w:shd w:val="clear" w:color="auto" w:fill="auto"/>
            <w:noWrap/>
            <w:vAlign w:val="center"/>
            <w:hideMark/>
          </w:tcPr>
          <w:p w14:paraId="5D81420B"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18</w:t>
            </w:r>
          </w:p>
        </w:tc>
      </w:tr>
      <w:tr w:rsidR="00A6326F" w:rsidRPr="006B5B91" w14:paraId="3C8BA493" w14:textId="77777777" w:rsidTr="00AD1ECB">
        <w:trPr>
          <w:trHeight w:val="300"/>
        </w:trPr>
        <w:tc>
          <w:tcPr>
            <w:tcW w:w="2977" w:type="dxa"/>
            <w:tcBorders>
              <w:top w:val="nil"/>
              <w:left w:val="nil"/>
              <w:bottom w:val="nil"/>
              <w:right w:val="nil"/>
            </w:tcBorders>
            <w:shd w:val="clear" w:color="auto" w:fill="auto"/>
            <w:noWrap/>
            <w:vAlign w:val="center"/>
            <w:hideMark/>
          </w:tcPr>
          <w:p w14:paraId="2FB5138F"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April 1990</w:t>
            </w:r>
          </w:p>
        </w:tc>
        <w:tc>
          <w:tcPr>
            <w:tcW w:w="1843" w:type="dxa"/>
            <w:tcBorders>
              <w:top w:val="nil"/>
              <w:left w:val="nil"/>
              <w:bottom w:val="nil"/>
              <w:right w:val="nil"/>
            </w:tcBorders>
            <w:shd w:val="clear" w:color="auto" w:fill="auto"/>
            <w:noWrap/>
            <w:vAlign w:val="center"/>
            <w:hideMark/>
          </w:tcPr>
          <w:p w14:paraId="50BC16BC"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March 1992</w:t>
            </w:r>
          </w:p>
        </w:tc>
        <w:tc>
          <w:tcPr>
            <w:tcW w:w="4536" w:type="dxa"/>
            <w:tcBorders>
              <w:top w:val="nil"/>
              <w:left w:val="nil"/>
              <w:bottom w:val="nil"/>
              <w:right w:val="nil"/>
            </w:tcBorders>
            <w:shd w:val="clear" w:color="auto" w:fill="auto"/>
            <w:noWrap/>
            <w:vAlign w:val="center"/>
            <w:hideMark/>
          </w:tcPr>
          <w:p w14:paraId="5AC11691"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23</w:t>
            </w:r>
          </w:p>
        </w:tc>
      </w:tr>
      <w:tr w:rsidR="00A6326F" w:rsidRPr="006B5B91" w14:paraId="6624C864" w14:textId="77777777" w:rsidTr="00AD1ECB">
        <w:trPr>
          <w:trHeight w:val="315"/>
        </w:trPr>
        <w:tc>
          <w:tcPr>
            <w:tcW w:w="2977" w:type="dxa"/>
            <w:tcBorders>
              <w:top w:val="nil"/>
              <w:left w:val="nil"/>
              <w:bottom w:val="nil"/>
              <w:right w:val="nil"/>
            </w:tcBorders>
            <w:shd w:val="clear" w:color="auto" w:fill="auto"/>
            <w:noWrap/>
            <w:vAlign w:val="center"/>
            <w:hideMark/>
          </w:tcPr>
          <w:p w14:paraId="54356475"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February 2008</w:t>
            </w:r>
          </w:p>
        </w:tc>
        <w:tc>
          <w:tcPr>
            <w:tcW w:w="1843" w:type="dxa"/>
            <w:tcBorders>
              <w:top w:val="nil"/>
              <w:left w:val="nil"/>
              <w:bottom w:val="nil"/>
              <w:right w:val="nil"/>
            </w:tcBorders>
            <w:shd w:val="clear" w:color="auto" w:fill="auto"/>
            <w:noWrap/>
            <w:vAlign w:val="center"/>
            <w:hideMark/>
          </w:tcPr>
          <w:p w14:paraId="1F5BBA2B" w14:textId="7777777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July 2009</w:t>
            </w:r>
          </w:p>
        </w:tc>
        <w:tc>
          <w:tcPr>
            <w:tcW w:w="4536" w:type="dxa"/>
            <w:tcBorders>
              <w:top w:val="nil"/>
              <w:left w:val="nil"/>
              <w:bottom w:val="nil"/>
              <w:right w:val="nil"/>
            </w:tcBorders>
            <w:shd w:val="clear" w:color="auto" w:fill="auto"/>
            <w:noWrap/>
            <w:vAlign w:val="center"/>
            <w:hideMark/>
          </w:tcPr>
          <w:p w14:paraId="1D01B90C" w14:textId="77777777" w:rsidR="00A6326F" w:rsidRPr="006B5B91" w:rsidRDefault="00A6326F" w:rsidP="00E33F59">
            <w:pPr>
              <w:spacing w:line="276" w:lineRule="auto"/>
              <w:jc w:val="center"/>
              <w:rPr>
                <w:rFonts w:eastAsia="Times New Roman" w:cs="Times New Roman"/>
                <w:color w:val="000000"/>
                <w:lang w:val="en-CA" w:eastAsia="en-CA"/>
              </w:rPr>
            </w:pPr>
            <w:r w:rsidRPr="006B5B91">
              <w:rPr>
                <w:rFonts w:eastAsia="Times New Roman" w:cs="Times New Roman"/>
                <w:color w:val="000000"/>
                <w:lang w:val="en-CA" w:eastAsia="en-CA"/>
              </w:rPr>
              <w:t>17</w:t>
            </w:r>
          </w:p>
        </w:tc>
      </w:tr>
      <w:tr w:rsidR="00A6326F" w:rsidRPr="006B5B91" w14:paraId="299C7C5D" w14:textId="77777777" w:rsidTr="00EB1B3C">
        <w:trPr>
          <w:trHeight w:val="315"/>
        </w:trPr>
        <w:tc>
          <w:tcPr>
            <w:tcW w:w="9356" w:type="dxa"/>
            <w:gridSpan w:val="3"/>
            <w:tcBorders>
              <w:top w:val="double" w:sz="6" w:space="0" w:color="auto"/>
              <w:left w:val="nil"/>
              <w:bottom w:val="nil"/>
              <w:right w:val="nil"/>
            </w:tcBorders>
            <w:shd w:val="clear" w:color="auto" w:fill="auto"/>
            <w:noWrap/>
            <w:vAlign w:val="center"/>
            <w:hideMark/>
          </w:tcPr>
          <w:p w14:paraId="2C2885A9" w14:textId="0BAB07F7" w:rsidR="00A6326F" w:rsidRPr="006B5B91" w:rsidRDefault="00A6326F" w:rsidP="00E33F59">
            <w:pPr>
              <w:spacing w:line="276" w:lineRule="auto"/>
              <w:rPr>
                <w:rFonts w:eastAsia="Times New Roman" w:cs="Times New Roman"/>
                <w:color w:val="000000"/>
                <w:lang w:val="en-CA" w:eastAsia="en-CA"/>
              </w:rPr>
            </w:pPr>
            <w:r w:rsidRPr="006B5B91">
              <w:rPr>
                <w:rFonts w:eastAsia="Times New Roman" w:cs="Times New Roman"/>
                <w:color w:val="000000"/>
                <w:lang w:val="en-CA" w:eastAsia="en-CA"/>
              </w:rPr>
              <w:t xml:space="preserve">*Source: </w:t>
            </w:r>
            <w:bookmarkStart w:id="26" w:name="_Hlk36636778"/>
            <w:r w:rsidRPr="006B5B91">
              <w:rPr>
                <w:rFonts w:eastAsia="Times New Roman" w:cs="Times New Roman"/>
                <w:color w:val="000000"/>
                <w:lang w:val="en-CA" w:eastAsia="en-CA"/>
              </w:rPr>
              <w:t>ECRI (2020)</w:t>
            </w:r>
            <w:r w:rsidR="00CD1D46">
              <w:rPr>
                <w:rFonts w:eastAsia="Times New Roman" w:cs="Times New Roman"/>
                <w:color w:val="000000"/>
                <w:lang w:val="en-CA" w:eastAsia="en-CA"/>
              </w:rPr>
              <w:t>.</w:t>
            </w:r>
            <w:bookmarkEnd w:id="26"/>
          </w:p>
        </w:tc>
      </w:tr>
      <w:tr w:rsidR="00A6326F" w:rsidRPr="006B5B91" w14:paraId="6FAC7974" w14:textId="77777777" w:rsidTr="00AD1ECB">
        <w:trPr>
          <w:trHeight w:val="300"/>
        </w:trPr>
        <w:tc>
          <w:tcPr>
            <w:tcW w:w="2977" w:type="dxa"/>
            <w:tcBorders>
              <w:top w:val="nil"/>
              <w:left w:val="nil"/>
              <w:bottom w:val="nil"/>
              <w:right w:val="nil"/>
            </w:tcBorders>
            <w:shd w:val="clear" w:color="auto" w:fill="auto"/>
            <w:noWrap/>
            <w:vAlign w:val="bottom"/>
            <w:hideMark/>
          </w:tcPr>
          <w:p w14:paraId="735BB8B3" w14:textId="77777777" w:rsidR="00A6326F" w:rsidRPr="006B5B91" w:rsidRDefault="00A6326F" w:rsidP="00E33F59">
            <w:pPr>
              <w:spacing w:line="276" w:lineRule="auto"/>
              <w:rPr>
                <w:rFonts w:eastAsia="Times New Roman" w:cs="Times New Roman"/>
                <w:color w:val="000000"/>
                <w:lang w:val="en-CA" w:eastAsia="en-CA"/>
              </w:rPr>
            </w:pPr>
          </w:p>
        </w:tc>
        <w:tc>
          <w:tcPr>
            <w:tcW w:w="1843" w:type="dxa"/>
            <w:tcBorders>
              <w:top w:val="nil"/>
              <w:left w:val="nil"/>
              <w:bottom w:val="nil"/>
              <w:right w:val="nil"/>
            </w:tcBorders>
            <w:shd w:val="clear" w:color="auto" w:fill="auto"/>
            <w:noWrap/>
            <w:vAlign w:val="bottom"/>
            <w:hideMark/>
          </w:tcPr>
          <w:p w14:paraId="20C99EB8" w14:textId="77777777" w:rsidR="00A6326F" w:rsidRPr="006B5B91" w:rsidRDefault="00A6326F" w:rsidP="00E33F59">
            <w:pPr>
              <w:spacing w:line="276" w:lineRule="auto"/>
              <w:rPr>
                <w:rFonts w:eastAsia="Times New Roman" w:cs="Times New Roman"/>
                <w:sz w:val="20"/>
                <w:szCs w:val="20"/>
                <w:lang w:val="en-CA" w:eastAsia="en-CA"/>
              </w:rPr>
            </w:pPr>
          </w:p>
        </w:tc>
        <w:tc>
          <w:tcPr>
            <w:tcW w:w="4536" w:type="dxa"/>
            <w:tcBorders>
              <w:top w:val="nil"/>
              <w:left w:val="nil"/>
              <w:bottom w:val="nil"/>
              <w:right w:val="nil"/>
            </w:tcBorders>
            <w:shd w:val="clear" w:color="auto" w:fill="auto"/>
            <w:noWrap/>
            <w:vAlign w:val="bottom"/>
            <w:hideMark/>
          </w:tcPr>
          <w:p w14:paraId="71DABDB3" w14:textId="77777777" w:rsidR="00A6326F" w:rsidRPr="006B5B91" w:rsidRDefault="00A6326F" w:rsidP="00E33F59">
            <w:pPr>
              <w:spacing w:line="276" w:lineRule="auto"/>
              <w:rPr>
                <w:rFonts w:eastAsia="Times New Roman" w:cs="Times New Roman"/>
                <w:sz w:val="20"/>
                <w:szCs w:val="20"/>
                <w:lang w:val="en-CA" w:eastAsia="en-CA"/>
              </w:rPr>
            </w:pPr>
          </w:p>
        </w:tc>
      </w:tr>
    </w:tbl>
    <w:p w14:paraId="71241430" w14:textId="77777777" w:rsidR="006148E9" w:rsidRPr="006B5B91" w:rsidRDefault="006148E9" w:rsidP="009F3C68">
      <w:pPr>
        <w:rPr>
          <w:rFonts w:cs="Times New Roman"/>
          <w:lang w:val="en-CA"/>
        </w:rPr>
      </w:pPr>
    </w:p>
    <w:p w14:paraId="6C4E0BAA" w14:textId="77777777" w:rsidR="00D866B6" w:rsidRPr="006B5B91" w:rsidRDefault="00D866B6" w:rsidP="008E42F6">
      <w:pPr>
        <w:pStyle w:val="Subtitle"/>
        <w:rPr>
          <w:rFonts w:ascii="Times New Roman" w:hAnsi="Times New Roman" w:cs="Times New Roman"/>
          <w:b/>
        </w:rPr>
      </w:pPr>
      <w:bookmarkStart w:id="27" w:name="_Toc32251670"/>
    </w:p>
    <w:p w14:paraId="09226688" w14:textId="75416E9B" w:rsidR="00402B90" w:rsidRPr="006B5B91" w:rsidRDefault="005E1A84" w:rsidP="009250E2">
      <w:pPr>
        <w:pStyle w:val="Heading1"/>
        <w:rPr>
          <w:rFonts w:cs="Times New Roman"/>
        </w:rPr>
      </w:pPr>
      <w:bookmarkStart w:id="28" w:name="_Toc37338053"/>
      <w:r>
        <w:rPr>
          <w:rFonts w:cs="Times New Roman"/>
        </w:rPr>
        <w:lastRenderedPageBreak/>
        <w:t>5</w:t>
      </w:r>
      <w:r w:rsidR="00CB44C9">
        <w:rPr>
          <w:rFonts w:cs="Times New Roman"/>
        </w:rPr>
        <w:t xml:space="preserve">.  </w:t>
      </w:r>
      <w:r w:rsidR="00A43633" w:rsidRPr="006B5B91">
        <w:rPr>
          <w:rFonts w:cs="Times New Roman"/>
        </w:rPr>
        <w:t xml:space="preserve">Empirical </w:t>
      </w:r>
      <w:r w:rsidR="00402B90" w:rsidRPr="006B5B91">
        <w:rPr>
          <w:rFonts w:cs="Times New Roman"/>
        </w:rPr>
        <w:t>Results</w:t>
      </w:r>
      <w:bookmarkEnd w:id="27"/>
      <w:bookmarkEnd w:id="28"/>
    </w:p>
    <w:p w14:paraId="39BB3246" w14:textId="429A08A6" w:rsidR="00CF7629" w:rsidRPr="006B5B91" w:rsidRDefault="005E1A84" w:rsidP="009250E2">
      <w:pPr>
        <w:pStyle w:val="Heading2"/>
        <w:rPr>
          <w:rFonts w:cs="Times New Roman"/>
        </w:rPr>
      </w:pPr>
      <w:bookmarkStart w:id="29" w:name="_Toc37338054"/>
      <w:r>
        <w:rPr>
          <w:rFonts w:cs="Times New Roman"/>
        </w:rPr>
        <w:t>5.1</w:t>
      </w:r>
      <w:r w:rsidR="00CB44C9">
        <w:rPr>
          <w:rFonts w:cs="Times New Roman"/>
        </w:rPr>
        <w:t xml:space="preserve">.  </w:t>
      </w:r>
      <w:r w:rsidR="00CF7629" w:rsidRPr="006B5B91">
        <w:rPr>
          <w:rFonts w:cs="Times New Roman"/>
        </w:rPr>
        <w:t>Recession Forecasting</w:t>
      </w:r>
      <w:bookmarkEnd w:id="29"/>
    </w:p>
    <w:p w14:paraId="0B1642CB" w14:textId="021CA66B" w:rsidR="00402B90" w:rsidRPr="006B5B91" w:rsidRDefault="00A43633" w:rsidP="001D730B">
      <w:pPr>
        <w:pStyle w:val="Subtitle"/>
        <w:spacing w:line="480" w:lineRule="auto"/>
        <w:ind w:firstLine="720"/>
        <w:rPr>
          <w:rFonts w:ascii="Times New Roman" w:hAnsi="Times New Roman" w:cs="Times New Roman"/>
        </w:rPr>
      </w:pPr>
      <w:r w:rsidRPr="006B5B91">
        <w:rPr>
          <w:rFonts w:ascii="Times New Roman" w:hAnsi="Times New Roman" w:cs="Times New Roman"/>
        </w:rPr>
        <w:t xml:space="preserve">Table </w:t>
      </w:r>
      <w:r w:rsidR="008E13AC">
        <w:rPr>
          <w:rFonts w:ascii="Times New Roman" w:hAnsi="Times New Roman" w:cs="Times New Roman"/>
        </w:rPr>
        <w:t>4</w:t>
      </w:r>
      <w:r w:rsidRPr="006B5B91">
        <w:rPr>
          <w:rFonts w:ascii="Times New Roman" w:hAnsi="Times New Roman" w:cs="Times New Roman"/>
        </w:rPr>
        <w:t xml:space="preserve"> </w:t>
      </w:r>
      <w:r w:rsidR="00465597" w:rsidRPr="006B5B91">
        <w:rPr>
          <w:rFonts w:ascii="Times New Roman" w:hAnsi="Times New Roman" w:cs="Times New Roman"/>
        </w:rPr>
        <w:t>shows the regression results of the probit model</w:t>
      </w:r>
      <w:r w:rsidR="008D084A" w:rsidRPr="006B5B91">
        <w:rPr>
          <w:rFonts w:ascii="Times New Roman" w:hAnsi="Times New Roman" w:cs="Times New Roman"/>
        </w:rPr>
        <w:t xml:space="preserve"> using </w:t>
      </w:r>
      <w:r w:rsidR="000C07F3">
        <w:rPr>
          <w:rFonts w:ascii="Times New Roman" w:hAnsi="Times New Roman" w:cs="Times New Roman"/>
        </w:rPr>
        <w:t>C.D.</w:t>
      </w:r>
      <w:r w:rsidR="008D084A" w:rsidRPr="006B5B91">
        <w:rPr>
          <w:rFonts w:ascii="Times New Roman" w:hAnsi="Times New Roman" w:cs="Times New Roman"/>
        </w:rPr>
        <w:t xml:space="preserve"> Howe Institute recession dates, for forecast horizons of 12</w:t>
      </w:r>
      <w:r w:rsidR="003F1A4D">
        <w:rPr>
          <w:rFonts w:ascii="Times New Roman" w:hAnsi="Times New Roman" w:cs="Times New Roman"/>
        </w:rPr>
        <w:t>-</w:t>
      </w:r>
      <w:r w:rsidR="008D084A" w:rsidRPr="006B5B91">
        <w:rPr>
          <w:rFonts w:ascii="Times New Roman" w:hAnsi="Times New Roman" w:cs="Times New Roman"/>
        </w:rPr>
        <w:t>months, 18</w:t>
      </w:r>
      <w:r w:rsidR="003F1A4D">
        <w:rPr>
          <w:rFonts w:ascii="Times New Roman" w:hAnsi="Times New Roman" w:cs="Times New Roman"/>
        </w:rPr>
        <w:t>-</w:t>
      </w:r>
      <w:r w:rsidR="006443D3">
        <w:rPr>
          <w:rFonts w:ascii="Times New Roman" w:hAnsi="Times New Roman" w:cs="Times New Roman"/>
        </w:rPr>
        <w:t>months</w:t>
      </w:r>
      <w:r w:rsidR="008D084A" w:rsidRPr="006B5B91">
        <w:rPr>
          <w:rFonts w:ascii="Times New Roman" w:hAnsi="Times New Roman" w:cs="Times New Roman"/>
        </w:rPr>
        <w:t>, and 2</w:t>
      </w:r>
      <w:r w:rsidR="00573C52">
        <w:rPr>
          <w:rFonts w:ascii="Times New Roman" w:hAnsi="Times New Roman" w:cs="Times New Roman"/>
        </w:rPr>
        <w:t>4</w:t>
      </w:r>
      <w:r w:rsidR="003F1A4D">
        <w:rPr>
          <w:rFonts w:ascii="Times New Roman" w:hAnsi="Times New Roman" w:cs="Times New Roman"/>
        </w:rPr>
        <w:t>-</w:t>
      </w:r>
      <w:r w:rsidR="008D084A" w:rsidRPr="006B5B91">
        <w:rPr>
          <w:rFonts w:ascii="Times New Roman" w:hAnsi="Times New Roman" w:cs="Times New Roman"/>
        </w:rPr>
        <w:t>months ahead</w:t>
      </w:r>
      <w:r w:rsidR="00465597" w:rsidRPr="006B5B91">
        <w:rPr>
          <w:rFonts w:ascii="Times New Roman" w:hAnsi="Times New Roman" w:cs="Times New Roman"/>
        </w:rPr>
        <w:t xml:space="preserve">. </w:t>
      </w:r>
      <w:r w:rsidR="00465597" w:rsidRPr="00475E29">
        <w:rPr>
          <w:rFonts w:ascii="Times New Roman" w:hAnsi="Times New Roman" w:cs="Times New Roman"/>
        </w:rPr>
        <w:t xml:space="preserve">The results of </w:t>
      </w:r>
      <w:r w:rsidR="008D084A" w:rsidRPr="00475E29">
        <w:rPr>
          <w:rFonts w:ascii="Times New Roman" w:hAnsi="Times New Roman" w:cs="Times New Roman"/>
        </w:rPr>
        <w:t>the</w:t>
      </w:r>
      <w:r w:rsidR="00465597" w:rsidRPr="00475E29">
        <w:rPr>
          <w:rFonts w:ascii="Times New Roman" w:hAnsi="Times New Roman" w:cs="Times New Roman"/>
        </w:rPr>
        <w:t xml:space="preserve"> empirical analysis show that </w:t>
      </w:r>
      <w:r w:rsidR="00ED1EA3" w:rsidRPr="00475E29">
        <w:rPr>
          <w:rFonts w:ascii="Times New Roman" w:hAnsi="Times New Roman" w:cs="Times New Roman"/>
        </w:rPr>
        <w:t>the near-term forward spread dominates both the long-term</w:t>
      </w:r>
      <w:r w:rsidR="00157C28" w:rsidRPr="00475E29">
        <w:rPr>
          <w:rFonts w:ascii="Times New Roman" w:hAnsi="Times New Roman" w:cs="Times New Roman"/>
        </w:rPr>
        <w:t xml:space="preserve"> yield</w:t>
      </w:r>
      <w:r w:rsidR="00ED1EA3" w:rsidRPr="00475E29">
        <w:rPr>
          <w:rFonts w:ascii="Times New Roman" w:hAnsi="Times New Roman" w:cs="Times New Roman"/>
        </w:rPr>
        <w:t xml:space="preserve"> spreads for all three forecast horizons.</w:t>
      </w:r>
      <w:r w:rsidR="002116FF" w:rsidRPr="00475E29">
        <w:rPr>
          <w:rFonts w:ascii="Times New Roman" w:hAnsi="Times New Roman" w:cs="Times New Roman"/>
        </w:rPr>
        <w:t xml:space="preserve"> A</w:t>
      </w:r>
      <w:r w:rsidR="00465597" w:rsidRPr="00475E29">
        <w:rPr>
          <w:rFonts w:ascii="Times New Roman" w:hAnsi="Times New Roman" w:cs="Times New Roman"/>
        </w:rPr>
        <w:t xml:space="preserve"> one</w:t>
      </w:r>
      <w:r w:rsidR="00940DAD" w:rsidRPr="00475E29">
        <w:rPr>
          <w:rFonts w:ascii="Times New Roman" w:hAnsi="Times New Roman" w:cs="Times New Roman"/>
        </w:rPr>
        <w:t>-</w:t>
      </w:r>
      <w:r w:rsidR="00465597" w:rsidRPr="00475E29">
        <w:rPr>
          <w:rFonts w:ascii="Times New Roman" w:hAnsi="Times New Roman" w:cs="Times New Roman"/>
        </w:rPr>
        <w:t>standard</w:t>
      </w:r>
      <w:r w:rsidR="00940DAD" w:rsidRPr="00475E29">
        <w:rPr>
          <w:rFonts w:ascii="Times New Roman" w:hAnsi="Times New Roman" w:cs="Times New Roman"/>
        </w:rPr>
        <w:t>-</w:t>
      </w:r>
      <w:r w:rsidR="00972EDD" w:rsidRPr="00475E29">
        <w:rPr>
          <w:rFonts w:ascii="Times New Roman" w:hAnsi="Times New Roman" w:cs="Times New Roman"/>
        </w:rPr>
        <w:t>deviation decrease in the near-</w:t>
      </w:r>
      <w:r w:rsidR="00465597" w:rsidRPr="00475E29">
        <w:rPr>
          <w:rFonts w:ascii="Times New Roman" w:hAnsi="Times New Roman" w:cs="Times New Roman"/>
        </w:rPr>
        <w:t xml:space="preserve">term forward spread </w:t>
      </w:r>
      <w:r w:rsidR="00203425" w:rsidRPr="00475E29">
        <w:rPr>
          <w:rFonts w:ascii="Times New Roman" w:hAnsi="Times New Roman" w:cs="Times New Roman"/>
        </w:rPr>
        <w:t xml:space="preserve">increases </w:t>
      </w:r>
      <w:r w:rsidR="00465597" w:rsidRPr="00475E29">
        <w:rPr>
          <w:rFonts w:ascii="Times New Roman" w:hAnsi="Times New Roman" w:cs="Times New Roman"/>
        </w:rPr>
        <w:t xml:space="preserve">the probability of a recession in Canada </w:t>
      </w:r>
      <w:r w:rsidR="00ED1EA3" w:rsidRPr="00475E29">
        <w:rPr>
          <w:rFonts w:ascii="Times New Roman" w:hAnsi="Times New Roman" w:cs="Times New Roman"/>
        </w:rPr>
        <w:t>within 12</w:t>
      </w:r>
      <w:r w:rsidR="00B81273">
        <w:rPr>
          <w:rFonts w:ascii="Times New Roman" w:hAnsi="Times New Roman" w:cs="Times New Roman"/>
        </w:rPr>
        <w:t xml:space="preserve"> </w:t>
      </w:r>
      <w:r w:rsidR="00ED1EA3" w:rsidRPr="00475E29">
        <w:rPr>
          <w:rFonts w:ascii="Times New Roman" w:hAnsi="Times New Roman" w:cs="Times New Roman"/>
        </w:rPr>
        <w:t>months</w:t>
      </w:r>
      <w:r w:rsidR="00B81273">
        <w:rPr>
          <w:rFonts w:ascii="Times New Roman" w:hAnsi="Times New Roman" w:cs="Times New Roman"/>
        </w:rPr>
        <w:t>, 18 months, and 24 months</w:t>
      </w:r>
      <w:r w:rsidR="00157C28" w:rsidRPr="00475E29">
        <w:rPr>
          <w:rFonts w:ascii="Times New Roman" w:hAnsi="Times New Roman" w:cs="Times New Roman"/>
        </w:rPr>
        <w:t xml:space="preserve"> by 5.77 percentage points (pp)</w:t>
      </w:r>
      <w:r w:rsidR="001D730B" w:rsidRPr="00475E29">
        <w:rPr>
          <w:rFonts w:ascii="Times New Roman" w:hAnsi="Times New Roman" w:cs="Times New Roman"/>
        </w:rPr>
        <w:t>,</w:t>
      </w:r>
      <w:r w:rsidR="00157C28" w:rsidRPr="00475E29">
        <w:rPr>
          <w:rFonts w:ascii="Times New Roman" w:hAnsi="Times New Roman" w:cs="Times New Roman"/>
        </w:rPr>
        <w:t xml:space="preserve"> 9.66 pp</w:t>
      </w:r>
      <w:r w:rsidR="001D730B" w:rsidRPr="00475E29">
        <w:rPr>
          <w:rFonts w:ascii="Times New Roman" w:hAnsi="Times New Roman" w:cs="Times New Roman"/>
        </w:rPr>
        <w:t xml:space="preserve">, </w:t>
      </w:r>
      <w:r w:rsidR="00B730C3">
        <w:rPr>
          <w:rFonts w:ascii="Times New Roman" w:hAnsi="Times New Roman" w:cs="Times New Roman"/>
        </w:rPr>
        <w:t xml:space="preserve">and </w:t>
      </w:r>
      <w:r w:rsidR="00157C28" w:rsidRPr="00475E29">
        <w:rPr>
          <w:rFonts w:ascii="Times New Roman" w:hAnsi="Times New Roman" w:cs="Times New Roman"/>
        </w:rPr>
        <w:t>14.3</w:t>
      </w:r>
      <w:r w:rsidR="00B730C3">
        <w:rPr>
          <w:rFonts w:ascii="Times New Roman" w:hAnsi="Times New Roman" w:cs="Times New Roman"/>
        </w:rPr>
        <w:t>0</w:t>
      </w:r>
      <w:r w:rsidR="00157C28" w:rsidRPr="00475E29">
        <w:rPr>
          <w:rFonts w:ascii="Times New Roman" w:hAnsi="Times New Roman" w:cs="Times New Roman"/>
        </w:rPr>
        <w:t xml:space="preserve"> pp</w:t>
      </w:r>
      <w:r w:rsidR="00B81273">
        <w:rPr>
          <w:rFonts w:ascii="Times New Roman" w:hAnsi="Times New Roman" w:cs="Times New Roman"/>
        </w:rPr>
        <w:t>, respectively</w:t>
      </w:r>
      <w:r w:rsidR="00465597" w:rsidRPr="00475E29">
        <w:rPr>
          <w:rFonts w:ascii="Times New Roman" w:hAnsi="Times New Roman" w:cs="Times New Roman"/>
        </w:rPr>
        <w:t>.</w:t>
      </w:r>
      <w:r w:rsidR="001D730B" w:rsidRPr="00475E29">
        <w:rPr>
          <w:rFonts w:ascii="Times New Roman" w:hAnsi="Times New Roman" w:cs="Times New Roman"/>
        </w:rPr>
        <w:t xml:space="preserve"> All results are </w:t>
      </w:r>
      <w:r w:rsidR="00465597" w:rsidRPr="00475E29">
        <w:rPr>
          <w:rFonts w:ascii="Times New Roman" w:hAnsi="Times New Roman" w:cs="Times New Roman"/>
        </w:rPr>
        <w:t>statistically significant at the 1% level of significance.</w:t>
      </w:r>
      <w:r w:rsidR="00972EDD" w:rsidRPr="00475E29">
        <w:rPr>
          <w:rFonts w:ascii="Times New Roman" w:hAnsi="Times New Roman" w:cs="Times New Roman"/>
        </w:rPr>
        <w:t xml:space="preserve"> </w:t>
      </w:r>
      <w:r w:rsidR="001D730B" w:rsidRPr="00475E29">
        <w:rPr>
          <w:rFonts w:ascii="Times New Roman" w:hAnsi="Times New Roman" w:cs="Times New Roman"/>
        </w:rPr>
        <w:t xml:space="preserve">Results for the other two spreads </w:t>
      </w:r>
      <w:r w:rsidR="00157C28" w:rsidRPr="00475E29">
        <w:rPr>
          <w:rFonts w:ascii="Times New Roman" w:hAnsi="Times New Roman" w:cs="Times New Roman"/>
        </w:rPr>
        <w:t>are</w:t>
      </w:r>
      <w:r w:rsidR="001D730B" w:rsidRPr="00475E29">
        <w:rPr>
          <w:rFonts w:ascii="Times New Roman" w:hAnsi="Times New Roman" w:cs="Times New Roman"/>
        </w:rPr>
        <w:t xml:space="preserve"> similar, but not as strong. A one-standard-deviation decrease in </w:t>
      </w:r>
      <w:r w:rsidR="00435A15" w:rsidRPr="00475E29">
        <w:rPr>
          <w:rFonts w:ascii="Times New Roman" w:hAnsi="Times New Roman" w:cs="Times New Roman"/>
        </w:rPr>
        <w:t xml:space="preserve">the </w:t>
      </w:r>
      <w:r w:rsidR="001D730B" w:rsidRPr="00475E29">
        <w:rPr>
          <w:rFonts w:ascii="Times New Roman" w:hAnsi="Times New Roman" w:cs="Times New Roman"/>
        </w:rPr>
        <w:t>10y-2y yield spread increases the probability of a recession in Canada within 12</w:t>
      </w:r>
      <w:r w:rsidR="00B81273">
        <w:rPr>
          <w:rFonts w:ascii="Times New Roman" w:hAnsi="Times New Roman" w:cs="Times New Roman"/>
        </w:rPr>
        <w:t xml:space="preserve"> </w:t>
      </w:r>
      <w:r w:rsidR="001D730B" w:rsidRPr="00475E29">
        <w:rPr>
          <w:rFonts w:ascii="Times New Roman" w:hAnsi="Times New Roman" w:cs="Times New Roman"/>
        </w:rPr>
        <w:t>months, 18</w:t>
      </w:r>
      <w:r w:rsidR="00B81273">
        <w:rPr>
          <w:rFonts w:ascii="Times New Roman" w:hAnsi="Times New Roman" w:cs="Times New Roman"/>
        </w:rPr>
        <w:t xml:space="preserve"> </w:t>
      </w:r>
      <w:r w:rsidR="001D730B" w:rsidRPr="00475E29">
        <w:rPr>
          <w:rFonts w:ascii="Times New Roman" w:hAnsi="Times New Roman" w:cs="Times New Roman"/>
        </w:rPr>
        <w:t>months, and 24</w:t>
      </w:r>
      <w:r w:rsidR="00B81273">
        <w:rPr>
          <w:rFonts w:ascii="Times New Roman" w:hAnsi="Times New Roman" w:cs="Times New Roman"/>
        </w:rPr>
        <w:t xml:space="preserve"> </w:t>
      </w:r>
      <w:r w:rsidR="001D730B" w:rsidRPr="00475E29">
        <w:rPr>
          <w:rFonts w:ascii="Times New Roman" w:hAnsi="Times New Roman" w:cs="Times New Roman"/>
        </w:rPr>
        <w:t xml:space="preserve">months by 5.67 pp, 8.86 pp, and 12.55 pp, respectively. A one-standard-deviation decrease in </w:t>
      </w:r>
      <w:r w:rsidR="00435A15" w:rsidRPr="00475E29">
        <w:rPr>
          <w:rFonts w:ascii="Times New Roman" w:hAnsi="Times New Roman" w:cs="Times New Roman"/>
        </w:rPr>
        <w:t xml:space="preserve">the </w:t>
      </w:r>
      <w:r w:rsidR="001D730B" w:rsidRPr="00475E29">
        <w:rPr>
          <w:rFonts w:ascii="Times New Roman" w:hAnsi="Times New Roman" w:cs="Times New Roman"/>
        </w:rPr>
        <w:t xml:space="preserve">10y-3m yield spread increases the probability of a recession in Canada within 12 months, 18 months, and 24 months by 5.66 pp, 9.13 pp, and 13.46 pp, respectively. All results are </w:t>
      </w:r>
      <w:r w:rsidR="00157C28" w:rsidRPr="00475E29">
        <w:rPr>
          <w:rFonts w:ascii="Times New Roman" w:hAnsi="Times New Roman" w:cs="Times New Roman"/>
        </w:rPr>
        <w:t>statistically significant at the 1% level of significance.</w:t>
      </w:r>
    </w:p>
    <w:p w14:paraId="7A4CD24A" w14:textId="2EE6ECFF" w:rsidR="004D1CF5" w:rsidRDefault="00197C0D" w:rsidP="008E13AC">
      <w:pPr>
        <w:spacing w:line="480" w:lineRule="auto"/>
        <w:ind w:firstLine="720"/>
        <w:rPr>
          <w:rFonts w:cs="Times New Roman"/>
          <w:lang w:val="en-CA"/>
        </w:rPr>
      </w:pPr>
      <w:r w:rsidRPr="006B5B91">
        <w:rPr>
          <w:rFonts w:cs="Times New Roman"/>
          <w:lang w:val="en-CA"/>
        </w:rPr>
        <w:t xml:space="preserve">Figure </w:t>
      </w:r>
      <w:r w:rsidR="00197AED">
        <w:rPr>
          <w:rFonts w:cs="Times New Roman"/>
          <w:lang w:val="en-CA"/>
        </w:rPr>
        <w:t>6</w:t>
      </w:r>
      <w:r w:rsidRPr="006B5B91">
        <w:rPr>
          <w:rFonts w:cs="Times New Roman"/>
          <w:lang w:val="en-CA"/>
        </w:rPr>
        <w:t xml:space="preserve"> shows the fitted probabilities of </w:t>
      </w:r>
      <w:r w:rsidR="00203425">
        <w:rPr>
          <w:rFonts w:cs="Times New Roman"/>
          <w:lang w:val="en-CA"/>
        </w:rPr>
        <w:t xml:space="preserve">a </w:t>
      </w:r>
      <w:r w:rsidRPr="006B5B91">
        <w:rPr>
          <w:rFonts w:cs="Times New Roman"/>
          <w:lang w:val="en-CA"/>
        </w:rPr>
        <w:t xml:space="preserve">recession from the probit model </w:t>
      </w:r>
      <w:r w:rsidR="00203425">
        <w:rPr>
          <w:rFonts w:cs="Times New Roman"/>
          <w:lang w:val="en-CA"/>
        </w:rPr>
        <w:t xml:space="preserve">for </w:t>
      </w:r>
      <w:r w:rsidR="003F1A4D">
        <w:rPr>
          <w:rFonts w:cs="Times New Roman"/>
          <w:lang w:val="en-CA"/>
        </w:rPr>
        <w:t>12</w:t>
      </w:r>
      <w:r w:rsidR="00203425">
        <w:rPr>
          <w:rFonts w:cs="Times New Roman"/>
          <w:lang w:val="en-CA"/>
        </w:rPr>
        <w:t>-month</w:t>
      </w:r>
      <w:r w:rsidR="003F1A4D">
        <w:rPr>
          <w:rFonts w:cs="Times New Roman"/>
          <w:lang w:val="en-CA"/>
        </w:rPr>
        <w:t>s</w:t>
      </w:r>
      <w:r w:rsidR="00203425">
        <w:rPr>
          <w:rFonts w:cs="Times New Roman"/>
          <w:lang w:val="en-CA"/>
        </w:rPr>
        <w:t xml:space="preserve"> ahead </w:t>
      </w:r>
      <w:r w:rsidRPr="006B5B91">
        <w:rPr>
          <w:rFonts w:cs="Times New Roman"/>
          <w:lang w:val="en-CA"/>
        </w:rPr>
        <w:t xml:space="preserve">using </w:t>
      </w:r>
      <w:r w:rsidR="000C07F3">
        <w:rPr>
          <w:rFonts w:cs="Times New Roman"/>
          <w:lang w:val="en-CA"/>
        </w:rPr>
        <w:t>C.D.</w:t>
      </w:r>
      <w:r w:rsidRPr="006B5B91">
        <w:rPr>
          <w:rFonts w:cs="Times New Roman"/>
          <w:lang w:val="en-CA"/>
        </w:rPr>
        <w:t xml:space="preserve"> Howe Institute recession dates, comparing the near-term forward spread with the 10y-2y and </w:t>
      </w:r>
      <w:r w:rsidR="001312D8">
        <w:rPr>
          <w:rFonts w:cs="Times New Roman"/>
          <w:lang w:val="en-CA"/>
        </w:rPr>
        <w:t xml:space="preserve">the </w:t>
      </w:r>
      <w:r w:rsidRPr="006B5B91">
        <w:rPr>
          <w:rFonts w:cs="Times New Roman"/>
          <w:lang w:val="en-CA"/>
        </w:rPr>
        <w:t xml:space="preserve">10y-3m yield spreads. </w:t>
      </w:r>
      <w:r w:rsidR="00594E2B" w:rsidRPr="006B5B91">
        <w:rPr>
          <w:rFonts w:cs="Times New Roman"/>
          <w:lang w:val="en-CA"/>
        </w:rPr>
        <w:t>The near-term forward spread and the 10y-3m yield spread show much steeper spikes before and during the 1990-1992 recession. All three spreads show similar probability levels preceding the 2008-2009 recession.</w:t>
      </w:r>
    </w:p>
    <w:p w14:paraId="52516580" w14:textId="028F93E7" w:rsidR="008E13AC" w:rsidRDefault="008E13AC" w:rsidP="00486195">
      <w:pPr>
        <w:keepNext/>
        <w:spacing w:line="480" w:lineRule="auto"/>
      </w:pPr>
    </w:p>
    <w:p w14:paraId="4C769A22" w14:textId="7A6A8AB2" w:rsidR="008E13AC" w:rsidRDefault="008E13AC" w:rsidP="008E13AC">
      <w:pPr>
        <w:pStyle w:val="Subtitle"/>
        <w:spacing w:line="480" w:lineRule="auto"/>
        <w:rPr>
          <w:rFonts w:ascii="Times New Roman" w:hAnsi="Times New Roman" w:cs="Times New Roman"/>
        </w:rPr>
      </w:pPr>
    </w:p>
    <w:p w14:paraId="6457D6BB" w14:textId="77777777" w:rsidR="00157C28" w:rsidRPr="00157C28" w:rsidRDefault="00157C28" w:rsidP="00157C28"/>
    <w:tbl>
      <w:tblPr>
        <w:tblW w:w="9356" w:type="dxa"/>
        <w:tblLook w:val="04A0" w:firstRow="1" w:lastRow="0" w:firstColumn="1" w:lastColumn="0" w:noHBand="0" w:noVBand="1"/>
      </w:tblPr>
      <w:tblGrid>
        <w:gridCol w:w="3336"/>
        <w:gridCol w:w="2193"/>
        <w:gridCol w:w="1984"/>
        <w:gridCol w:w="1843"/>
      </w:tblGrid>
      <w:tr w:rsidR="008E13AC" w:rsidRPr="006B5B91" w14:paraId="2813EB44" w14:textId="77777777" w:rsidTr="0024134E">
        <w:trPr>
          <w:trHeight w:val="315"/>
        </w:trPr>
        <w:tc>
          <w:tcPr>
            <w:tcW w:w="9356" w:type="dxa"/>
            <w:gridSpan w:val="4"/>
            <w:tcBorders>
              <w:top w:val="nil"/>
              <w:left w:val="nil"/>
              <w:bottom w:val="double" w:sz="6" w:space="0" w:color="auto"/>
              <w:right w:val="nil"/>
            </w:tcBorders>
            <w:shd w:val="clear" w:color="auto" w:fill="auto"/>
            <w:noWrap/>
            <w:vAlign w:val="center"/>
            <w:hideMark/>
          </w:tcPr>
          <w:p w14:paraId="7D03F81E" w14:textId="6881318A" w:rsidR="008E13AC" w:rsidRPr="00AD1ECB" w:rsidRDefault="00DA5E82" w:rsidP="00AD1ECB">
            <w:bookmarkStart w:id="30" w:name="_Toc37261610"/>
            <w:bookmarkStart w:id="31" w:name="_Hlk39404971"/>
            <w:r>
              <w:lastRenderedPageBreak/>
              <w:t xml:space="preserve">Table </w:t>
            </w:r>
            <w:r w:rsidR="009C4B5A">
              <w:fldChar w:fldCharType="begin"/>
            </w:r>
            <w:r w:rsidR="009C4B5A">
              <w:instrText xml:space="preserve"> SEQ Table \* ARABIC </w:instrText>
            </w:r>
            <w:r w:rsidR="009C4B5A">
              <w:fldChar w:fldCharType="separate"/>
            </w:r>
            <w:r w:rsidR="00AC0696">
              <w:rPr>
                <w:noProof/>
              </w:rPr>
              <w:t>4</w:t>
            </w:r>
            <w:bookmarkEnd w:id="30"/>
            <w:r w:rsidR="009C4B5A">
              <w:rPr>
                <w:noProof/>
              </w:rPr>
              <w:fldChar w:fldCharType="end"/>
            </w:r>
          </w:p>
          <w:p w14:paraId="1C529B13" w14:textId="177AB195" w:rsidR="008E13AC" w:rsidRPr="00B43DDB" w:rsidRDefault="00B86D3A" w:rsidP="00EB1B3C">
            <w:pPr>
              <w:spacing w:line="240" w:lineRule="auto"/>
              <w:rPr>
                <w:rFonts w:eastAsia="Times New Roman" w:cs="Times New Roman"/>
                <w:i/>
                <w:iCs/>
                <w:color w:val="000000"/>
                <w:lang w:val="en-CA" w:eastAsia="en-CA"/>
              </w:rPr>
            </w:pPr>
            <w:r>
              <w:rPr>
                <w:rFonts w:eastAsia="Times New Roman" w:cs="Times New Roman"/>
                <w:i/>
                <w:iCs/>
                <w:color w:val="000000"/>
                <w:lang w:val="en-CA" w:eastAsia="en-CA"/>
              </w:rPr>
              <w:t xml:space="preserve">Regression Results of </w:t>
            </w:r>
            <w:r w:rsidR="008E13AC" w:rsidRPr="00B43DDB">
              <w:rPr>
                <w:rFonts w:eastAsia="Times New Roman" w:cs="Times New Roman"/>
                <w:i/>
                <w:iCs/>
                <w:color w:val="000000"/>
                <w:lang w:val="en-CA" w:eastAsia="en-CA"/>
              </w:rPr>
              <w:t>Recession Forecast</w:t>
            </w:r>
            <w:r>
              <w:rPr>
                <w:rFonts w:eastAsia="Times New Roman" w:cs="Times New Roman"/>
                <w:i/>
                <w:iCs/>
                <w:color w:val="000000"/>
                <w:lang w:val="en-CA" w:eastAsia="en-CA"/>
              </w:rPr>
              <w:t>ing</w:t>
            </w:r>
            <w:r w:rsidR="008E13AC" w:rsidRPr="00B43DDB">
              <w:rPr>
                <w:rFonts w:eastAsia="Times New Roman" w:cs="Times New Roman"/>
                <w:i/>
                <w:iCs/>
                <w:color w:val="000000"/>
                <w:lang w:val="en-CA" w:eastAsia="en-CA"/>
              </w:rPr>
              <w:t xml:space="preserve"> using </w:t>
            </w:r>
            <w:r w:rsidR="000C07F3">
              <w:rPr>
                <w:rFonts w:eastAsia="Times New Roman" w:cs="Times New Roman"/>
                <w:i/>
                <w:iCs/>
                <w:color w:val="000000"/>
                <w:lang w:val="en-CA" w:eastAsia="en-CA"/>
              </w:rPr>
              <w:t>C.D.</w:t>
            </w:r>
            <w:r w:rsidR="008E13AC" w:rsidRPr="00B43DDB">
              <w:rPr>
                <w:rFonts w:eastAsia="Times New Roman" w:cs="Times New Roman"/>
                <w:i/>
                <w:iCs/>
                <w:color w:val="000000"/>
                <w:lang w:val="en-CA" w:eastAsia="en-CA"/>
              </w:rPr>
              <w:t xml:space="preserve"> Howe Institute Recession Dates</w:t>
            </w:r>
            <w:r>
              <w:rPr>
                <w:rFonts w:eastAsia="Times New Roman" w:cs="Times New Roman"/>
                <w:i/>
                <w:iCs/>
                <w:color w:val="000000"/>
                <w:lang w:val="en-CA" w:eastAsia="en-CA"/>
              </w:rPr>
              <w:t xml:space="preserve"> </w:t>
            </w:r>
          </w:p>
        </w:tc>
      </w:tr>
      <w:tr w:rsidR="00777877" w:rsidRPr="006B5B91" w14:paraId="1448E192" w14:textId="77777777" w:rsidTr="00D223FC">
        <w:trPr>
          <w:trHeight w:val="531"/>
        </w:trPr>
        <w:tc>
          <w:tcPr>
            <w:tcW w:w="9356" w:type="dxa"/>
            <w:gridSpan w:val="4"/>
            <w:tcBorders>
              <w:top w:val="nil"/>
              <w:left w:val="nil"/>
              <w:right w:val="nil"/>
            </w:tcBorders>
            <w:shd w:val="clear" w:color="auto" w:fill="auto"/>
            <w:noWrap/>
            <w:vAlign w:val="bottom"/>
            <w:hideMark/>
          </w:tcPr>
          <w:p w14:paraId="6EFA9330" w14:textId="1DED8443" w:rsidR="00777877" w:rsidRDefault="00777877" w:rsidP="00EB1B3C">
            <w:pPr>
              <w:spacing w:line="240" w:lineRule="auto"/>
              <w:rPr>
                <w:rFonts w:eastAsiaTheme="minorEastAsia"/>
                <w:lang w:val="en-CA"/>
              </w:rPr>
            </w:pPr>
          </w:p>
          <w:p w14:paraId="776E898A" w14:textId="4DFE38DD" w:rsidR="00777877" w:rsidRPr="00D223FC" w:rsidRDefault="009C4B5A" w:rsidP="00EB1B3C">
            <w:pPr>
              <w:spacing w:line="240" w:lineRule="auto"/>
              <w:rPr>
                <w:rFonts w:eastAsia="Times New Roman" w:cs="Times New Roman"/>
                <w:lang w:val="en-CA"/>
              </w:rPr>
            </w:pPr>
            <m:oMathPara>
              <m:oMath>
                <m:func>
                  <m:funcPr>
                    <m:ctrlPr>
                      <w:rPr>
                        <w:rFonts w:ascii="Cambria Math" w:hAnsi="Cambria Math" w:cs="Times New Roman"/>
                        <w:lang w:val="en-CA"/>
                      </w:rPr>
                    </m:ctrlPr>
                  </m:funcPr>
                  <m:fName>
                    <m:r>
                      <m:rPr>
                        <m:sty m:val="p"/>
                      </m:rPr>
                      <w:rPr>
                        <w:rFonts w:ascii="Cambria Math" w:hAnsi="Cambria Math" w:cs="Times New Roman"/>
                        <w:lang w:val="en-CA"/>
                      </w:rPr>
                      <m:t>Pr</m:t>
                    </m:r>
                  </m:fName>
                  <m:e>
                    <m:d>
                      <m:dPr>
                        <m:ctrlPr>
                          <w:rPr>
                            <w:rFonts w:ascii="Cambria Math" w:hAnsi="Cambria Math" w:cs="Times New Roman"/>
                            <w:i/>
                            <w:lang w:val="en-CA"/>
                          </w:rPr>
                        </m:ctrlPr>
                      </m:dPr>
                      <m:e>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r>
                          <w:rPr>
                            <w:rFonts w:ascii="Cambria Math" w:hAnsi="Cambria Math" w:cs="Times New Roman"/>
                            <w:lang w:val="en-CA"/>
                          </w:rPr>
                          <m:t>=1</m:t>
                        </m:r>
                      </m:e>
                    </m:d>
                  </m:e>
                </m:func>
                <m:r>
                  <w:rPr>
                    <w:rFonts w:ascii="Cambria Math" w:hAnsi="Cambria Math" w:cs="Times New Roman"/>
                    <w:lang w:val="en-CA"/>
                  </w:rPr>
                  <m:t>=ϕ</m:t>
                </m:r>
                <m:d>
                  <m:dPr>
                    <m:ctrlPr>
                      <w:rPr>
                        <w:rFonts w:ascii="Cambria Math" w:hAnsi="Cambria Math" w:cs="Times New Roman"/>
                        <w:i/>
                        <w:lang w:val="en-CA"/>
                      </w:rPr>
                    </m:ctrlPr>
                  </m:dPr>
                  <m:e>
                    <m:r>
                      <w:rPr>
                        <w:rFonts w:ascii="Cambria Math" w:hAnsi="Cambria Math" w:cs="Times New Roman"/>
                        <w:lang w:val="en-CA"/>
                      </w:rPr>
                      <m:t>α+β*</m:t>
                    </m:r>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e>
                </m:d>
              </m:oMath>
            </m:oMathPara>
          </w:p>
          <w:p w14:paraId="29FA69D0" w14:textId="77777777" w:rsidR="00D223FC" w:rsidRPr="00777877" w:rsidRDefault="00D223FC" w:rsidP="00EB1B3C">
            <w:pPr>
              <w:spacing w:line="240" w:lineRule="auto"/>
              <w:rPr>
                <w:rFonts w:eastAsia="Times New Roman" w:cs="Times New Roman"/>
                <w:lang w:val="en-CA"/>
              </w:rPr>
            </w:pPr>
          </w:p>
          <w:p w14:paraId="26BF4F10" w14:textId="669F646C" w:rsidR="00777877" w:rsidRPr="00B43DDB" w:rsidRDefault="00777877" w:rsidP="00EB1B3C">
            <w:pPr>
              <w:spacing w:line="240" w:lineRule="auto"/>
              <w:rPr>
                <w:rFonts w:eastAsia="Times New Roman" w:cs="Times New Roman"/>
                <w:sz w:val="20"/>
                <w:szCs w:val="20"/>
                <w:lang w:val="en-CA" w:eastAsia="en-CA"/>
              </w:rPr>
            </w:pPr>
          </w:p>
        </w:tc>
      </w:tr>
      <w:tr w:rsidR="008E13AC" w:rsidRPr="006B5B91" w14:paraId="1085A6F2" w14:textId="77777777" w:rsidTr="0024134E">
        <w:trPr>
          <w:trHeight w:val="300"/>
        </w:trPr>
        <w:tc>
          <w:tcPr>
            <w:tcW w:w="3336" w:type="dxa"/>
            <w:tcBorders>
              <w:top w:val="nil"/>
              <w:left w:val="nil"/>
              <w:bottom w:val="single" w:sz="4" w:space="0" w:color="auto"/>
              <w:right w:val="nil"/>
            </w:tcBorders>
            <w:shd w:val="clear" w:color="auto" w:fill="auto"/>
            <w:noWrap/>
            <w:vAlign w:val="center"/>
            <w:hideMark/>
          </w:tcPr>
          <w:p w14:paraId="4B025FD3" w14:textId="77777777" w:rsidR="008E13AC" w:rsidRPr="00B43DDB" w:rsidRDefault="008E13AC" w:rsidP="00EB1B3C">
            <w:pPr>
              <w:spacing w:line="240" w:lineRule="auto"/>
              <w:rPr>
                <w:rFonts w:eastAsia="Times New Roman" w:cs="Times New Roman"/>
                <w:lang w:val="en-CA" w:eastAsia="en-CA"/>
              </w:rPr>
            </w:pPr>
            <w:r w:rsidRPr="00B43DDB">
              <w:rPr>
                <w:rFonts w:eastAsia="Times New Roman" w:cs="Times New Roman"/>
                <w:lang w:val="en-CA" w:eastAsia="en-CA"/>
              </w:rPr>
              <w:t>Explanatory Variables</w:t>
            </w:r>
          </w:p>
        </w:tc>
        <w:tc>
          <w:tcPr>
            <w:tcW w:w="2193" w:type="dxa"/>
            <w:tcBorders>
              <w:top w:val="nil"/>
              <w:left w:val="nil"/>
              <w:bottom w:val="single" w:sz="4" w:space="0" w:color="auto"/>
              <w:right w:val="nil"/>
            </w:tcBorders>
            <w:shd w:val="clear" w:color="auto" w:fill="auto"/>
            <w:noWrap/>
            <w:vAlign w:val="center"/>
            <w:hideMark/>
          </w:tcPr>
          <w:p w14:paraId="35230DED" w14:textId="77777777"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12 months ahead</w:t>
            </w:r>
          </w:p>
        </w:tc>
        <w:tc>
          <w:tcPr>
            <w:tcW w:w="1984" w:type="dxa"/>
            <w:tcBorders>
              <w:top w:val="nil"/>
              <w:left w:val="nil"/>
              <w:bottom w:val="single" w:sz="4" w:space="0" w:color="auto"/>
              <w:right w:val="nil"/>
            </w:tcBorders>
            <w:shd w:val="clear" w:color="auto" w:fill="auto"/>
            <w:noWrap/>
            <w:vAlign w:val="center"/>
            <w:hideMark/>
          </w:tcPr>
          <w:p w14:paraId="1CDA02A2" w14:textId="77777777"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18 months ahead</w:t>
            </w:r>
          </w:p>
        </w:tc>
        <w:tc>
          <w:tcPr>
            <w:tcW w:w="1843" w:type="dxa"/>
            <w:tcBorders>
              <w:top w:val="nil"/>
              <w:left w:val="nil"/>
              <w:bottom w:val="single" w:sz="4" w:space="0" w:color="auto"/>
              <w:right w:val="nil"/>
            </w:tcBorders>
            <w:shd w:val="clear" w:color="auto" w:fill="auto"/>
            <w:noWrap/>
            <w:vAlign w:val="center"/>
            <w:hideMark/>
          </w:tcPr>
          <w:p w14:paraId="72A3C9E7" w14:textId="77777777"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24 months ahead</w:t>
            </w:r>
          </w:p>
        </w:tc>
      </w:tr>
      <w:tr w:rsidR="008E13AC" w:rsidRPr="006B5B91" w14:paraId="7B877179" w14:textId="77777777" w:rsidTr="0024134E">
        <w:trPr>
          <w:trHeight w:val="300"/>
        </w:trPr>
        <w:tc>
          <w:tcPr>
            <w:tcW w:w="3336" w:type="dxa"/>
            <w:tcBorders>
              <w:top w:val="single" w:sz="4" w:space="0" w:color="auto"/>
              <w:left w:val="nil"/>
              <w:bottom w:val="nil"/>
              <w:right w:val="nil"/>
            </w:tcBorders>
            <w:shd w:val="clear" w:color="auto" w:fill="auto"/>
            <w:noWrap/>
            <w:vAlign w:val="center"/>
            <w:hideMark/>
          </w:tcPr>
          <w:p w14:paraId="7262477C" w14:textId="77777777" w:rsidR="008E13AC" w:rsidRPr="00B43DDB" w:rsidRDefault="008E13AC" w:rsidP="00EB1B3C">
            <w:pPr>
              <w:spacing w:line="240" w:lineRule="auto"/>
              <w:rPr>
                <w:rFonts w:eastAsia="Times New Roman" w:cs="Times New Roman"/>
                <w:color w:val="000000"/>
                <w:lang w:val="en-CA" w:eastAsia="en-CA"/>
              </w:rPr>
            </w:pPr>
          </w:p>
        </w:tc>
        <w:tc>
          <w:tcPr>
            <w:tcW w:w="6020" w:type="dxa"/>
            <w:gridSpan w:val="3"/>
            <w:tcBorders>
              <w:top w:val="single" w:sz="4" w:space="0" w:color="auto"/>
              <w:left w:val="nil"/>
              <w:bottom w:val="nil"/>
              <w:right w:val="nil"/>
            </w:tcBorders>
            <w:shd w:val="clear" w:color="auto" w:fill="auto"/>
            <w:noWrap/>
            <w:vAlign w:val="center"/>
            <w:hideMark/>
          </w:tcPr>
          <w:p w14:paraId="3F5D5B61" w14:textId="77777777" w:rsidR="008E13AC" w:rsidRPr="00B43DDB" w:rsidRDefault="008E13AC" w:rsidP="00EB1B3C">
            <w:pPr>
              <w:spacing w:line="240" w:lineRule="auto"/>
              <w:jc w:val="center"/>
              <w:rPr>
                <w:rFonts w:eastAsia="Times New Roman" w:cs="Times New Roman"/>
                <w:color w:val="000000"/>
                <w:lang w:val="en-CA" w:eastAsia="en-CA"/>
              </w:rPr>
            </w:pPr>
          </w:p>
        </w:tc>
      </w:tr>
      <w:tr w:rsidR="008E13AC" w:rsidRPr="006B5B91" w14:paraId="1285CAC1" w14:textId="77777777" w:rsidTr="00475E29">
        <w:trPr>
          <w:trHeight w:val="300"/>
        </w:trPr>
        <w:tc>
          <w:tcPr>
            <w:tcW w:w="3336" w:type="dxa"/>
            <w:tcBorders>
              <w:top w:val="nil"/>
              <w:left w:val="nil"/>
              <w:bottom w:val="nil"/>
              <w:right w:val="nil"/>
            </w:tcBorders>
            <w:shd w:val="clear" w:color="auto" w:fill="auto"/>
            <w:noWrap/>
            <w:vAlign w:val="center"/>
            <w:hideMark/>
          </w:tcPr>
          <w:p w14:paraId="16193BFA" w14:textId="2B68EF3F" w:rsidR="008E13AC" w:rsidRPr="00B43DDB" w:rsidRDefault="00741D67" w:rsidP="00EB1B3C">
            <w:pPr>
              <w:spacing w:line="240" w:lineRule="auto"/>
              <w:rPr>
                <w:rFonts w:eastAsia="Times New Roman" w:cs="Times New Roman"/>
                <w:color w:val="000000"/>
                <w:lang w:val="en-CA" w:eastAsia="en-CA"/>
              </w:rPr>
            </w:pPr>
            <w:r>
              <w:rPr>
                <w:rFonts w:eastAsia="Times New Roman" w:cs="Times New Roman"/>
                <w:color w:val="000000"/>
                <w:lang w:val="en-CA" w:eastAsia="en-CA"/>
              </w:rPr>
              <w:t xml:space="preserve">Near-term forward </w:t>
            </w:r>
            <w:r w:rsidR="0023613D">
              <w:rPr>
                <w:rFonts w:eastAsia="Times New Roman" w:cs="Times New Roman"/>
                <w:color w:val="000000"/>
                <w:lang w:val="en-CA" w:eastAsia="en-CA"/>
              </w:rPr>
              <w:t>spread</w:t>
            </w:r>
          </w:p>
        </w:tc>
        <w:tc>
          <w:tcPr>
            <w:tcW w:w="2193" w:type="dxa"/>
            <w:tcBorders>
              <w:top w:val="nil"/>
              <w:left w:val="nil"/>
              <w:bottom w:val="nil"/>
              <w:right w:val="nil"/>
            </w:tcBorders>
            <w:shd w:val="clear" w:color="auto" w:fill="auto"/>
            <w:noWrap/>
            <w:vAlign w:val="center"/>
            <w:hideMark/>
          </w:tcPr>
          <w:p w14:paraId="611E939A" w14:textId="2057AA32" w:rsidR="008E13AC" w:rsidRPr="00B43DDB" w:rsidRDefault="008E13AC" w:rsidP="00EB1B3C">
            <w:pPr>
              <w:spacing w:line="240" w:lineRule="auto"/>
              <w:jc w:val="center"/>
              <w:rPr>
                <w:rFonts w:eastAsia="Times New Roman" w:cs="Times New Roman"/>
                <w:color w:val="000000"/>
                <w:vertAlign w:val="superscript"/>
                <w:lang w:val="en-CA" w:eastAsia="en-CA"/>
              </w:rPr>
            </w:pPr>
            <w:r w:rsidRPr="00B43DDB">
              <w:rPr>
                <w:rFonts w:eastAsia="Times New Roman" w:cs="Times New Roman"/>
                <w:color w:val="000000"/>
                <w:lang w:val="en-CA" w:eastAsia="en-CA"/>
              </w:rPr>
              <w:t>-0.0</w:t>
            </w:r>
            <w:r w:rsidR="006D620D">
              <w:rPr>
                <w:rFonts w:eastAsia="Times New Roman" w:cs="Times New Roman"/>
                <w:color w:val="000000"/>
                <w:lang w:val="en-CA" w:eastAsia="en-CA"/>
              </w:rPr>
              <w:t>577</w:t>
            </w:r>
            <w:r w:rsidRPr="00B43DDB">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6D11541C" w14:textId="5AD4252C"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6D620D">
              <w:rPr>
                <w:rFonts w:eastAsia="Times New Roman" w:cs="Times New Roman"/>
                <w:color w:val="000000"/>
                <w:lang w:val="en-CA" w:eastAsia="en-CA"/>
              </w:rPr>
              <w:t>0966</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4CD495DB" w14:textId="71220AEB"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-0.14</w:t>
            </w:r>
            <w:r w:rsidR="006D620D">
              <w:rPr>
                <w:rFonts w:eastAsia="Times New Roman" w:cs="Times New Roman"/>
                <w:color w:val="000000"/>
                <w:lang w:val="en-CA" w:eastAsia="en-CA"/>
              </w:rPr>
              <w:t>30</w:t>
            </w:r>
            <w:r w:rsidRPr="00B43DDB">
              <w:rPr>
                <w:rFonts w:eastAsia="Times New Roman" w:cs="Times New Roman"/>
                <w:color w:val="000000"/>
                <w:vertAlign w:val="superscript"/>
                <w:lang w:val="en-CA" w:eastAsia="en-CA"/>
              </w:rPr>
              <w:t>***</w:t>
            </w:r>
          </w:p>
        </w:tc>
      </w:tr>
      <w:tr w:rsidR="008E13AC" w:rsidRPr="006B5B91" w14:paraId="5FDF577E" w14:textId="77777777" w:rsidTr="00475E29">
        <w:trPr>
          <w:trHeight w:val="300"/>
        </w:trPr>
        <w:tc>
          <w:tcPr>
            <w:tcW w:w="3336" w:type="dxa"/>
            <w:tcBorders>
              <w:top w:val="nil"/>
              <w:left w:val="nil"/>
              <w:bottom w:val="nil"/>
              <w:right w:val="nil"/>
            </w:tcBorders>
            <w:shd w:val="clear" w:color="auto" w:fill="auto"/>
            <w:noWrap/>
            <w:vAlign w:val="center"/>
            <w:hideMark/>
          </w:tcPr>
          <w:p w14:paraId="31BFF993" w14:textId="77777777" w:rsidR="008E13AC" w:rsidRPr="00B43DDB" w:rsidRDefault="008E13AC" w:rsidP="00EB1B3C">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2CD63D5E" w14:textId="3FBCFE44"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(0.01</w:t>
            </w:r>
            <w:r w:rsidR="006D620D">
              <w:rPr>
                <w:rFonts w:eastAsia="Times New Roman" w:cs="Times New Roman"/>
                <w:color w:val="000000"/>
                <w:lang w:val="en-CA" w:eastAsia="en-CA"/>
              </w:rPr>
              <w:t>31</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31FD0522" w14:textId="609C5689"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(0.01</w:t>
            </w:r>
            <w:r w:rsidR="006D620D">
              <w:rPr>
                <w:rFonts w:eastAsia="Times New Roman" w:cs="Times New Roman"/>
                <w:color w:val="000000"/>
                <w:lang w:val="en-CA" w:eastAsia="en-CA"/>
              </w:rPr>
              <w:t>8</w:t>
            </w:r>
            <w:r w:rsidRPr="00B43DDB">
              <w:rPr>
                <w:rFonts w:eastAsia="Times New Roman" w:cs="Times New Roman"/>
                <w:color w:val="000000"/>
                <w:lang w:val="en-CA" w:eastAsia="en-CA"/>
              </w:rPr>
              <w:t>1)</w:t>
            </w:r>
          </w:p>
        </w:tc>
        <w:tc>
          <w:tcPr>
            <w:tcW w:w="1843" w:type="dxa"/>
            <w:tcBorders>
              <w:top w:val="nil"/>
              <w:left w:val="nil"/>
              <w:bottom w:val="nil"/>
              <w:right w:val="nil"/>
            </w:tcBorders>
            <w:shd w:val="clear" w:color="auto" w:fill="auto"/>
            <w:noWrap/>
            <w:vAlign w:val="center"/>
            <w:hideMark/>
          </w:tcPr>
          <w:p w14:paraId="52BAB5DA" w14:textId="6E159F48"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6D620D">
              <w:rPr>
                <w:rFonts w:eastAsia="Times New Roman" w:cs="Times New Roman"/>
                <w:color w:val="000000"/>
                <w:lang w:val="en-CA" w:eastAsia="en-CA"/>
              </w:rPr>
              <w:t>224</w:t>
            </w:r>
            <w:r w:rsidRPr="00B43DDB">
              <w:rPr>
                <w:rFonts w:eastAsia="Times New Roman" w:cs="Times New Roman"/>
                <w:color w:val="000000"/>
                <w:lang w:val="en-CA" w:eastAsia="en-CA"/>
              </w:rPr>
              <w:t>)</w:t>
            </w:r>
          </w:p>
        </w:tc>
      </w:tr>
      <w:tr w:rsidR="008E13AC" w:rsidRPr="006B5B91" w14:paraId="5EAF4C89" w14:textId="77777777" w:rsidTr="00475E29">
        <w:trPr>
          <w:trHeight w:val="315"/>
        </w:trPr>
        <w:tc>
          <w:tcPr>
            <w:tcW w:w="3336" w:type="dxa"/>
            <w:tcBorders>
              <w:top w:val="nil"/>
              <w:left w:val="nil"/>
              <w:bottom w:val="nil"/>
              <w:right w:val="nil"/>
            </w:tcBorders>
            <w:shd w:val="clear" w:color="auto" w:fill="auto"/>
            <w:noWrap/>
            <w:vAlign w:val="center"/>
            <w:hideMark/>
          </w:tcPr>
          <w:p w14:paraId="162C5AD0" w14:textId="77777777"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 xml:space="preserve"> </w:t>
            </w:r>
          </w:p>
        </w:tc>
        <w:tc>
          <w:tcPr>
            <w:tcW w:w="2193" w:type="dxa"/>
            <w:tcBorders>
              <w:top w:val="nil"/>
              <w:left w:val="nil"/>
              <w:bottom w:val="nil"/>
              <w:right w:val="nil"/>
            </w:tcBorders>
            <w:shd w:val="clear" w:color="auto" w:fill="auto"/>
            <w:noWrap/>
            <w:vAlign w:val="center"/>
            <w:hideMark/>
          </w:tcPr>
          <w:p w14:paraId="3EA48F77" w14:textId="77777777" w:rsidR="008E13AC" w:rsidRPr="00B43DDB" w:rsidRDefault="008E13AC" w:rsidP="00EB1B3C">
            <w:pPr>
              <w:spacing w:line="240" w:lineRule="auto"/>
              <w:rPr>
                <w:rFonts w:eastAsia="Times New Roman" w:cs="Times New Roman"/>
                <w:color w:val="000000"/>
                <w:lang w:val="en-CA" w:eastAsia="en-CA"/>
              </w:rPr>
            </w:pPr>
          </w:p>
        </w:tc>
        <w:tc>
          <w:tcPr>
            <w:tcW w:w="1984" w:type="dxa"/>
            <w:tcBorders>
              <w:top w:val="nil"/>
              <w:left w:val="nil"/>
              <w:bottom w:val="nil"/>
              <w:right w:val="nil"/>
            </w:tcBorders>
            <w:shd w:val="clear" w:color="auto" w:fill="auto"/>
            <w:noWrap/>
            <w:vAlign w:val="center"/>
            <w:hideMark/>
          </w:tcPr>
          <w:p w14:paraId="4A20A105" w14:textId="77777777" w:rsidR="008E13AC" w:rsidRPr="00B43DDB" w:rsidRDefault="008E13AC" w:rsidP="00EB1B3C">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60CE2005" w14:textId="77777777" w:rsidR="008E13AC" w:rsidRPr="00B43DDB" w:rsidRDefault="008E13AC" w:rsidP="00EB1B3C">
            <w:pPr>
              <w:spacing w:line="240" w:lineRule="auto"/>
              <w:jc w:val="center"/>
              <w:rPr>
                <w:rFonts w:eastAsia="Times New Roman" w:cs="Times New Roman"/>
                <w:sz w:val="20"/>
                <w:szCs w:val="20"/>
                <w:lang w:val="en-CA" w:eastAsia="en-CA"/>
              </w:rPr>
            </w:pPr>
          </w:p>
        </w:tc>
      </w:tr>
      <w:tr w:rsidR="008E13AC" w:rsidRPr="006B5B91" w14:paraId="50C591F5" w14:textId="77777777" w:rsidTr="00475E29">
        <w:trPr>
          <w:trHeight w:val="300"/>
        </w:trPr>
        <w:tc>
          <w:tcPr>
            <w:tcW w:w="3336" w:type="dxa"/>
            <w:tcBorders>
              <w:top w:val="nil"/>
              <w:left w:val="nil"/>
              <w:bottom w:val="nil"/>
              <w:right w:val="nil"/>
            </w:tcBorders>
            <w:shd w:val="clear" w:color="auto" w:fill="auto"/>
            <w:noWrap/>
            <w:vAlign w:val="center"/>
            <w:hideMark/>
          </w:tcPr>
          <w:p w14:paraId="0618131E" w14:textId="484D15E3"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10y</w:t>
            </w:r>
            <w:r w:rsidR="0023613D">
              <w:rPr>
                <w:rFonts w:eastAsia="Times New Roman" w:cs="Times New Roman"/>
                <w:color w:val="000000"/>
                <w:lang w:val="en-CA" w:eastAsia="en-CA"/>
              </w:rPr>
              <w:t>-</w:t>
            </w:r>
            <w:r w:rsidRPr="00B43DDB">
              <w:rPr>
                <w:rFonts w:eastAsia="Times New Roman" w:cs="Times New Roman"/>
                <w:color w:val="000000"/>
                <w:lang w:val="en-CA" w:eastAsia="en-CA"/>
              </w:rPr>
              <w:t>2y spread</w:t>
            </w:r>
          </w:p>
        </w:tc>
        <w:tc>
          <w:tcPr>
            <w:tcW w:w="2193" w:type="dxa"/>
            <w:tcBorders>
              <w:top w:val="nil"/>
              <w:left w:val="nil"/>
              <w:bottom w:val="nil"/>
              <w:right w:val="nil"/>
            </w:tcBorders>
            <w:shd w:val="clear" w:color="auto" w:fill="auto"/>
            <w:noWrap/>
            <w:vAlign w:val="center"/>
            <w:hideMark/>
          </w:tcPr>
          <w:p w14:paraId="64A2163A" w14:textId="67C968E1"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BC5C32">
              <w:rPr>
                <w:rFonts w:eastAsia="Times New Roman" w:cs="Times New Roman"/>
                <w:color w:val="000000"/>
                <w:lang w:val="en-CA" w:eastAsia="en-CA"/>
              </w:rPr>
              <w:t>056</w:t>
            </w:r>
            <w:r w:rsidR="00F47CFA">
              <w:rPr>
                <w:rFonts w:eastAsia="Times New Roman" w:cs="Times New Roman"/>
                <w:color w:val="000000"/>
                <w:lang w:val="en-CA" w:eastAsia="en-CA"/>
              </w:rPr>
              <w:t>7</w:t>
            </w:r>
            <w:r w:rsidRPr="00B43DDB">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393B8EFB" w14:textId="394EE2A5"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6D620D">
              <w:rPr>
                <w:rFonts w:eastAsia="Times New Roman" w:cs="Times New Roman"/>
                <w:color w:val="000000"/>
                <w:lang w:val="en-CA" w:eastAsia="en-CA"/>
              </w:rPr>
              <w:t>0886</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3CE8F9D7" w14:textId="19537218"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6D620D">
              <w:rPr>
                <w:rFonts w:eastAsia="Times New Roman" w:cs="Times New Roman"/>
                <w:color w:val="000000"/>
                <w:lang w:val="en-CA" w:eastAsia="en-CA"/>
              </w:rPr>
              <w:t>12</w:t>
            </w:r>
            <w:r w:rsidR="00FB1C7A">
              <w:rPr>
                <w:rFonts w:eastAsia="Times New Roman" w:cs="Times New Roman"/>
                <w:color w:val="000000"/>
                <w:lang w:val="en-CA" w:eastAsia="en-CA"/>
              </w:rPr>
              <w:t>55</w:t>
            </w:r>
            <w:r w:rsidRPr="00B43DDB">
              <w:rPr>
                <w:rFonts w:eastAsia="Times New Roman" w:cs="Times New Roman"/>
                <w:color w:val="000000"/>
                <w:vertAlign w:val="superscript"/>
                <w:lang w:val="en-CA" w:eastAsia="en-CA"/>
              </w:rPr>
              <w:t>***</w:t>
            </w:r>
          </w:p>
        </w:tc>
      </w:tr>
      <w:tr w:rsidR="008E13AC" w:rsidRPr="006B5B91" w14:paraId="7088064A" w14:textId="77777777" w:rsidTr="00475E29">
        <w:trPr>
          <w:trHeight w:val="300"/>
        </w:trPr>
        <w:tc>
          <w:tcPr>
            <w:tcW w:w="3336" w:type="dxa"/>
            <w:tcBorders>
              <w:top w:val="nil"/>
              <w:left w:val="nil"/>
              <w:bottom w:val="nil"/>
              <w:right w:val="nil"/>
            </w:tcBorders>
            <w:shd w:val="clear" w:color="auto" w:fill="auto"/>
            <w:noWrap/>
            <w:vAlign w:val="center"/>
            <w:hideMark/>
          </w:tcPr>
          <w:p w14:paraId="467D5093" w14:textId="77777777" w:rsidR="008E13AC" w:rsidRPr="00B43DDB" w:rsidRDefault="008E13AC" w:rsidP="00EB1B3C">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5088F8CF" w14:textId="5154ACA3"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BC5C32">
              <w:rPr>
                <w:rFonts w:eastAsia="Times New Roman" w:cs="Times New Roman"/>
                <w:color w:val="000000"/>
                <w:lang w:val="en-CA" w:eastAsia="en-CA"/>
              </w:rPr>
              <w:t>114</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31BDFC22" w14:textId="60CC7D43"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6D620D">
              <w:rPr>
                <w:rFonts w:eastAsia="Times New Roman" w:cs="Times New Roman"/>
                <w:color w:val="000000"/>
                <w:lang w:val="en-CA" w:eastAsia="en-CA"/>
              </w:rPr>
              <w:t>158</w:t>
            </w:r>
            <w:r w:rsidRPr="00B43DDB">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607E8382" w14:textId="4BFCCDC9"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FB1C7A">
              <w:rPr>
                <w:rFonts w:eastAsia="Times New Roman" w:cs="Times New Roman"/>
                <w:color w:val="000000"/>
                <w:lang w:val="en-CA" w:eastAsia="en-CA"/>
              </w:rPr>
              <w:t>189</w:t>
            </w:r>
            <w:r w:rsidRPr="00B43DDB">
              <w:rPr>
                <w:rFonts w:eastAsia="Times New Roman" w:cs="Times New Roman"/>
                <w:color w:val="000000"/>
                <w:lang w:val="en-CA" w:eastAsia="en-CA"/>
              </w:rPr>
              <w:t>)</w:t>
            </w:r>
          </w:p>
        </w:tc>
      </w:tr>
      <w:tr w:rsidR="008E13AC" w:rsidRPr="006B5B91" w14:paraId="1CEB7600" w14:textId="77777777" w:rsidTr="00475E29">
        <w:trPr>
          <w:trHeight w:val="300"/>
        </w:trPr>
        <w:tc>
          <w:tcPr>
            <w:tcW w:w="3336" w:type="dxa"/>
            <w:tcBorders>
              <w:top w:val="nil"/>
              <w:left w:val="nil"/>
              <w:bottom w:val="nil"/>
              <w:right w:val="nil"/>
            </w:tcBorders>
            <w:shd w:val="clear" w:color="auto" w:fill="auto"/>
            <w:noWrap/>
            <w:vAlign w:val="center"/>
            <w:hideMark/>
          </w:tcPr>
          <w:p w14:paraId="2D662C96" w14:textId="77777777" w:rsidR="008E13AC" w:rsidRPr="00B43DDB" w:rsidRDefault="008E13AC" w:rsidP="00EB1B3C">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43C938F4" w14:textId="77777777" w:rsidR="008E13AC" w:rsidRPr="00B43DDB" w:rsidRDefault="008E13AC" w:rsidP="00EB1B3C">
            <w:pPr>
              <w:spacing w:line="240" w:lineRule="auto"/>
              <w:rPr>
                <w:rFonts w:eastAsia="Times New Roman" w:cs="Times New Roman"/>
                <w:sz w:val="20"/>
                <w:szCs w:val="20"/>
                <w:lang w:val="en-CA" w:eastAsia="en-CA"/>
              </w:rPr>
            </w:pPr>
          </w:p>
        </w:tc>
        <w:tc>
          <w:tcPr>
            <w:tcW w:w="1984" w:type="dxa"/>
            <w:tcBorders>
              <w:top w:val="nil"/>
              <w:left w:val="nil"/>
              <w:bottom w:val="nil"/>
              <w:right w:val="nil"/>
            </w:tcBorders>
            <w:shd w:val="clear" w:color="auto" w:fill="auto"/>
            <w:noWrap/>
            <w:vAlign w:val="center"/>
            <w:hideMark/>
          </w:tcPr>
          <w:p w14:paraId="199AC6E7" w14:textId="77777777" w:rsidR="008E13AC" w:rsidRPr="00B43DDB" w:rsidRDefault="008E13AC" w:rsidP="00EB1B3C">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61CD52B9" w14:textId="77777777" w:rsidR="008E13AC" w:rsidRPr="00B43DDB" w:rsidRDefault="008E13AC" w:rsidP="00EB1B3C">
            <w:pPr>
              <w:spacing w:line="240" w:lineRule="auto"/>
              <w:jc w:val="center"/>
              <w:rPr>
                <w:rFonts w:eastAsia="Times New Roman" w:cs="Times New Roman"/>
                <w:sz w:val="20"/>
                <w:szCs w:val="20"/>
                <w:lang w:val="en-CA" w:eastAsia="en-CA"/>
              </w:rPr>
            </w:pPr>
          </w:p>
        </w:tc>
      </w:tr>
      <w:tr w:rsidR="008E13AC" w:rsidRPr="006B5B91" w14:paraId="72C2F0F5" w14:textId="77777777" w:rsidTr="00475E29">
        <w:trPr>
          <w:trHeight w:val="300"/>
        </w:trPr>
        <w:tc>
          <w:tcPr>
            <w:tcW w:w="3336" w:type="dxa"/>
            <w:tcBorders>
              <w:top w:val="nil"/>
              <w:left w:val="nil"/>
              <w:bottom w:val="nil"/>
              <w:right w:val="nil"/>
            </w:tcBorders>
            <w:shd w:val="clear" w:color="auto" w:fill="auto"/>
            <w:noWrap/>
            <w:vAlign w:val="center"/>
            <w:hideMark/>
          </w:tcPr>
          <w:p w14:paraId="101A9BF8" w14:textId="2980AC16"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10y</w:t>
            </w:r>
            <w:r w:rsidR="0023613D">
              <w:rPr>
                <w:rFonts w:eastAsia="Times New Roman" w:cs="Times New Roman"/>
                <w:color w:val="000000"/>
                <w:lang w:val="en-CA" w:eastAsia="en-CA"/>
              </w:rPr>
              <w:t>-</w:t>
            </w:r>
            <w:r w:rsidRPr="00B43DDB">
              <w:rPr>
                <w:rFonts w:eastAsia="Times New Roman" w:cs="Times New Roman"/>
                <w:color w:val="000000"/>
                <w:lang w:val="en-CA" w:eastAsia="en-CA"/>
              </w:rPr>
              <w:t>3m spread</w:t>
            </w:r>
          </w:p>
        </w:tc>
        <w:tc>
          <w:tcPr>
            <w:tcW w:w="2193" w:type="dxa"/>
            <w:tcBorders>
              <w:top w:val="nil"/>
              <w:left w:val="nil"/>
              <w:bottom w:val="nil"/>
              <w:right w:val="nil"/>
            </w:tcBorders>
            <w:shd w:val="clear" w:color="auto" w:fill="auto"/>
            <w:noWrap/>
            <w:vAlign w:val="center"/>
            <w:hideMark/>
          </w:tcPr>
          <w:p w14:paraId="67DE34E2" w14:textId="45138104"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ED1EA3">
              <w:rPr>
                <w:rFonts w:eastAsia="Times New Roman" w:cs="Times New Roman"/>
                <w:color w:val="000000"/>
                <w:lang w:val="en-CA" w:eastAsia="en-CA"/>
              </w:rPr>
              <w:t>566</w:t>
            </w:r>
            <w:r w:rsidRPr="00B43DDB">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529FC05B" w14:textId="67F4ABFC"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-0.09</w:t>
            </w:r>
            <w:r w:rsidR="006D620D">
              <w:rPr>
                <w:rFonts w:eastAsia="Times New Roman" w:cs="Times New Roman"/>
                <w:color w:val="000000"/>
                <w:lang w:val="en-CA" w:eastAsia="en-CA"/>
              </w:rPr>
              <w:t>13</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55A33F5F" w14:textId="05C4838D"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641FCC">
              <w:rPr>
                <w:rFonts w:eastAsia="Times New Roman" w:cs="Times New Roman"/>
                <w:color w:val="000000"/>
                <w:lang w:val="en-CA" w:eastAsia="en-CA"/>
              </w:rPr>
              <w:t>346</w:t>
            </w:r>
            <w:r w:rsidRPr="00B43DDB">
              <w:rPr>
                <w:rFonts w:eastAsia="Times New Roman" w:cs="Times New Roman"/>
                <w:color w:val="000000"/>
                <w:vertAlign w:val="superscript"/>
                <w:lang w:val="en-CA" w:eastAsia="en-CA"/>
              </w:rPr>
              <w:t>***</w:t>
            </w:r>
          </w:p>
        </w:tc>
      </w:tr>
      <w:tr w:rsidR="008E13AC" w:rsidRPr="006B5B91" w14:paraId="7A07FFF2" w14:textId="77777777" w:rsidTr="00475E29">
        <w:trPr>
          <w:trHeight w:val="300"/>
        </w:trPr>
        <w:tc>
          <w:tcPr>
            <w:tcW w:w="3336" w:type="dxa"/>
            <w:tcBorders>
              <w:top w:val="nil"/>
              <w:left w:val="nil"/>
              <w:bottom w:val="nil"/>
              <w:right w:val="nil"/>
            </w:tcBorders>
            <w:shd w:val="clear" w:color="auto" w:fill="auto"/>
            <w:noWrap/>
            <w:vAlign w:val="center"/>
            <w:hideMark/>
          </w:tcPr>
          <w:p w14:paraId="3BA2D1DA" w14:textId="77777777" w:rsidR="008E13AC" w:rsidRPr="00B43DDB" w:rsidRDefault="008E13AC" w:rsidP="00EB1B3C">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705972EE" w14:textId="31F73F3F"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(0.01</w:t>
            </w:r>
            <w:r w:rsidR="00ED1EA3">
              <w:rPr>
                <w:rFonts w:eastAsia="Times New Roman" w:cs="Times New Roman"/>
                <w:color w:val="000000"/>
                <w:lang w:val="en-CA" w:eastAsia="en-CA"/>
              </w:rPr>
              <w:t>24</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329B1364" w14:textId="19D67A59"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(0.01</w:t>
            </w:r>
            <w:r w:rsidR="006D620D">
              <w:rPr>
                <w:rFonts w:eastAsia="Times New Roman" w:cs="Times New Roman"/>
                <w:color w:val="000000"/>
                <w:lang w:val="en-CA" w:eastAsia="en-CA"/>
              </w:rPr>
              <w:t>73</w:t>
            </w:r>
            <w:r w:rsidRPr="00B43DDB">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0243B1C8" w14:textId="2B8D073C"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641FCC">
              <w:rPr>
                <w:rFonts w:eastAsia="Times New Roman" w:cs="Times New Roman"/>
                <w:color w:val="000000"/>
                <w:lang w:val="en-CA" w:eastAsia="en-CA"/>
              </w:rPr>
              <w:t>211</w:t>
            </w:r>
            <w:r w:rsidRPr="00B43DDB">
              <w:rPr>
                <w:rFonts w:eastAsia="Times New Roman" w:cs="Times New Roman"/>
                <w:color w:val="000000"/>
                <w:lang w:val="en-CA" w:eastAsia="en-CA"/>
              </w:rPr>
              <w:t>)</w:t>
            </w:r>
          </w:p>
        </w:tc>
      </w:tr>
      <w:tr w:rsidR="008E13AC" w:rsidRPr="006B5B91" w14:paraId="59AC8837" w14:textId="77777777" w:rsidTr="0024134E">
        <w:trPr>
          <w:trHeight w:val="300"/>
        </w:trPr>
        <w:tc>
          <w:tcPr>
            <w:tcW w:w="3336" w:type="dxa"/>
            <w:tcBorders>
              <w:top w:val="nil"/>
              <w:left w:val="nil"/>
              <w:bottom w:val="nil"/>
              <w:right w:val="nil"/>
            </w:tcBorders>
            <w:shd w:val="clear" w:color="auto" w:fill="auto"/>
            <w:noWrap/>
            <w:vAlign w:val="center"/>
            <w:hideMark/>
          </w:tcPr>
          <w:p w14:paraId="1FF2F342" w14:textId="77777777" w:rsidR="008E13AC" w:rsidRPr="00B43DDB" w:rsidRDefault="008E13AC" w:rsidP="00EB1B3C">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466AFD9F" w14:textId="77777777" w:rsidR="008E13AC" w:rsidRPr="00B43DDB" w:rsidRDefault="008E13AC" w:rsidP="00EB1B3C">
            <w:pPr>
              <w:spacing w:line="240" w:lineRule="auto"/>
              <w:rPr>
                <w:rFonts w:eastAsia="Times New Roman" w:cs="Times New Roman"/>
                <w:sz w:val="20"/>
                <w:szCs w:val="20"/>
                <w:lang w:val="en-CA" w:eastAsia="en-CA"/>
              </w:rPr>
            </w:pPr>
          </w:p>
        </w:tc>
        <w:tc>
          <w:tcPr>
            <w:tcW w:w="1984" w:type="dxa"/>
            <w:tcBorders>
              <w:top w:val="nil"/>
              <w:left w:val="nil"/>
              <w:bottom w:val="nil"/>
              <w:right w:val="nil"/>
            </w:tcBorders>
            <w:shd w:val="clear" w:color="auto" w:fill="auto"/>
            <w:noWrap/>
            <w:vAlign w:val="center"/>
            <w:hideMark/>
          </w:tcPr>
          <w:p w14:paraId="1190A404" w14:textId="77777777" w:rsidR="008E13AC" w:rsidRPr="00B43DDB" w:rsidRDefault="008E13AC" w:rsidP="00EB1B3C">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74F0EC77" w14:textId="77777777" w:rsidR="008E13AC" w:rsidRPr="00B43DDB" w:rsidRDefault="008E13AC" w:rsidP="00EB1B3C">
            <w:pPr>
              <w:spacing w:line="240" w:lineRule="auto"/>
              <w:jc w:val="center"/>
              <w:rPr>
                <w:rFonts w:eastAsia="Times New Roman" w:cs="Times New Roman"/>
                <w:sz w:val="20"/>
                <w:szCs w:val="20"/>
                <w:lang w:val="en-CA" w:eastAsia="en-CA"/>
              </w:rPr>
            </w:pPr>
          </w:p>
        </w:tc>
      </w:tr>
      <w:tr w:rsidR="008E13AC" w:rsidRPr="006B5B91" w14:paraId="5C3BF746" w14:textId="77777777" w:rsidTr="0024134E">
        <w:trPr>
          <w:trHeight w:val="315"/>
        </w:trPr>
        <w:tc>
          <w:tcPr>
            <w:tcW w:w="3336" w:type="dxa"/>
            <w:tcBorders>
              <w:top w:val="nil"/>
              <w:left w:val="nil"/>
              <w:bottom w:val="double" w:sz="6" w:space="0" w:color="auto"/>
              <w:right w:val="nil"/>
            </w:tcBorders>
            <w:shd w:val="clear" w:color="auto" w:fill="auto"/>
            <w:noWrap/>
            <w:vAlign w:val="center"/>
            <w:hideMark/>
          </w:tcPr>
          <w:p w14:paraId="4AF290E7" w14:textId="77777777" w:rsidR="008E13AC" w:rsidRPr="00B43DDB" w:rsidRDefault="008E13AC" w:rsidP="00EB1B3C">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Observations</w:t>
            </w:r>
          </w:p>
        </w:tc>
        <w:tc>
          <w:tcPr>
            <w:tcW w:w="2193" w:type="dxa"/>
            <w:tcBorders>
              <w:top w:val="nil"/>
              <w:left w:val="nil"/>
              <w:bottom w:val="double" w:sz="6" w:space="0" w:color="auto"/>
              <w:right w:val="nil"/>
            </w:tcBorders>
            <w:shd w:val="clear" w:color="auto" w:fill="auto"/>
            <w:noWrap/>
            <w:vAlign w:val="center"/>
            <w:hideMark/>
          </w:tcPr>
          <w:p w14:paraId="56ADCF79" w14:textId="77777777"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365</w:t>
            </w:r>
          </w:p>
        </w:tc>
        <w:tc>
          <w:tcPr>
            <w:tcW w:w="1984" w:type="dxa"/>
            <w:tcBorders>
              <w:top w:val="nil"/>
              <w:left w:val="nil"/>
              <w:bottom w:val="double" w:sz="6" w:space="0" w:color="auto"/>
              <w:right w:val="nil"/>
            </w:tcBorders>
            <w:shd w:val="clear" w:color="auto" w:fill="auto"/>
            <w:noWrap/>
            <w:vAlign w:val="center"/>
            <w:hideMark/>
          </w:tcPr>
          <w:p w14:paraId="64FD41D3" w14:textId="77777777"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365</w:t>
            </w:r>
          </w:p>
        </w:tc>
        <w:tc>
          <w:tcPr>
            <w:tcW w:w="1843" w:type="dxa"/>
            <w:tcBorders>
              <w:top w:val="nil"/>
              <w:left w:val="nil"/>
              <w:bottom w:val="double" w:sz="6" w:space="0" w:color="auto"/>
              <w:right w:val="nil"/>
            </w:tcBorders>
            <w:shd w:val="clear" w:color="auto" w:fill="auto"/>
            <w:noWrap/>
            <w:vAlign w:val="center"/>
            <w:hideMark/>
          </w:tcPr>
          <w:p w14:paraId="62D338EE" w14:textId="77777777" w:rsidR="008E13AC" w:rsidRPr="00B43DDB" w:rsidRDefault="008E13AC" w:rsidP="00EB1B3C">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365</w:t>
            </w:r>
          </w:p>
        </w:tc>
      </w:tr>
      <w:tr w:rsidR="008E13AC" w:rsidRPr="006B5B91" w14:paraId="3A3C7A1A" w14:textId="77777777" w:rsidTr="00475E29">
        <w:trPr>
          <w:trHeight w:val="993"/>
        </w:trPr>
        <w:tc>
          <w:tcPr>
            <w:tcW w:w="9356" w:type="dxa"/>
            <w:gridSpan w:val="4"/>
            <w:tcBorders>
              <w:top w:val="nil"/>
              <w:left w:val="nil"/>
              <w:bottom w:val="nil"/>
            </w:tcBorders>
            <w:shd w:val="clear" w:color="auto" w:fill="auto"/>
            <w:noWrap/>
            <w:vAlign w:val="bottom"/>
            <w:hideMark/>
          </w:tcPr>
          <w:p w14:paraId="038A1917" w14:textId="65FB2AA5" w:rsidR="008E13AC" w:rsidRPr="00573C52" w:rsidRDefault="008E13AC" w:rsidP="00EB1B3C">
            <w:pPr>
              <w:spacing w:line="240" w:lineRule="auto"/>
              <w:rPr>
                <w:rFonts w:cs="Times New Roman"/>
                <w:color w:val="000000"/>
              </w:rPr>
            </w:pPr>
            <w:r w:rsidRPr="00573C52">
              <w:rPr>
                <w:rFonts w:cs="Times New Roman"/>
                <w:color w:val="000000"/>
              </w:rPr>
              <w:t>*</w:t>
            </w:r>
            <w:r w:rsidR="007F5753" w:rsidRPr="00573C52">
              <w:rPr>
                <w:rFonts w:cs="Times New Roman"/>
                <w:color w:val="000000"/>
              </w:rPr>
              <w:t xml:space="preserve">Notes: Results are marginal effects that show the estimated increase in the probability of transitioning to a recession </w:t>
            </w:r>
            <w:r w:rsidR="008776A1" w:rsidRPr="00573C52">
              <w:rPr>
                <w:rFonts w:cs="Times New Roman"/>
                <w:color w:val="000000"/>
              </w:rPr>
              <w:t xml:space="preserve">within the stated time horizon </w:t>
            </w:r>
            <w:r w:rsidR="007F5753" w:rsidRPr="00573C52">
              <w:rPr>
                <w:rFonts w:cs="Times New Roman"/>
                <w:color w:val="000000"/>
              </w:rPr>
              <w:t>when the spread fell by one standard deviation from its mean. Standard errors are in parentheses. The level of significance is indicated by the number of stars: * significant at 10%; ** significant at 5%; *** significant at 1%.</w:t>
            </w:r>
          </w:p>
          <w:p w14:paraId="63F146F8" w14:textId="77777777" w:rsidR="008E13AC" w:rsidRPr="00B43DDB" w:rsidRDefault="008E13AC" w:rsidP="00EB1B3C">
            <w:pPr>
              <w:spacing w:line="240" w:lineRule="auto"/>
              <w:rPr>
                <w:rFonts w:eastAsia="Times New Roman" w:cs="Times New Roman"/>
                <w:sz w:val="20"/>
                <w:szCs w:val="20"/>
                <w:lang w:val="en-CA" w:eastAsia="en-CA"/>
              </w:rPr>
            </w:pPr>
          </w:p>
        </w:tc>
      </w:tr>
      <w:bookmarkEnd w:id="31"/>
    </w:tbl>
    <w:p w14:paraId="153ACCB7" w14:textId="77777777" w:rsidR="00B866EA" w:rsidRDefault="00B866EA" w:rsidP="00486195">
      <w:pPr>
        <w:keepNext/>
        <w:spacing w:line="480" w:lineRule="auto"/>
      </w:pPr>
    </w:p>
    <w:p w14:paraId="4F729BE7" w14:textId="6697BAC8" w:rsidR="00486195" w:rsidRDefault="002D2119" w:rsidP="00486195">
      <w:pPr>
        <w:keepNext/>
        <w:spacing w:line="480" w:lineRule="auto"/>
      </w:pPr>
      <w:r w:rsidRPr="006B5B91">
        <w:rPr>
          <w:rFonts w:cs="Times New Roman"/>
          <w:noProof/>
          <w:lang w:val="en-US"/>
        </w:rPr>
        <w:drawing>
          <wp:inline distT="0" distB="0" distL="0" distR="0" wp14:anchorId="27123CC5" wp14:editId="13BA48C9">
            <wp:extent cx="5943600" cy="3067050"/>
            <wp:effectExtent l="0" t="0" r="0" b="0"/>
            <wp:docPr id="4" name="Chart 4">
              <a:extLst xmlns:a="http://schemas.openxmlformats.org/drawingml/2006/main">
                <a:ext uri="{FF2B5EF4-FFF2-40B4-BE49-F238E27FC236}">
                  <a16:creationId xmlns:a16="http://schemas.microsoft.com/office/drawing/2014/main" id="{9D17EBEE-3452-43FE-9AF2-E819F2297E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2C692D" w14:textId="7475F7A7" w:rsidR="004D1CF5" w:rsidRPr="00AD1ECB" w:rsidRDefault="00486195" w:rsidP="00486195">
      <w:pPr>
        <w:rPr>
          <w:rFonts w:cs="Times New Roman"/>
          <w:lang w:val="en-CA"/>
        </w:rPr>
      </w:pPr>
      <w:bookmarkStart w:id="32" w:name="_Toc37263457"/>
      <w:r w:rsidRPr="00486195">
        <w:rPr>
          <w:i/>
          <w:iCs/>
        </w:rPr>
        <w:t xml:space="preserve">Figure </w:t>
      </w:r>
      <w:r w:rsidRPr="00486195">
        <w:rPr>
          <w:i/>
          <w:iCs/>
        </w:rPr>
        <w:fldChar w:fldCharType="begin"/>
      </w:r>
      <w:r w:rsidRPr="00486195">
        <w:rPr>
          <w:i/>
          <w:iCs/>
        </w:rPr>
        <w:instrText xml:space="preserve"> SEQ Figure \* ARABIC </w:instrText>
      </w:r>
      <w:r w:rsidRPr="00486195">
        <w:rPr>
          <w:i/>
          <w:iCs/>
        </w:rPr>
        <w:fldChar w:fldCharType="separate"/>
      </w:r>
      <w:r w:rsidR="00AC0696">
        <w:rPr>
          <w:i/>
          <w:iCs/>
          <w:noProof/>
        </w:rPr>
        <w:t>6</w:t>
      </w:r>
      <w:r w:rsidRPr="00486195">
        <w:rPr>
          <w:i/>
          <w:iCs/>
        </w:rPr>
        <w:fldChar w:fldCharType="end"/>
      </w:r>
      <w:r>
        <w:rPr>
          <w:i/>
          <w:iCs/>
        </w:rPr>
        <w:t xml:space="preserve">. </w:t>
      </w:r>
      <w:r w:rsidRPr="00AD1ECB">
        <w:t>Fitted probabilities of recession twelve months ahead.</w:t>
      </w:r>
      <w:bookmarkEnd w:id="32"/>
    </w:p>
    <w:p w14:paraId="128170C5" w14:textId="0BC544BE" w:rsidR="00465597" w:rsidRPr="006B5B91" w:rsidRDefault="00E2444B" w:rsidP="00FD0B8D">
      <w:pPr>
        <w:spacing w:line="480" w:lineRule="auto"/>
        <w:ind w:firstLine="720"/>
        <w:rPr>
          <w:rFonts w:cs="Times New Roman"/>
          <w:lang w:val="en-CA"/>
        </w:rPr>
      </w:pPr>
      <w:r w:rsidRPr="00475E29">
        <w:rPr>
          <w:rFonts w:cs="Times New Roman"/>
          <w:lang w:val="en-CA"/>
        </w:rPr>
        <w:lastRenderedPageBreak/>
        <w:t xml:space="preserve">Table </w:t>
      </w:r>
      <w:r w:rsidR="008E13AC" w:rsidRPr="00475E29">
        <w:rPr>
          <w:rFonts w:cs="Times New Roman"/>
          <w:lang w:val="en-CA"/>
        </w:rPr>
        <w:t>5</w:t>
      </w:r>
      <w:r w:rsidRPr="00475E29">
        <w:rPr>
          <w:rFonts w:cs="Times New Roman"/>
          <w:lang w:val="en-CA"/>
        </w:rPr>
        <w:t xml:space="preserve"> show</w:t>
      </w:r>
      <w:r w:rsidR="006D2852" w:rsidRPr="00475E29">
        <w:rPr>
          <w:rFonts w:cs="Times New Roman"/>
          <w:lang w:val="en-CA"/>
        </w:rPr>
        <w:t>s</w:t>
      </w:r>
      <w:r w:rsidRPr="00475E29">
        <w:rPr>
          <w:rFonts w:cs="Times New Roman"/>
          <w:lang w:val="en-CA"/>
        </w:rPr>
        <w:t xml:space="preserve"> the results of the probit model using OECD recession dates</w:t>
      </w:r>
      <w:r w:rsidR="006D2852" w:rsidRPr="00475E29">
        <w:rPr>
          <w:rFonts w:cs="Times New Roman"/>
          <w:lang w:val="en-CA"/>
        </w:rPr>
        <w:t>.</w:t>
      </w:r>
      <w:r w:rsidRPr="00475E29">
        <w:rPr>
          <w:rFonts w:cs="Times New Roman"/>
          <w:lang w:val="en-CA"/>
        </w:rPr>
        <w:t xml:space="preserve"> </w:t>
      </w:r>
      <w:r w:rsidR="000F4482" w:rsidRPr="00475E29">
        <w:rPr>
          <w:rFonts w:cs="Times New Roman"/>
          <w:lang w:val="en-CA"/>
        </w:rPr>
        <w:t>Similar to the previous model, results across the three spreads are fairly close in value</w:t>
      </w:r>
      <w:r w:rsidR="00EC5E64" w:rsidRPr="00475E29">
        <w:rPr>
          <w:rFonts w:cs="Times New Roman"/>
          <w:lang w:val="en-CA"/>
        </w:rPr>
        <w:t>, especially for forecast horizons of 12-months and 18-months ahead</w:t>
      </w:r>
      <w:r w:rsidR="000F4482" w:rsidRPr="00475E29">
        <w:rPr>
          <w:rFonts w:cs="Times New Roman"/>
          <w:lang w:val="en-CA"/>
        </w:rPr>
        <w:t xml:space="preserve">. However, </w:t>
      </w:r>
      <w:r w:rsidR="00EC5E64" w:rsidRPr="00475E29">
        <w:rPr>
          <w:rFonts w:cs="Times New Roman"/>
          <w:lang w:val="en-CA"/>
        </w:rPr>
        <w:t xml:space="preserve">unlike the previous model, the near-term forward spread </w:t>
      </w:r>
      <w:r w:rsidR="00160E8D" w:rsidRPr="00475E29">
        <w:rPr>
          <w:rFonts w:cs="Times New Roman"/>
          <w:lang w:val="en-CA"/>
        </w:rPr>
        <w:t>is weakly dominated by</w:t>
      </w:r>
      <w:r w:rsidR="00EC5E64" w:rsidRPr="00475E29">
        <w:rPr>
          <w:rFonts w:cs="Times New Roman"/>
          <w:lang w:val="en-CA"/>
        </w:rPr>
        <w:t xml:space="preserve"> both the long-term spreads. T</w:t>
      </w:r>
      <w:r w:rsidR="000F4482" w:rsidRPr="00475E29">
        <w:rPr>
          <w:rFonts w:cs="Times New Roman"/>
          <w:lang w:val="en-CA"/>
        </w:rPr>
        <w:t xml:space="preserve">he 10y-2y yield spread </w:t>
      </w:r>
      <w:r w:rsidR="00160E8D" w:rsidRPr="00475E29">
        <w:rPr>
          <w:rFonts w:cs="Times New Roman"/>
          <w:lang w:val="en-CA"/>
        </w:rPr>
        <w:t>shows a higher effect than both the 10y-3m yield spread and the near-term forward spread</w:t>
      </w:r>
      <w:r w:rsidR="00EC5E64" w:rsidRPr="00475E29">
        <w:rPr>
          <w:rFonts w:cs="Times New Roman"/>
          <w:lang w:val="en-CA"/>
        </w:rPr>
        <w:t xml:space="preserve"> </w:t>
      </w:r>
      <w:r w:rsidR="00E92198">
        <w:rPr>
          <w:rFonts w:cs="Times New Roman"/>
          <w:lang w:val="en-CA"/>
        </w:rPr>
        <w:t>for</w:t>
      </w:r>
      <w:r w:rsidR="00EC5E64" w:rsidRPr="00475E29">
        <w:rPr>
          <w:rFonts w:cs="Times New Roman"/>
          <w:lang w:val="en-CA"/>
        </w:rPr>
        <w:t xml:space="preserve"> all three forecast horizons</w:t>
      </w:r>
      <w:r w:rsidR="000149D0" w:rsidRPr="00475E29">
        <w:rPr>
          <w:rFonts w:cs="Times New Roman"/>
          <w:lang w:val="en-CA"/>
        </w:rPr>
        <w:t xml:space="preserve">. All results </w:t>
      </w:r>
      <w:r w:rsidR="00914A57" w:rsidRPr="00475E29">
        <w:rPr>
          <w:rFonts w:cs="Times New Roman"/>
          <w:lang w:val="en-CA"/>
        </w:rPr>
        <w:t>are</w:t>
      </w:r>
      <w:r w:rsidR="000149D0" w:rsidRPr="00475E29">
        <w:rPr>
          <w:rFonts w:cs="Times New Roman"/>
          <w:lang w:val="en-CA"/>
        </w:rPr>
        <w:t xml:space="preserve"> statistically significant at the 1% significance</w:t>
      </w:r>
      <w:r w:rsidR="00EC5E64">
        <w:rPr>
          <w:rFonts w:cs="Times New Roman"/>
          <w:lang w:val="en-CA"/>
        </w:rPr>
        <w:t>.</w:t>
      </w:r>
    </w:p>
    <w:p w14:paraId="2C400569" w14:textId="77777777" w:rsidR="00D90A01" w:rsidRPr="006B5B91" w:rsidRDefault="00D90A01" w:rsidP="00465597">
      <w:pPr>
        <w:rPr>
          <w:rFonts w:cs="Times New Roman"/>
          <w:lang w:val="en-CA"/>
        </w:rPr>
      </w:pPr>
    </w:p>
    <w:tbl>
      <w:tblPr>
        <w:tblW w:w="9356" w:type="dxa"/>
        <w:tblLook w:val="04A0" w:firstRow="1" w:lastRow="0" w:firstColumn="1" w:lastColumn="0" w:noHBand="0" w:noVBand="1"/>
      </w:tblPr>
      <w:tblGrid>
        <w:gridCol w:w="3336"/>
        <w:gridCol w:w="2193"/>
        <w:gridCol w:w="1984"/>
        <w:gridCol w:w="1843"/>
      </w:tblGrid>
      <w:tr w:rsidR="00962F7D" w:rsidRPr="006B5B91" w14:paraId="6F00EAB8" w14:textId="77777777" w:rsidTr="00777877">
        <w:trPr>
          <w:trHeight w:val="315"/>
        </w:trPr>
        <w:tc>
          <w:tcPr>
            <w:tcW w:w="9356" w:type="dxa"/>
            <w:gridSpan w:val="4"/>
            <w:tcBorders>
              <w:top w:val="nil"/>
              <w:left w:val="nil"/>
              <w:bottom w:val="double" w:sz="6" w:space="0" w:color="auto"/>
              <w:right w:val="nil"/>
            </w:tcBorders>
            <w:shd w:val="clear" w:color="auto" w:fill="auto"/>
            <w:noWrap/>
            <w:vAlign w:val="center"/>
            <w:hideMark/>
          </w:tcPr>
          <w:p w14:paraId="73113844" w14:textId="49687B37" w:rsidR="00DA5E82" w:rsidRDefault="00DA5E82" w:rsidP="00AD1ECB">
            <w:bookmarkStart w:id="33" w:name="_Toc37261611"/>
            <w:bookmarkStart w:id="34" w:name="_Hlk39404957"/>
            <w:r>
              <w:t xml:space="preserve">Table </w:t>
            </w:r>
            <w:r w:rsidR="009C4B5A">
              <w:fldChar w:fldCharType="begin"/>
            </w:r>
            <w:r w:rsidR="009C4B5A">
              <w:instrText xml:space="preserve"> SEQ Table \* ARABIC </w:instrText>
            </w:r>
            <w:r w:rsidR="009C4B5A">
              <w:fldChar w:fldCharType="separate"/>
            </w:r>
            <w:r w:rsidR="00AC0696">
              <w:rPr>
                <w:noProof/>
              </w:rPr>
              <w:t>5</w:t>
            </w:r>
            <w:bookmarkEnd w:id="33"/>
            <w:r w:rsidR="009C4B5A">
              <w:rPr>
                <w:noProof/>
              </w:rPr>
              <w:fldChar w:fldCharType="end"/>
            </w:r>
          </w:p>
          <w:p w14:paraId="2F1C62A4" w14:textId="34CCF4E3" w:rsidR="00962F7D" w:rsidRPr="00B86D3A" w:rsidRDefault="00B86D3A" w:rsidP="00A02A56">
            <w:pPr>
              <w:spacing w:line="240" w:lineRule="auto"/>
              <w:rPr>
                <w:rFonts w:eastAsia="Times New Roman" w:cs="Times New Roman"/>
                <w:i/>
                <w:iCs/>
                <w:color w:val="000000"/>
                <w:lang w:val="en-CA" w:eastAsia="en-CA"/>
              </w:rPr>
            </w:pPr>
            <w:r w:rsidRPr="00AD1ECB">
              <w:rPr>
                <w:rFonts w:eastAsia="Times New Roman" w:cs="Times New Roman"/>
                <w:i/>
                <w:iCs/>
                <w:color w:val="000000"/>
                <w:lang w:val="en-CA" w:eastAsia="en-CA"/>
              </w:rPr>
              <w:t xml:space="preserve">Regression Results of </w:t>
            </w:r>
            <w:r w:rsidR="00962F7D" w:rsidRPr="00B86D3A">
              <w:rPr>
                <w:rFonts w:eastAsia="Times New Roman" w:cs="Times New Roman"/>
                <w:i/>
                <w:iCs/>
                <w:color w:val="000000"/>
                <w:lang w:val="en-CA" w:eastAsia="en-CA"/>
              </w:rPr>
              <w:t>Recession Forecast</w:t>
            </w:r>
            <w:r>
              <w:rPr>
                <w:rFonts w:eastAsia="Times New Roman" w:cs="Times New Roman"/>
                <w:i/>
                <w:iCs/>
                <w:color w:val="000000"/>
                <w:lang w:val="en-CA" w:eastAsia="en-CA"/>
              </w:rPr>
              <w:t>ing</w:t>
            </w:r>
            <w:r w:rsidR="00962F7D" w:rsidRPr="00B86D3A">
              <w:rPr>
                <w:rFonts w:eastAsia="Times New Roman" w:cs="Times New Roman"/>
                <w:i/>
                <w:iCs/>
                <w:color w:val="000000"/>
                <w:lang w:val="en-CA" w:eastAsia="en-CA"/>
              </w:rPr>
              <w:t xml:space="preserve"> using OECD Recession Dates</w:t>
            </w:r>
          </w:p>
        </w:tc>
      </w:tr>
      <w:tr w:rsidR="00777877" w:rsidRPr="006B5B91" w14:paraId="1553F394" w14:textId="77777777" w:rsidTr="00777877">
        <w:trPr>
          <w:trHeight w:val="363"/>
        </w:trPr>
        <w:tc>
          <w:tcPr>
            <w:tcW w:w="9356" w:type="dxa"/>
            <w:gridSpan w:val="4"/>
            <w:tcBorders>
              <w:top w:val="nil"/>
              <w:left w:val="nil"/>
              <w:right w:val="nil"/>
            </w:tcBorders>
            <w:shd w:val="clear" w:color="auto" w:fill="auto"/>
            <w:noWrap/>
            <w:vAlign w:val="bottom"/>
            <w:hideMark/>
          </w:tcPr>
          <w:p w14:paraId="5652E271" w14:textId="77777777" w:rsidR="00777877" w:rsidRDefault="00777877" w:rsidP="00A02A56">
            <w:pPr>
              <w:spacing w:line="240" w:lineRule="auto"/>
              <w:rPr>
                <w:rFonts w:eastAsiaTheme="minorEastAsia"/>
                <w:lang w:val="en-CA"/>
              </w:rPr>
            </w:pPr>
          </w:p>
          <w:p w14:paraId="4B2DE5A6" w14:textId="7A75305D" w:rsidR="00777877" w:rsidRPr="00777877" w:rsidRDefault="009C4B5A" w:rsidP="00A02A56">
            <w:pPr>
              <w:spacing w:line="240" w:lineRule="auto"/>
              <w:rPr>
                <w:rFonts w:eastAsia="Times New Roman" w:cs="Times New Roman"/>
                <w:lang w:val="en-CA"/>
              </w:rPr>
            </w:pPr>
            <m:oMathPara>
              <m:oMath>
                <m:func>
                  <m:funcPr>
                    <m:ctrlPr>
                      <w:rPr>
                        <w:rFonts w:ascii="Cambria Math" w:hAnsi="Cambria Math" w:cs="Times New Roman"/>
                        <w:lang w:val="en-CA"/>
                      </w:rPr>
                    </m:ctrlPr>
                  </m:funcPr>
                  <m:fName>
                    <m:r>
                      <m:rPr>
                        <m:sty m:val="p"/>
                      </m:rPr>
                      <w:rPr>
                        <w:rFonts w:ascii="Cambria Math" w:hAnsi="Cambria Math" w:cs="Times New Roman"/>
                        <w:lang w:val="en-CA"/>
                      </w:rPr>
                      <m:t>Pr</m:t>
                    </m:r>
                  </m:fName>
                  <m:e>
                    <m:d>
                      <m:dPr>
                        <m:ctrlPr>
                          <w:rPr>
                            <w:rFonts w:ascii="Cambria Math" w:hAnsi="Cambria Math" w:cs="Times New Roman"/>
                            <w:i/>
                            <w:lang w:val="en-CA"/>
                          </w:rPr>
                        </m:ctrlPr>
                      </m:dPr>
                      <m:e>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r>
                          <w:rPr>
                            <w:rFonts w:ascii="Cambria Math" w:hAnsi="Cambria Math" w:cs="Times New Roman"/>
                            <w:lang w:val="en-CA"/>
                          </w:rPr>
                          <m:t>=1</m:t>
                        </m:r>
                      </m:e>
                    </m:d>
                  </m:e>
                </m:func>
                <m:r>
                  <w:rPr>
                    <w:rFonts w:ascii="Cambria Math" w:hAnsi="Cambria Math" w:cs="Times New Roman"/>
                    <w:lang w:val="en-CA"/>
                  </w:rPr>
                  <m:t>=ϕ</m:t>
                </m:r>
                <m:d>
                  <m:dPr>
                    <m:ctrlPr>
                      <w:rPr>
                        <w:rFonts w:ascii="Cambria Math" w:hAnsi="Cambria Math" w:cs="Times New Roman"/>
                        <w:i/>
                        <w:lang w:val="en-CA"/>
                      </w:rPr>
                    </m:ctrlPr>
                  </m:dPr>
                  <m:e>
                    <m:r>
                      <w:rPr>
                        <w:rFonts w:ascii="Cambria Math" w:hAnsi="Cambria Math" w:cs="Times New Roman"/>
                        <w:lang w:val="en-CA"/>
                      </w:rPr>
                      <m:t>α+β*</m:t>
                    </m:r>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e>
                </m:d>
              </m:oMath>
            </m:oMathPara>
          </w:p>
          <w:p w14:paraId="7602DD7B" w14:textId="77777777" w:rsidR="00777877" w:rsidRPr="00777877" w:rsidRDefault="00777877" w:rsidP="00A02A56">
            <w:pPr>
              <w:spacing w:line="240" w:lineRule="auto"/>
              <w:rPr>
                <w:rFonts w:eastAsia="Times New Roman" w:cs="Times New Roman"/>
                <w:lang w:val="en-CA"/>
              </w:rPr>
            </w:pPr>
          </w:p>
          <w:p w14:paraId="1C7A27C2" w14:textId="33AB3C1D" w:rsidR="00777877" w:rsidRPr="00B43DDB" w:rsidRDefault="00777877" w:rsidP="00A02A56">
            <w:pPr>
              <w:spacing w:line="240" w:lineRule="auto"/>
              <w:rPr>
                <w:rFonts w:eastAsia="Times New Roman" w:cs="Times New Roman"/>
                <w:sz w:val="20"/>
                <w:szCs w:val="20"/>
                <w:lang w:val="en-CA" w:eastAsia="en-CA"/>
              </w:rPr>
            </w:pPr>
          </w:p>
        </w:tc>
      </w:tr>
      <w:tr w:rsidR="00962F7D" w:rsidRPr="006B5B91" w14:paraId="60D85C9E" w14:textId="77777777" w:rsidTr="00777877">
        <w:trPr>
          <w:trHeight w:val="300"/>
        </w:trPr>
        <w:tc>
          <w:tcPr>
            <w:tcW w:w="3336" w:type="dxa"/>
            <w:tcBorders>
              <w:top w:val="nil"/>
              <w:left w:val="nil"/>
              <w:bottom w:val="single" w:sz="4" w:space="0" w:color="auto"/>
              <w:right w:val="nil"/>
            </w:tcBorders>
            <w:shd w:val="clear" w:color="auto" w:fill="auto"/>
            <w:noWrap/>
            <w:vAlign w:val="center"/>
            <w:hideMark/>
          </w:tcPr>
          <w:p w14:paraId="50B42DC9" w14:textId="72D42743" w:rsidR="00962F7D" w:rsidRPr="00B43DDB" w:rsidRDefault="00777877" w:rsidP="00A02A56">
            <w:pPr>
              <w:spacing w:line="240" w:lineRule="auto"/>
              <w:rPr>
                <w:rFonts w:eastAsia="Times New Roman" w:cs="Times New Roman"/>
                <w:sz w:val="20"/>
                <w:szCs w:val="20"/>
                <w:lang w:val="en-CA" w:eastAsia="en-CA"/>
              </w:rPr>
            </w:pPr>
            <w:r w:rsidRPr="00777877">
              <w:rPr>
                <w:rFonts w:eastAsia="Times New Roman" w:cs="Times New Roman"/>
                <w:lang w:val="en-CA" w:eastAsia="en-CA"/>
              </w:rPr>
              <w:t>Explanatory Variables</w:t>
            </w:r>
          </w:p>
        </w:tc>
        <w:tc>
          <w:tcPr>
            <w:tcW w:w="2193" w:type="dxa"/>
            <w:tcBorders>
              <w:top w:val="nil"/>
              <w:left w:val="nil"/>
              <w:bottom w:val="single" w:sz="4" w:space="0" w:color="auto"/>
              <w:right w:val="nil"/>
            </w:tcBorders>
            <w:shd w:val="clear" w:color="auto" w:fill="auto"/>
            <w:noWrap/>
            <w:vAlign w:val="center"/>
            <w:hideMark/>
          </w:tcPr>
          <w:p w14:paraId="2B4D5AA0" w14:textId="77777777" w:rsidR="00962F7D" w:rsidRPr="00B43DDB" w:rsidRDefault="00962F7D" w:rsidP="00A02A56">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12 months ahead</w:t>
            </w:r>
          </w:p>
        </w:tc>
        <w:tc>
          <w:tcPr>
            <w:tcW w:w="1984" w:type="dxa"/>
            <w:tcBorders>
              <w:top w:val="nil"/>
              <w:left w:val="nil"/>
              <w:bottom w:val="single" w:sz="4" w:space="0" w:color="auto"/>
              <w:right w:val="nil"/>
            </w:tcBorders>
            <w:shd w:val="clear" w:color="auto" w:fill="auto"/>
            <w:noWrap/>
            <w:vAlign w:val="center"/>
            <w:hideMark/>
          </w:tcPr>
          <w:p w14:paraId="519A8776" w14:textId="77777777" w:rsidR="00962F7D" w:rsidRPr="00B43DDB" w:rsidRDefault="00962F7D" w:rsidP="00A02A56">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18 months ahead</w:t>
            </w:r>
          </w:p>
        </w:tc>
        <w:tc>
          <w:tcPr>
            <w:tcW w:w="1843" w:type="dxa"/>
            <w:tcBorders>
              <w:top w:val="nil"/>
              <w:left w:val="nil"/>
              <w:bottom w:val="single" w:sz="4" w:space="0" w:color="auto"/>
              <w:right w:val="nil"/>
            </w:tcBorders>
            <w:shd w:val="clear" w:color="auto" w:fill="auto"/>
            <w:noWrap/>
            <w:vAlign w:val="center"/>
            <w:hideMark/>
          </w:tcPr>
          <w:p w14:paraId="304BA3D1" w14:textId="77777777" w:rsidR="00962F7D" w:rsidRPr="00B43DDB" w:rsidRDefault="00962F7D" w:rsidP="00A02A56">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24 months ahead</w:t>
            </w:r>
          </w:p>
        </w:tc>
      </w:tr>
      <w:tr w:rsidR="00962F7D" w:rsidRPr="006B5B91" w14:paraId="50AA98CD" w14:textId="77777777" w:rsidTr="00777877">
        <w:trPr>
          <w:trHeight w:val="300"/>
        </w:trPr>
        <w:tc>
          <w:tcPr>
            <w:tcW w:w="3336" w:type="dxa"/>
            <w:tcBorders>
              <w:top w:val="single" w:sz="4" w:space="0" w:color="auto"/>
              <w:left w:val="nil"/>
              <w:bottom w:val="nil"/>
              <w:right w:val="nil"/>
            </w:tcBorders>
            <w:shd w:val="clear" w:color="auto" w:fill="auto"/>
            <w:noWrap/>
            <w:vAlign w:val="center"/>
            <w:hideMark/>
          </w:tcPr>
          <w:p w14:paraId="6766157A" w14:textId="77777777" w:rsidR="00962F7D" w:rsidRPr="00B43DDB" w:rsidRDefault="00962F7D" w:rsidP="00A02A56">
            <w:pPr>
              <w:spacing w:line="240" w:lineRule="auto"/>
              <w:rPr>
                <w:rFonts w:eastAsia="Times New Roman" w:cs="Times New Roman"/>
                <w:color w:val="000000"/>
                <w:lang w:val="en-CA" w:eastAsia="en-CA"/>
              </w:rPr>
            </w:pPr>
          </w:p>
        </w:tc>
        <w:tc>
          <w:tcPr>
            <w:tcW w:w="6020" w:type="dxa"/>
            <w:gridSpan w:val="3"/>
            <w:tcBorders>
              <w:top w:val="single" w:sz="4" w:space="0" w:color="auto"/>
              <w:left w:val="nil"/>
              <w:bottom w:val="nil"/>
              <w:right w:val="nil"/>
            </w:tcBorders>
            <w:shd w:val="clear" w:color="auto" w:fill="auto"/>
            <w:noWrap/>
            <w:vAlign w:val="center"/>
            <w:hideMark/>
          </w:tcPr>
          <w:p w14:paraId="5252E1BB" w14:textId="77777777" w:rsidR="00962F7D" w:rsidRPr="00B43DDB" w:rsidRDefault="00962F7D" w:rsidP="00A02A56">
            <w:pPr>
              <w:spacing w:line="240" w:lineRule="auto"/>
              <w:jc w:val="center"/>
              <w:rPr>
                <w:rFonts w:eastAsia="Times New Roman" w:cs="Times New Roman"/>
                <w:color w:val="000000"/>
                <w:lang w:val="en-CA" w:eastAsia="en-CA"/>
              </w:rPr>
            </w:pPr>
          </w:p>
        </w:tc>
      </w:tr>
      <w:tr w:rsidR="00741D67" w:rsidRPr="006B5B91" w14:paraId="2DD8A645" w14:textId="77777777" w:rsidTr="00475E29">
        <w:trPr>
          <w:trHeight w:val="300"/>
        </w:trPr>
        <w:tc>
          <w:tcPr>
            <w:tcW w:w="3336" w:type="dxa"/>
            <w:tcBorders>
              <w:top w:val="nil"/>
              <w:left w:val="nil"/>
              <w:bottom w:val="nil"/>
              <w:right w:val="nil"/>
            </w:tcBorders>
            <w:shd w:val="clear" w:color="auto" w:fill="auto"/>
            <w:noWrap/>
            <w:vAlign w:val="center"/>
            <w:hideMark/>
          </w:tcPr>
          <w:p w14:paraId="3BB4D075" w14:textId="5DD3050F" w:rsidR="00741D67" w:rsidRPr="00B43DDB" w:rsidRDefault="00741D67" w:rsidP="00741D67">
            <w:pPr>
              <w:spacing w:line="240" w:lineRule="auto"/>
              <w:rPr>
                <w:rFonts w:eastAsia="Times New Roman" w:cs="Times New Roman"/>
                <w:color w:val="000000"/>
                <w:lang w:val="en-CA" w:eastAsia="en-CA"/>
              </w:rPr>
            </w:pPr>
            <w:r>
              <w:rPr>
                <w:rFonts w:eastAsia="Times New Roman" w:cs="Times New Roman"/>
                <w:color w:val="000000"/>
                <w:lang w:val="en-CA" w:eastAsia="en-CA"/>
              </w:rPr>
              <w:t xml:space="preserve">Near-term forward </w:t>
            </w:r>
            <w:r w:rsidR="0023613D">
              <w:rPr>
                <w:rFonts w:eastAsia="Times New Roman" w:cs="Times New Roman"/>
                <w:color w:val="000000"/>
                <w:lang w:val="en-CA" w:eastAsia="en-CA"/>
              </w:rPr>
              <w:t>spread</w:t>
            </w:r>
          </w:p>
        </w:tc>
        <w:tc>
          <w:tcPr>
            <w:tcW w:w="2193" w:type="dxa"/>
            <w:tcBorders>
              <w:top w:val="nil"/>
              <w:left w:val="nil"/>
              <w:bottom w:val="nil"/>
              <w:right w:val="nil"/>
            </w:tcBorders>
            <w:shd w:val="clear" w:color="auto" w:fill="auto"/>
            <w:noWrap/>
            <w:vAlign w:val="center"/>
            <w:hideMark/>
          </w:tcPr>
          <w:p w14:paraId="22ADE622" w14:textId="76167341" w:rsidR="00741D67" w:rsidRPr="00B43DDB" w:rsidRDefault="00741D67" w:rsidP="00741D67">
            <w:pPr>
              <w:spacing w:line="240" w:lineRule="auto"/>
              <w:jc w:val="center"/>
              <w:rPr>
                <w:rFonts w:eastAsia="Times New Roman" w:cs="Times New Roman"/>
                <w:color w:val="000000"/>
                <w:vertAlign w:val="superscript"/>
                <w:lang w:val="en-CA" w:eastAsia="en-CA"/>
              </w:rPr>
            </w:pPr>
            <w:r w:rsidRPr="00B43DDB">
              <w:rPr>
                <w:rFonts w:eastAsia="Times New Roman" w:cs="Times New Roman"/>
                <w:color w:val="000000"/>
                <w:lang w:val="en-CA" w:eastAsia="en-CA"/>
              </w:rPr>
              <w:t>-0.09</w:t>
            </w:r>
            <w:r w:rsidR="00894A15">
              <w:rPr>
                <w:rFonts w:eastAsia="Times New Roman" w:cs="Times New Roman"/>
                <w:color w:val="000000"/>
                <w:lang w:val="en-CA" w:eastAsia="en-CA"/>
              </w:rPr>
              <w:t>41</w:t>
            </w:r>
            <w:r w:rsidRPr="00B43DDB">
              <w:rPr>
                <w:rFonts w:eastAsia="Times New Roman" w:cs="Times New Roman"/>
                <w:color w:val="000000"/>
                <w:vertAlign w:val="superscript"/>
                <w:lang w:val="en-CA" w:eastAsia="en-CA"/>
              </w:rPr>
              <w:t>**</w:t>
            </w:r>
            <w:r w:rsidR="00894A15">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046260BA" w14:textId="2245D642"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3B3E34">
              <w:rPr>
                <w:rFonts w:eastAsia="Times New Roman" w:cs="Times New Roman"/>
                <w:color w:val="000000"/>
                <w:lang w:val="en-CA" w:eastAsia="en-CA"/>
              </w:rPr>
              <w:t>1287</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4D255FCA" w14:textId="6B505D8C"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3B3E34">
              <w:rPr>
                <w:rFonts w:eastAsia="Times New Roman" w:cs="Times New Roman"/>
                <w:color w:val="000000"/>
                <w:lang w:val="en-CA" w:eastAsia="en-CA"/>
              </w:rPr>
              <w:t>154</w:t>
            </w:r>
            <w:r w:rsidRPr="00B43DDB">
              <w:rPr>
                <w:rFonts w:eastAsia="Times New Roman" w:cs="Times New Roman"/>
                <w:color w:val="000000"/>
                <w:vertAlign w:val="superscript"/>
                <w:lang w:val="en-CA" w:eastAsia="en-CA"/>
              </w:rPr>
              <w:t>***</w:t>
            </w:r>
          </w:p>
        </w:tc>
      </w:tr>
      <w:tr w:rsidR="00741D67" w:rsidRPr="006B5B91" w14:paraId="55A2869D" w14:textId="77777777" w:rsidTr="00475E29">
        <w:trPr>
          <w:trHeight w:val="300"/>
        </w:trPr>
        <w:tc>
          <w:tcPr>
            <w:tcW w:w="3336" w:type="dxa"/>
            <w:tcBorders>
              <w:top w:val="nil"/>
              <w:left w:val="nil"/>
              <w:bottom w:val="nil"/>
              <w:right w:val="nil"/>
            </w:tcBorders>
            <w:shd w:val="clear" w:color="auto" w:fill="auto"/>
            <w:noWrap/>
            <w:vAlign w:val="center"/>
            <w:hideMark/>
          </w:tcPr>
          <w:p w14:paraId="6B6F6F65" w14:textId="77777777" w:rsidR="00741D67" w:rsidRPr="00B43DDB"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2D1156BA" w14:textId="7878C323"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(0.03</w:t>
            </w:r>
            <w:r w:rsidR="00894A15">
              <w:rPr>
                <w:rFonts w:eastAsia="Times New Roman" w:cs="Times New Roman"/>
                <w:color w:val="000000"/>
                <w:lang w:val="en-CA" w:eastAsia="en-CA"/>
              </w:rPr>
              <w:t>46</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0D38D9BE" w14:textId="4000DB76"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3B3E34">
              <w:rPr>
                <w:rFonts w:eastAsia="Times New Roman" w:cs="Times New Roman"/>
                <w:color w:val="000000"/>
                <w:lang w:val="en-CA" w:eastAsia="en-CA"/>
              </w:rPr>
              <w:t>350</w:t>
            </w:r>
            <w:r w:rsidRPr="00B43DDB">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5905FC07" w14:textId="6243E382"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(0.02</w:t>
            </w:r>
            <w:r w:rsidR="003B3E34">
              <w:rPr>
                <w:rFonts w:eastAsia="Times New Roman" w:cs="Times New Roman"/>
                <w:color w:val="000000"/>
                <w:lang w:val="en-CA" w:eastAsia="en-CA"/>
              </w:rPr>
              <w:t>95</w:t>
            </w:r>
            <w:r w:rsidRPr="00B43DDB">
              <w:rPr>
                <w:rFonts w:eastAsia="Times New Roman" w:cs="Times New Roman"/>
                <w:color w:val="000000"/>
                <w:lang w:val="en-CA" w:eastAsia="en-CA"/>
              </w:rPr>
              <w:t>)</w:t>
            </w:r>
          </w:p>
        </w:tc>
      </w:tr>
      <w:tr w:rsidR="00741D67" w:rsidRPr="006B5B91" w14:paraId="6D366278" w14:textId="77777777" w:rsidTr="00475E29">
        <w:trPr>
          <w:trHeight w:val="315"/>
        </w:trPr>
        <w:tc>
          <w:tcPr>
            <w:tcW w:w="3336" w:type="dxa"/>
            <w:tcBorders>
              <w:top w:val="nil"/>
              <w:left w:val="nil"/>
              <w:bottom w:val="nil"/>
              <w:right w:val="nil"/>
            </w:tcBorders>
            <w:shd w:val="clear" w:color="auto" w:fill="auto"/>
            <w:noWrap/>
            <w:vAlign w:val="center"/>
            <w:hideMark/>
          </w:tcPr>
          <w:p w14:paraId="5713085B" w14:textId="77777777" w:rsidR="00741D67" w:rsidRPr="00B43DDB" w:rsidRDefault="00741D67" w:rsidP="00741D67">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 xml:space="preserve"> </w:t>
            </w:r>
          </w:p>
        </w:tc>
        <w:tc>
          <w:tcPr>
            <w:tcW w:w="2193" w:type="dxa"/>
            <w:tcBorders>
              <w:top w:val="nil"/>
              <w:left w:val="nil"/>
              <w:bottom w:val="nil"/>
              <w:right w:val="nil"/>
            </w:tcBorders>
            <w:shd w:val="clear" w:color="auto" w:fill="auto"/>
            <w:noWrap/>
            <w:vAlign w:val="center"/>
            <w:hideMark/>
          </w:tcPr>
          <w:p w14:paraId="1034644D" w14:textId="77777777" w:rsidR="00741D67" w:rsidRPr="00B43DDB" w:rsidRDefault="00741D67" w:rsidP="00741D67">
            <w:pPr>
              <w:spacing w:line="240" w:lineRule="auto"/>
              <w:rPr>
                <w:rFonts w:eastAsia="Times New Roman" w:cs="Times New Roman"/>
                <w:color w:val="000000"/>
                <w:lang w:val="en-CA" w:eastAsia="en-CA"/>
              </w:rPr>
            </w:pPr>
          </w:p>
        </w:tc>
        <w:tc>
          <w:tcPr>
            <w:tcW w:w="1984" w:type="dxa"/>
            <w:tcBorders>
              <w:top w:val="nil"/>
              <w:left w:val="nil"/>
              <w:bottom w:val="nil"/>
              <w:right w:val="nil"/>
            </w:tcBorders>
            <w:shd w:val="clear" w:color="auto" w:fill="auto"/>
            <w:noWrap/>
            <w:vAlign w:val="center"/>
            <w:hideMark/>
          </w:tcPr>
          <w:p w14:paraId="44F89E43" w14:textId="77777777" w:rsidR="00741D67" w:rsidRPr="00B43DDB" w:rsidRDefault="00741D67" w:rsidP="00741D67">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10DC4456" w14:textId="77777777" w:rsidR="00741D67" w:rsidRPr="00B43DDB" w:rsidRDefault="00741D67" w:rsidP="00741D67">
            <w:pPr>
              <w:spacing w:line="240" w:lineRule="auto"/>
              <w:jc w:val="center"/>
              <w:rPr>
                <w:rFonts w:eastAsia="Times New Roman" w:cs="Times New Roman"/>
                <w:sz w:val="20"/>
                <w:szCs w:val="20"/>
                <w:lang w:val="en-CA" w:eastAsia="en-CA"/>
              </w:rPr>
            </w:pPr>
          </w:p>
        </w:tc>
      </w:tr>
      <w:tr w:rsidR="00741D67" w:rsidRPr="006B5B91" w14:paraId="027B6AE6" w14:textId="77777777" w:rsidTr="00475E29">
        <w:trPr>
          <w:trHeight w:val="300"/>
        </w:trPr>
        <w:tc>
          <w:tcPr>
            <w:tcW w:w="3336" w:type="dxa"/>
            <w:tcBorders>
              <w:top w:val="nil"/>
              <w:left w:val="nil"/>
              <w:bottom w:val="nil"/>
              <w:right w:val="nil"/>
            </w:tcBorders>
            <w:shd w:val="clear" w:color="auto" w:fill="auto"/>
            <w:noWrap/>
            <w:vAlign w:val="center"/>
            <w:hideMark/>
          </w:tcPr>
          <w:p w14:paraId="5A6C7D85" w14:textId="35BB3C84" w:rsidR="00741D67" w:rsidRPr="00B43DDB" w:rsidRDefault="00741D67" w:rsidP="00741D67">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10y</w:t>
            </w:r>
            <w:r w:rsidR="0023613D">
              <w:rPr>
                <w:rFonts w:eastAsia="Times New Roman" w:cs="Times New Roman"/>
                <w:color w:val="000000"/>
                <w:lang w:val="en-CA" w:eastAsia="en-CA"/>
              </w:rPr>
              <w:t>-</w:t>
            </w:r>
            <w:r w:rsidRPr="00B43DDB">
              <w:rPr>
                <w:rFonts w:eastAsia="Times New Roman" w:cs="Times New Roman"/>
                <w:color w:val="000000"/>
                <w:lang w:val="en-CA" w:eastAsia="en-CA"/>
              </w:rPr>
              <w:t>2y spread</w:t>
            </w:r>
          </w:p>
        </w:tc>
        <w:tc>
          <w:tcPr>
            <w:tcW w:w="2193" w:type="dxa"/>
            <w:tcBorders>
              <w:top w:val="nil"/>
              <w:left w:val="nil"/>
              <w:bottom w:val="nil"/>
              <w:right w:val="nil"/>
            </w:tcBorders>
            <w:shd w:val="clear" w:color="auto" w:fill="auto"/>
            <w:noWrap/>
            <w:vAlign w:val="center"/>
            <w:hideMark/>
          </w:tcPr>
          <w:p w14:paraId="0F182EC3" w14:textId="671596D1"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894A15">
              <w:rPr>
                <w:rFonts w:eastAsia="Times New Roman" w:cs="Times New Roman"/>
                <w:color w:val="000000"/>
                <w:lang w:val="en-CA" w:eastAsia="en-CA"/>
              </w:rPr>
              <w:t>115</w:t>
            </w:r>
            <w:r w:rsidRPr="00B43DDB">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2DC6A158" w14:textId="2F76CA29"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3B3E34">
              <w:rPr>
                <w:rFonts w:eastAsia="Times New Roman" w:cs="Times New Roman"/>
                <w:color w:val="000000"/>
                <w:lang w:val="en-CA" w:eastAsia="en-CA"/>
              </w:rPr>
              <w:t>321</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382870C8" w14:textId="313BAB86"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w:t>
            </w:r>
            <w:r w:rsidR="003B3E34">
              <w:rPr>
                <w:rFonts w:eastAsia="Times New Roman" w:cs="Times New Roman"/>
                <w:color w:val="000000"/>
                <w:lang w:val="en-CA" w:eastAsia="en-CA"/>
              </w:rPr>
              <w:t>1555</w:t>
            </w:r>
            <w:r w:rsidRPr="00B43DDB">
              <w:rPr>
                <w:rFonts w:eastAsia="Times New Roman" w:cs="Times New Roman"/>
                <w:color w:val="000000"/>
                <w:vertAlign w:val="superscript"/>
                <w:lang w:val="en-CA" w:eastAsia="en-CA"/>
              </w:rPr>
              <w:t>***</w:t>
            </w:r>
          </w:p>
        </w:tc>
      </w:tr>
      <w:tr w:rsidR="00741D67" w:rsidRPr="006B5B91" w14:paraId="7777B17B" w14:textId="77777777" w:rsidTr="00475E29">
        <w:trPr>
          <w:trHeight w:val="300"/>
        </w:trPr>
        <w:tc>
          <w:tcPr>
            <w:tcW w:w="3336" w:type="dxa"/>
            <w:tcBorders>
              <w:top w:val="nil"/>
              <w:left w:val="nil"/>
              <w:bottom w:val="nil"/>
              <w:right w:val="nil"/>
            </w:tcBorders>
            <w:shd w:val="clear" w:color="auto" w:fill="auto"/>
            <w:noWrap/>
            <w:vAlign w:val="center"/>
            <w:hideMark/>
          </w:tcPr>
          <w:p w14:paraId="53C09C8C" w14:textId="77777777" w:rsidR="00741D67" w:rsidRPr="00B43DDB"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1F427A09" w14:textId="7A9362E6"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894A15">
              <w:rPr>
                <w:rFonts w:eastAsia="Times New Roman" w:cs="Times New Roman"/>
                <w:color w:val="000000"/>
                <w:lang w:val="en-CA" w:eastAsia="en-CA"/>
              </w:rPr>
              <w:t>353</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54506736" w14:textId="47B4B0ED"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3B3E34">
              <w:rPr>
                <w:rFonts w:eastAsia="Times New Roman" w:cs="Times New Roman"/>
                <w:color w:val="000000"/>
                <w:lang w:val="en-CA" w:eastAsia="en-CA"/>
              </w:rPr>
              <w:t>351</w:t>
            </w:r>
            <w:r w:rsidRPr="00B43DDB">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2B946872" w14:textId="1AFF99A1"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3B3E34">
              <w:rPr>
                <w:rFonts w:eastAsia="Times New Roman" w:cs="Times New Roman"/>
                <w:color w:val="000000"/>
                <w:lang w:val="en-CA" w:eastAsia="en-CA"/>
              </w:rPr>
              <w:t>297</w:t>
            </w:r>
            <w:r w:rsidRPr="00B43DDB">
              <w:rPr>
                <w:rFonts w:eastAsia="Times New Roman" w:cs="Times New Roman"/>
                <w:color w:val="000000"/>
                <w:lang w:val="en-CA" w:eastAsia="en-CA"/>
              </w:rPr>
              <w:t>)</w:t>
            </w:r>
          </w:p>
        </w:tc>
      </w:tr>
      <w:tr w:rsidR="00741D67" w:rsidRPr="006B5B91" w14:paraId="2D7C8897" w14:textId="77777777" w:rsidTr="00475E29">
        <w:trPr>
          <w:trHeight w:val="300"/>
        </w:trPr>
        <w:tc>
          <w:tcPr>
            <w:tcW w:w="3336" w:type="dxa"/>
            <w:tcBorders>
              <w:top w:val="nil"/>
              <w:left w:val="nil"/>
              <w:bottom w:val="nil"/>
              <w:right w:val="nil"/>
            </w:tcBorders>
            <w:shd w:val="clear" w:color="auto" w:fill="auto"/>
            <w:noWrap/>
            <w:vAlign w:val="center"/>
            <w:hideMark/>
          </w:tcPr>
          <w:p w14:paraId="45E0B43E" w14:textId="77777777" w:rsidR="00741D67" w:rsidRPr="00B43DDB"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586F9267" w14:textId="77777777" w:rsidR="00741D67" w:rsidRPr="00B43DDB" w:rsidRDefault="00741D67" w:rsidP="00741D67">
            <w:pPr>
              <w:spacing w:line="240" w:lineRule="auto"/>
              <w:rPr>
                <w:rFonts w:eastAsia="Times New Roman" w:cs="Times New Roman"/>
                <w:sz w:val="20"/>
                <w:szCs w:val="20"/>
                <w:lang w:val="en-CA" w:eastAsia="en-CA"/>
              </w:rPr>
            </w:pPr>
          </w:p>
        </w:tc>
        <w:tc>
          <w:tcPr>
            <w:tcW w:w="1984" w:type="dxa"/>
            <w:tcBorders>
              <w:top w:val="nil"/>
              <w:left w:val="nil"/>
              <w:bottom w:val="nil"/>
              <w:right w:val="nil"/>
            </w:tcBorders>
            <w:shd w:val="clear" w:color="auto" w:fill="auto"/>
            <w:noWrap/>
            <w:vAlign w:val="center"/>
            <w:hideMark/>
          </w:tcPr>
          <w:p w14:paraId="4B505821" w14:textId="77777777" w:rsidR="00741D67" w:rsidRPr="00B43DDB" w:rsidRDefault="00741D67" w:rsidP="00741D67">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6451B43E" w14:textId="77777777" w:rsidR="00741D67" w:rsidRPr="00B43DDB" w:rsidRDefault="00741D67" w:rsidP="00741D67">
            <w:pPr>
              <w:spacing w:line="240" w:lineRule="auto"/>
              <w:jc w:val="center"/>
              <w:rPr>
                <w:rFonts w:eastAsia="Times New Roman" w:cs="Times New Roman"/>
                <w:sz w:val="20"/>
                <w:szCs w:val="20"/>
                <w:lang w:val="en-CA" w:eastAsia="en-CA"/>
              </w:rPr>
            </w:pPr>
          </w:p>
        </w:tc>
      </w:tr>
      <w:tr w:rsidR="00741D67" w:rsidRPr="006B5B91" w14:paraId="133347D3" w14:textId="77777777" w:rsidTr="00475E29">
        <w:trPr>
          <w:trHeight w:val="300"/>
        </w:trPr>
        <w:tc>
          <w:tcPr>
            <w:tcW w:w="3336" w:type="dxa"/>
            <w:tcBorders>
              <w:top w:val="nil"/>
              <w:left w:val="nil"/>
              <w:bottom w:val="nil"/>
              <w:right w:val="nil"/>
            </w:tcBorders>
            <w:shd w:val="clear" w:color="auto" w:fill="auto"/>
            <w:noWrap/>
            <w:vAlign w:val="center"/>
            <w:hideMark/>
          </w:tcPr>
          <w:p w14:paraId="1D90C912" w14:textId="103A7653" w:rsidR="00741D67" w:rsidRPr="00B43DDB" w:rsidRDefault="00741D67" w:rsidP="00741D67">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10y</w:t>
            </w:r>
            <w:r w:rsidR="0023613D">
              <w:rPr>
                <w:rFonts w:eastAsia="Times New Roman" w:cs="Times New Roman"/>
                <w:color w:val="000000"/>
                <w:lang w:val="en-CA" w:eastAsia="en-CA"/>
              </w:rPr>
              <w:t>-</w:t>
            </w:r>
            <w:r w:rsidRPr="00B43DDB">
              <w:rPr>
                <w:rFonts w:eastAsia="Times New Roman" w:cs="Times New Roman"/>
                <w:color w:val="000000"/>
                <w:lang w:val="en-CA" w:eastAsia="en-CA"/>
              </w:rPr>
              <w:t>3m spread</w:t>
            </w:r>
          </w:p>
        </w:tc>
        <w:tc>
          <w:tcPr>
            <w:tcW w:w="2193" w:type="dxa"/>
            <w:tcBorders>
              <w:top w:val="nil"/>
              <w:left w:val="nil"/>
              <w:bottom w:val="nil"/>
              <w:right w:val="nil"/>
            </w:tcBorders>
            <w:shd w:val="clear" w:color="auto" w:fill="auto"/>
            <w:noWrap/>
            <w:vAlign w:val="center"/>
            <w:hideMark/>
          </w:tcPr>
          <w:p w14:paraId="567E8490" w14:textId="4189028E"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894A15">
              <w:rPr>
                <w:rFonts w:eastAsia="Times New Roman" w:cs="Times New Roman"/>
                <w:color w:val="000000"/>
                <w:lang w:val="en-CA" w:eastAsia="en-CA"/>
              </w:rPr>
              <w:t>970</w:t>
            </w:r>
            <w:r w:rsidRPr="00B43DDB">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4EB07E06" w14:textId="0E985251"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3B3E34">
              <w:rPr>
                <w:rFonts w:eastAsia="Times New Roman" w:cs="Times New Roman"/>
                <w:color w:val="000000"/>
                <w:lang w:val="en-CA" w:eastAsia="en-CA"/>
              </w:rPr>
              <w:t>298</w:t>
            </w:r>
            <w:r w:rsidRPr="00B43DDB">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63DF93BB" w14:textId="6D97070C"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-0.1</w:t>
            </w:r>
            <w:r w:rsidR="003B3E34">
              <w:rPr>
                <w:rFonts w:eastAsia="Times New Roman" w:cs="Times New Roman"/>
                <w:color w:val="000000"/>
                <w:lang w:val="en-CA" w:eastAsia="en-CA"/>
              </w:rPr>
              <w:t>371</w:t>
            </w:r>
            <w:r w:rsidRPr="00B43DDB">
              <w:rPr>
                <w:rFonts w:eastAsia="Times New Roman" w:cs="Times New Roman"/>
                <w:color w:val="000000"/>
                <w:vertAlign w:val="superscript"/>
                <w:lang w:val="en-CA" w:eastAsia="en-CA"/>
              </w:rPr>
              <w:t>***</w:t>
            </w:r>
          </w:p>
        </w:tc>
      </w:tr>
      <w:tr w:rsidR="00741D67" w:rsidRPr="006B5B91" w14:paraId="21FF4ABE" w14:textId="77777777" w:rsidTr="00475E29">
        <w:trPr>
          <w:trHeight w:val="300"/>
        </w:trPr>
        <w:tc>
          <w:tcPr>
            <w:tcW w:w="3336" w:type="dxa"/>
            <w:tcBorders>
              <w:top w:val="nil"/>
              <w:left w:val="nil"/>
              <w:bottom w:val="nil"/>
              <w:right w:val="nil"/>
            </w:tcBorders>
            <w:shd w:val="clear" w:color="auto" w:fill="auto"/>
            <w:noWrap/>
            <w:vAlign w:val="center"/>
            <w:hideMark/>
          </w:tcPr>
          <w:p w14:paraId="315729CB" w14:textId="77777777" w:rsidR="00741D67" w:rsidRPr="00B43DDB"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77EB16CD" w14:textId="62BB2FDF"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894A15">
              <w:rPr>
                <w:rFonts w:eastAsia="Times New Roman" w:cs="Times New Roman"/>
                <w:color w:val="000000"/>
                <w:lang w:val="en-CA" w:eastAsia="en-CA"/>
              </w:rPr>
              <w:t>350</w:t>
            </w:r>
            <w:r w:rsidRPr="00B43DDB">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10D6B04F" w14:textId="28BA57D0"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3B3E34">
              <w:rPr>
                <w:rFonts w:eastAsia="Times New Roman" w:cs="Times New Roman"/>
                <w:color w:val="000000"/>
                <w:lang w:val="en-CA" w:eastAsia="en-CA"/>
              </w:rPr>
              <w:t>354</w:t>
            </w:r>
            <w:r w:rsidRPr="00B43DDB">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173687AA" w14:textId="420D0F34"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(0.0</w:t>
            </w:r>
            <w:r w:rsidR="003B3E34">
              <w:rPr>
                <w:rFonts w:eastAsia="Times New Roman" w:cs="Times New Roman"/>
                <w:color w:val="000000"/>
                <w:lang w:val="en-CA" w:eastAsia="en-CA"/>
              </w:rPr>
              <w:t>301</w:t>
            </w:r>
            <w:r w:rsidRPr="00B43DDB">
              <w:rPr>
                <w:rFonts w:eastAsia="Times New Roman" w:cs="Times New Roman"/>
                <w:color w:val="000000"/>
                <w:lang w:val="en-CA" w:eastAsia="en-CA"/>
              </w:rPr>
              <w:t>)</w:t>
            </w:r>
          </w:p>
        </w:tc>
      </w:tr>
      <w:tr w:rsidR="00741D67" w:rsidRPr="006B5B91" w14:paraId="13648251" w14:textId="77777777" w:rsidTr="00777877">
        <w:trPr>
          <w:trHeight w:val="300"/>
        </w:trPr>
        <w:tc>
          <w:tcPr>
            <w:tcW w:w="3336" w:type="dxa"/>
            <w:tcBorders>
              <w:top w:val="nil"/>
              <w:left w:val="nil"/>
              <w:bottom w:val="nil"/>
              <w:right w:val="nil"/>
            </w:tcBorders>
            <w:shd w:val="clear" w:color="auto" w:fill="auto"/>
            <w:noWrap/>
            <w:vAlign w:val="center"/>
            <w:hideMark/>
          </w:tcPr>
          <w:p w14:paraId="59E32786" w14:textId="77777777" w:rsidR="00741D67" w:rsidRPr="00B43DDB"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7A702AF9" w14:textId="77777777" w:rsidR="00741D67" w:rsidRPr="00B43DDB" w:rsidRDefault="00741D67" w:rsidP="00741D67">
            <w:pPr>
              <w:spacing w:line="240" w:lineRule="auto"/>
              <w:rPr>
                <w:rFonts w:eastAsia="Times New Roman" w:cs="Times New Roman"/>
                <w:sz w:val="20"/>
                <w:szCs w:val="20"/>
                <w:lang w:val="en-CA" w:eastAsia="en-CA"/>
              </w:rPr>
            </w:pPr>
          </w:p>
        </w:tc>
        <w:tc>
          <w:tcPr>
            <w:tcW w:w="1984" w:type="dxa"/>
            <w:tcBorders>
              <w:top w:val="nil"/>
              <w:left w:val="nil"/>
              <w:bottom w:val="nil"/>
              <w:right w:val="nil"/>
            </w:tcBorders>
            <w:shd w:val="clear" w:color="auto" w:fill="auto"/>
            <w:noWrap/>
            <w:vAlign w:val="center"/>
            <w:hideMark/>
          </w:tcPr>
          <w:p w14:paraId="3C2D96DB" w14:textId="77777777" w:rsidR="00741D67" w:rsidRPr="00B43DDB" w:rsidRDefault="00741D67" w:rsidP="00741D67">
            <w:pPr>
              <w:spacing w:line="240" w:lineRule="auto"/>
              <w:jc w:val="center"/>
              <w:rPr>
                <w:rFonts w:eastAsia="Times New Roman" w:cs="Times New Roman"/>
                <w:sz w:val="20"/>
                <w:szCs w:val="20"/>
                <w:lang w:val="en-CA" w:eastAsia="en-CA"/>
              </w:rPr>
            </w:pPr>
          </w:p>
        </w:tc>
        <w:tc>
          <w:tcPr>
            <w:tcW w:w="1843" w:type="dxa"/>
            <w:tcBorders>
              <w:top w:val="nil"/>
              <w:left w:val="nil"/>
              <w:bottom w:val="nil"/>
              <w:right w:val="nil"/>
            </w:tcBorders>
            <w:shd w:val="clear" w:color="auto" w:fill="auto"/>
            <w:noWrap/>
            <w:vAlign w:val="center"/>
            <w:hideMark/>
          </w:tcPr>
          <w:p w14:paraId="3C0127E6" w14:textId="77777777" w:rsidR="00741D67" w:rsidRPr="00B43DDB" w:rsidRDefault="00741D67" w:rsidP="00741D67">
            <w:pPr>
              <w:spacing w:line="240" w:lineRule="auto"/>
              <w:jc w:val="center"/>
              <w:rPr>
                <w:rFonts w:eastAsia="Times New Roman" w:cs="Times New Roman"/>
                <w:sz w:val="20"/>
                <w:szCs w:val="20"/>
                <w:lang w:val="en-CA" w:eastAsia="en-CA"/>
              </w:rPr>
            </w:pPr>
          </w:p>
        </w:tc>
      </w:tr>
      <w:tr w:rsidR="00741D67" w:rsidRPr="006B5B91" w14:paraId="25F1F01F" w14:textId="77777777" w:rsidTr="00777877">
        <w:trPr>
          <w:trHeight w:val="315"/>
        </w:trPr>
        <w:tc>
          <w:tcPr>
            <w:tcW w:w="3336" w:type="dxa"/>
            <w:tcBorders>
              <w:top w:val="nil"/>
              <w:left w:val="nil"/>
              <w:bottom w:val="double" w:sz="6" w:space="0" w:color="auto"/>
              <w:right w:val="nil"/>
            </w:tcBorders>
            <w:shd w:val="clear" w:color="auto" w:fill="auto"/>
            <w:noWrap/>
            <w:vAlign w:val="center"/>
            <w:hideMark/>
          </w:tcPr>
          <w:p w14:paraId="11E81626" w14:textId="77777777" w:rsidR="00741D67" w:rsidRPr="00B43DDB" w:rsidRDefault="00741D67" w:rsidP="00741D67">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Observations</w:t>
            </w:r>
          </w:p>
        </w:tc>
        <w:tc>
          <w:tcPr>
            <w:tcW w:w="2193" w:type="dxa"/>
            <w:tcBorders>
              <w:top w:val="nil"/>
              <w:left w:val="nil"/>
              <w:bottom w:val="double" w:sz="6" w:space="0" w:color="auto"/>
              <w:right w:val="nil"/>
            </w:tcBorders>
            <w:shd w:val="clear" w:color="auto" w:fill="auto"/>
            <w:noWrap/>
            <w:vAlign w:val="center"/>
            <w:hideMark/>
          </w:tcPr>
          <w:p w14:paraId="0FA6768A" w14:textId="77777777"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218</w:t>
            </w:r>
          </w:p>
        </w:tc>
        <w:tc>
          <w:tcPr>
            <w:tcW w:w="1984" w:type="dxa"/>
            <w:tcBorders>
              <w:top w:val="nil"/>
              <w:left w:val="nil"/>
              <w:bottom w:val="double" w:sz="6" w:space="0" w:color="auto"/>
              <w:right w:val="nil"/>
            </w:tcBorders>
            <w:shd w:val="clear" w:color="auto" w:fill="auto"/>
            <w:noWrap/>
            <w:vAlign w:val="center"/>
            <w:hideMark/>
          </w:tcPr>
          <w:p w14:paraId="001E5198" w14:textId="77777777"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218</w:t>
            </w:r>
          </w:p>
        </w:tc>
        <w:tc>
          <w:tcPr>
            <w:tcW w:w="1843" w:type="dxa"/>
            <w:tcBorders>
              <w:top w:val="nil"/>
              <w:left w:val="nil"/>
              <w:bottom w:val="double" w:sz="6" w:space="0" w:color="auto"/>
              <w:right w:val="nil"/>
            </w:tcBorders>
            <w:shd w:val="clear" w:color="auto" w:fill="auto"/>
            <w:noWrap/>
            <w:vAlign w:val="center"/>
            <w:hideMark/>
          </w:tcPr>
          <w:p w14:paraId="262CF64F" w14:textId="77777777" w:rsidR="00741D67" w:rsidRPr="00B43DDB" w:rsidRDefault="00741D67" w:rsidP="00741D67">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218</w:t>
            </w:r>
          </w:p>
        </w:tc>
      </w:tr>
      <w:tr w:rsidR="00741D67" w:rsidRPr="006B5B91" w14:paraId="1CC98CFB" w14:textId="77777777" w:rsidTr="00475E29">
        <w:trPr>
          <w:trHeight w:val="315"/>
        </w:trPr>
        <w:tc>
          <w:tcPr>
            <w:tcW w:w="9356" w:type="dxa"/>
            <w:gridSpan w:val="4"/>
            <w:tcBorders>
              <w:top w:val="nil"/>
              <w:left w:val="nil"/>
              <w:bottom w:val="nil"/>
            </w:tcBorders>
            <w:shd w:val="clear" w:color="auto" w:fill="auto"/>
            <w:noWrap/>
            <w:vAlign w:val="bottom"/>
            <w:hideMark/>
          </w:tcPr>
          <w:p w14:paraId="4D9598B2" w14:textId="1DE6B32D" w:rsidR="00741D67" w:rsidRPr="00573C52" w:rsidRDefault="00741D67" w:rsidP="00741D67">
            <w:pPr>
              <w:spacing w:line="240" w:lineRule="auto"/>
              <w:rPr>
                <w:rFonts w:cs="Times New Roman"/>
                <w:color w:val="000000"/>
              </w:rPr>
            </w:pPr>
            <w:r w:rsidRPr="00573C52">
              <w:rPr>
                <w:rFonts w:cs="Times New Roman"/>
                <w:color w:val="000000"/>
              </w:rPr>
              <w:t>*</w:t>
            </w:r>
            <w:r w:rsidR="008776A1" w:rsidRPr="00573C52">
              <w:rPr>
                <w:rFonts w:cs="Times New Roman"/>
                <w:color w:val="000000"/>
              </w:rPr>
              <w:t>Notes: Results are marginal effects that show the estimated increase in the probability of transitioning to a recession within the stated time horizon when the spread fell by one standard deviation from its mean. Standard errors are in parentheses. The level of significance is indicated by the number of stars: * significant at 10%; ** significant at 5%; *** significant at 1%.</w:t>
            </w:r>
          </w:p>
          <w:p w14:paraId="7F0FD0C8" w14:textId="77777777" w:rsidR="00741D67" w:rsidRPr="00B43DDB" w:rsidRDefault="00741D67" w:rsidP="00741D67">
            <w:pPr>
              <w:spacing w:line="240" w:lineRule="auto"/>
              <w:rPr>
                <w:rFonts w:eastAsia="Times New Roman" w:cs="Times New Roman"/>
                <w:sz w:val="20"/>
                <w:szCs w:val="20"/>
                <w:lang w:val="en-CA" w:eastAsia="en-CA"/>
              </w:rPr>
            </w:pPr>
          </w:p>
        </w:tc>
      </w:tr>
      <w:bookmarkEnd w:id="34"/>
    </w:tbl>
    <w:p w14:paraId="7B324AA1" w14:textId="77777777" w:rsidR="00962F7D" w:rsidRPr="006B5B91" w:rsidRDefault="00962F7D" w:rsidP="00EA2F14">
      <w:pPr>
        <w:spacing w:line="480" w:lineRule="auto"/>
        <w:rPr>
          <w:rFonts w:cs="Times New Roman"/>
          <w:lang w:val="en-CA"/>
        </w:rPr>
      </w:pPr>
    </w:p>
    <w:p w14:paraId="689B6D0F" w14:textId="3A3CCDE1" w:rsidR="00EC5E64" w:rsidRPr="006B5B91" w:rsidRDefault="006D2852" w:rsidP="00574631">
      <w:pPr>
        <w:spacing w:line="480" w:lineRule="auto"/>
        <w:ind w:firstLine="720"/>
        <w:rPr>
          <w:rFonts w:cs="Times New Roman"/>
          <w:lang w:val="en-CA"/>
        </w:rPr>
      </w:pPr>
      <w:r w:rsidRPr="006B5B91">
        <w:rPr>
          <w:rFonts w:cs="Times New Roman"/>
          <w:lang w:val="en-CA"/>
        </w:rPr>
        <w:t xml:space="preserve">Table </w:t>
      </w:r>
      <w:r>
        <w:rPr>
          <w:rFonts w:cs="Times New Roman"/>
          <w:lang w:val="en-CA"/>
        </w:rPr>
        <w:t>6</w:t>
      </w:r>
      <w:r w:rsidRPr="006B5B91">
        <w:rPr>
          <w:rFonts w:cs="Times New Roman"/>
          <w:lang w:val="en-CA"/>
        </w:rPr>
        <w:t xml:space="preserve"> show</w:t>
      </w:r>
      <w:r>
        <w:rPr>
          <w:rFonts w:cs="Times New Roman"/>
          <w:lang w:val="en-CA"/>
        </w:rPr>
        <w:t>s</w:t>
      </w:r>
      <w:r w:rsidRPr="006B5B91">
        <w:rPr>
          <w:rFonts w:cs="Times New Roman"/>
          <w:lang w:val="en-CA"/>
        </w:rPr>
        <w:t xml:space="preserve"> the results of the probit model using </w:t>
      </w:r>
      <w:r>
        <w:rPr>
          <w:rFonts w:cs="Times New Roman"/>
          <w:lang w:val="en-CA"/>
        </w:rPr>
        <w:t>ECRI</w:t>
      </w:r>
      <w:r w:rsidRPr="006B5B91">
        <w:rPr>
          <w:rFonts w:cs="Times New Roman"/>
          <w:lang w:val="en-CA"/>
        </w:rPr>
        <w:t xml:space="preserve"> recession dates</w:t>
      </w:r>
      <w:r w:rsidR="003F1A4D">
        <w:rPr>
          <w:rFonts w:cs="Times New Roman"/>
          <w:lang w:val="en-CA"/>
        </w:rPr>
        <w:t>.</w:t>
      </w:r>
      <w:r w:rsidRPr="006B5B91">
        <w:rPr>
          <w:rFonts w:cs="Times New Roman"/>
          <w:lang w:val="en-CA"/>
        </w:rPr>
        <w:t xml:space="preserve"> </w:t>
      </w:r>
      <w:r w:rsidR="00EA2F14" w:rsidRPr="00475E29">
        <w:rPr>
          <w:rFonts w:cs="Times New Roman"/>
          <w:lang w:val="en-CA"/>
        </w:rPr>
        <w:t xml:space="preserve">The ECRI recession dating model shows very similar results to the </w:t>
      </w:r>
      <w:r w:rsidR="000C07F3" w:rsidRPr="00475E29">
        <w:rPr>
          <w:rFonts w:cs="Times New Roman"/>
          <w:lang w:val="en-CA"/>
        </w:rPr>
        <w:t>C.D.</w:t>
      </w:r>
      <w:r w:rsidR="00EA2F14" w:rsidRPr="00475E29">
        <w:rPr>
          <w:rFonts w:cs="Times New Roman"/>
          <w:lang w:val="en-CA"/>
        </w:rPr>
        <w:t xml:space="preserve"> Howe Institute recession dating model. The </w:t>
      </w:r>
      <w:r w:rsidR="0061111C" w:rsidRPr="00475E29">
        <w:rPr>
          <w:rFonts w:cs="Times New Roman"/>
          <w:lang w:val="en-CA"/>
        </w:rPr>
        <w:t xml:space="preserve">near-term forward </w:t>
      </w:r>
      <w:r w:rsidR="0023613D" w:rsidRPr="00475E29">
        <w:rPr>
          <w:rFonts w:cs="Times New Roman"/>
          <w:lang w:val="en-CA"/>
        </w:rPr>
        <w:t>spread</w:t>
      </w:r>
      <w:r w:rsidR="00EA2F14" w:rsidRPr="00475E29">
        <w:rPr>
          <w:rFonts w:cs="Times New Roman"/>
          <w:lang w:val="en-CA"/>
        </w:rPr>
        <w:t xml:space="preserve"> dominate</w:t>
      </w:r>
      <w:r w:rsidR="007D4F42" w:rsidRPr="00475E29">
        <w:rPr>
          <w:rFonts w:cs="Times New Roman"/>
          <w:lang w:val="en-CA"/>
        </w:rPr>
        <w:t>s</w:t>
      </w:r>
      <w:r w:rsidR="00EA2F14" w:rsidRPr="00475E29">
        <w:rPr>
          <w:rFonts w:cs="Times New Roman"/>
          <w:lang w:val="en-CA"/>
        </w:rPr>
        <w:t xml:space="preserve"> </w:t>
      </w:r>
      <w:r w:rsidR="00160E8D" w:rsidRPr="00475E29">
        <w:rPr>
          <w:rFonts w:cs="Times New Roman"/>
          <w:lang w:val="en-CA"/>
        </w:rPr>
        <w:t xml:space="preserve">both the </w:t>
      </w:r>
      <w:r w:rsidR="00EA2F14" w:rsidRPr="00475E29">
        <w:rPr>
          <w:rFonts w:cs="Times New Roman"/>
          <w:lang w:val="en-CA"/>
        </w:rPr>
        <w:t>10y-</w:t>
      </w:r>
      <w:r w:rsidR="00160E8D" w:rsidRPr="00475E29">
        <w:rPr>
          <w:rFonts w:cs="Times New Roman"/>
          <w:lang w:val="en-CA"/>
        </w:rPr>
        <w:t>2y and the 10y-3m</w:t>
      </w:r>
      <w:r w:rsidR="001312D8" w:rsidRPr="00475E29">
        <w:rPr>
          <w:rFonts w:cs="Times New Roman"/>
          <w:lang w:val="en-CA"/>
        </w:rPr>
        <w:t xml:space="preserve"> yield</w:t>
      </w:r>
      <w:r w:rsidR="00160E8D" w:rsidRPr="00475E29">
        <w:rPr>
          <w:rFonts w:cs="Times New Roman"/>
          <w:lang w:val="en-CA"/>
        </w:rPr>
        <w:t xml:space="preserve"> spread</w:t>
      </w:r>
      <w:r w:rsidR="001312D8" w:rsidRPr="00475E29">
        <w:rPr>
          <w:rFonts w:cs="Times New Roman"/>
          <w:lang w:val="en-CA"/>
        </w:rPr>
        <w:t>s</w:t>
      </w:r>
      <w:r w:rsidRPr="00475E29">
        <w:rPr>
          <w:rFonts w:cs="Times New Roman"/>
          <w:lang w:val="en-CA"/>
        </w:rPr>
        <w:t xml:space="preserve"> </w:t>
      </w:r>
      <w:r w:rsidR="00E92198">
        <w:rPr>
          <w:rFonts w:cs="Times New Roman"/>
          <w:lang w:val="en-CA"/>
        </w:rPr>
        <w:t>for</w:t>
      </w:r>
      <w:r w:rsidRPr="00475E29">
        <w:rPr>
          <w:rFonts w:cs="Times New Roman"/>
          <w:lang w:val="en-CA"/>
        </w:rPr>
        <w:t xml:space="preserve"> all </w:t>
      </w:r>
      <w:r w:rsidR="00160E8D" w:rsidRPr="00475E29">
        <w:rPr>
          <w:rFonts w:cs="Times New Roman"/>
          <w:lang w:val="en-CA"/>
        </w:rPr>
        <w:t>forecast</w:t>
      </w:r>
      <w:r w:rsidRPr="00475E29">
        <w:rPr>
          <w:rFonts w:cs="Times New Roman"/>
          <w:lang w:val="en-CA"/>
        </w:rPr>
        <w:t xml:space="preserve"> horizons</w:t>
      </w:r>
      <w:r w:rsidR="00EA2F14" w:rsidRPr="00475E29">
        <w:rPr>
          <w:rFonts w:cs="Times New Roman"/>
          <w:lang w:val="en-CA"/>
        </w:rPr>
        <w:t xml:space="preserve">. </w:t>
      </w:r>
      <w:r w:rsidR="00160E8D" w:rsidRPr="00475E29">
        <w:rPr>
          <w:rFonts w:cs="Times New Roman"/>
          <w:lang w:val="en-CA"/>
        </w:rPr>
        <w:t xml:space="preserve">However, unlike the model using the C.D. Howe Institute recession </w:t>
      </w:r>
      <w:r w:rsidR="00160E8D" w:rsidRPr="00475E29">
        <w:rPr>
          <w:rFonts w:cs="Times New Roman"/>
          <w:lang w:val="en-CA"/>
        </w:rPr>
        <w:lastRenderedPageBreak/>
        <w:t>dates,</w:t>
      </w:r>
      <w:r w:rsidR="00160E8D">
        <w:rPr>
          <w:rFonts w:cs="Times New Roman"/>
          <w:lang w:val="en-CA"/>
        </w:rPr>
        <w:t xml:space="preserve"> </w:t>
      </w:r>
      <w:r w:rsidR="00160E8D" w:rsidRPr="00475E29">
        <w:rPr>
          <w:rFonts w:cs="Times New Roman"/>
          <w:lang w:val="en-CA"/>
        </w:rPr>
        <w:t xml:space="preserve">only results for the near-term forward spread </w:t>
      </w:r>
      <w:r w:rsidR="00914A57" w:rsidRPr="00475E29">
        <w:rPr>
          <w:rFonts w:cs="Times New Roman"/>
          <w:lang w:val="en-CA"/>
        </w:rPr>
        <w:t>are</w:t>
      </w:r>
      <w:r w:rsidR="00EA2F14" w:rsidRPr="00475E29">
        <w:rPr>
          <w:rFonts w:cs="Times New Roman"/>
          <w:lang w:val="en-CA"/>
        </w:rPr>
        <w:t xml:space="preserve"> statistically significant at the 1% significance level</w:t>
      </w:r>
      <w:r w:rsidR="00160E8D" w:rsidRPr="00475E29">
        <w:rPr>
          <w:rFonts w:cs="Times New Roman"/>
          <w:lang w:val="en-CA"/>
        </w:rPr>
        <w:t xml:space="preserve"> for all three forecast horizons. Results for the 10y-2y spread are statistically significant </w:t>
      </w:r>
      <w:r w:rsidR="00574631" w:rsidRPr="00475E29">
        <w:rPr>
          <w:rFonts w:cs="Times New Roman"/>
          <w:lang w:val="en-CA"/>
        </w:rPr>
        <w:t xml:space="preserve">at the 5% significance level for forecast horizons of 12-months and 24-months ahead, and not statistically significant </w:t>
      </w:r>
      <w:r w:rsidR="00160E8D" w:rsidRPr="00475E29">
        <w:rPr>
          <w:rFonts w:cs="Times New Roman"/>
          <w:lang w:val="en-CA"/>
        </w:rPr>
        <w:t>for the 18-months ahead forecast horizon</w:t>
      </w:r>
      <w:r w:rsidR="00574631" w:rsidRPr="00475E29">
        <w:rPr>
          <w:rFonts w:cs="Times New Roman"/>
          <w:lang w:val="en-CA"/>
        </w:rPr>
        <w:t xml:space="preserve">. </w:t>
      </w:r>
      <w:r w:rsidR="00160E8D" w:rsidRPr="00475E29">
        <w:rPr>
          <w:rFonts w:cs="Times New Roman"/>
          <w:lang w:val="en-CA"/>
        </w:rPr>
        <w:t>Results for the 10y-3m spread are varied, showing statistical significance at the 5% sig</w:t>
      </w:r>
      <w:r w:rsidR="00574631" w:rsidRPr="00475E29">
        <w:rPr>
          <w:rFonts w:cs="Times New Roman"/>
          <w:lang w:val="en-CA"/>
        </w:rPr>
        <w:t xml:space="preserve">nificance level for the 12-months ahead forecast horizon, </w:t>
      </w:r>
      <w:r w:rsidR="00A8104E">
        <w:rPr>
          <w:rFonts w:cs="Times New Roman"/>
          <w:lang w:val="en-CA"/>
        </w:rPr>
        <w:t xml:space="preserve">at the </w:t>
      </w:r>
      <w:r w:rsidR="00574631" w:rsidRPr="00475E29">
        <w:rPr>
          <w:rFonts w:cs="Times New Roman"/>
          <w:lang w:val="en-CA"/>
        </w:rPr>
        <w:t xml:space="preserve">10% significance level for the 18-months ahead forecast horizon, and </w:t>
      </w:r>
      <w:r w:rsidR="00A8104E">
        <w:rPr>
          <w:rFonts w:cs="Times New Roman"/>
          <w:lang w:val="en-CA"/>
        </w:rPr>
        <w:t xml:space="preserve">at the </w:t>
      </w:r>
      <w:r w:rsidR="00574631" w:rsidRPr="00475E29">
        <w:rPr>
          <w:rFonts w:cs="Times New Roman"/>
          <w:lang w:val="en-CA"/>
        </w:rPr>
        <w:t>1% significance level for the 24-months ahead forecast horizon.</w:t>
      </w:r>
    </w:p>
    <w:tbl>
      <w:tblPr>
        <w:tblW w:w="9356" w:type="dxa"/>
        <w:tblLook w:val="04A0" w:firstRow="1" w:lastRow="0" w:firstColumn="1" w:lastColumn="0" w:noHBand="0" w:noVBand="1"/>
      </w:tblPr>
      <w:tblGrid>
        <w:gridCol w:w="3336"/>
        <w:gridCol w:w="2193"/>
        <w:gridCol w:w="1984"/>
        <w:gridCol w:w="1843"/>
      </w:tblGrid>
      <w:tr w:rsidR="00962F7D" w:rsidRPr="006B5B91" w14:paraId="539A33BF" w14:textId="77777777" w:rsidTr="00777877">
        <w:trPr>
          <w:trHeight w:val="315"/>
        </w:trPr>
        <w:tc>
          <w:tcPr>
            <w:tcW w:w="9356" w:type="dxa"/>
            <w:gridSpan w:val="4"/>
            <w:tcBorders>
              <w:top w:val="nil"/>
              <w:left w:val="nil"/>
              <w:bottom w:val="double" w:sz="6" w:space="0" w:color="auto"/>
              <w:right w:val="nil"/>
            </w:tcBorders>
            <w:shd w:val="clear" w:color="auto" w:fill="auto"/>
            <w:noWrap/>
            <w:vAlign w:val="center"/>
            <w:hideMark/>
          </w:tcPr>
          <w:p w14:paraId="7B7C7FDA" w14:textId="77777777" w:rsidR="00B43DDB" w:rsidRDefault="00B43DDB" w:rsidP="00A02A56">
            <w:pPr>
              <w:spacing w:line="240" w:lineRule="auto"/>
              <w:rPr>
                <w:rFonts w:eastAsia="Times New Roman" w:cs="Times New Roman"/>
                <w:color w:val="000000"/>
                <w:lang w:val="en-CA" w:eastAsia="en-CA"/>
              </w:rPr>
            </w:pPr>
            <w:bookmarkStart w:id="35" w:name="_Hlk39404937"/>
          </w:p>
          <w:p w14:paraId="3541B688" w14:textId="20349623" w:rsidR="00B35925" w:rsidRDefault="00B35925" w:rsidP="00AD1ECB">
            <w:bookmarkStart w:id="36" w:name="_Toc37261612"/>
            <w:r>
              <w:t xml:space="preserve">Table </w:t>
            </w:r>
            <w:r w:rsidR="009C4B5A">
              <w:fldChar w:fldCharType="begin"/>
            </w:r>
            <w:r w:rsidR="009C4B5A">
              <w:instrText xml:space="preserve"> SEQ Table \* ARABIC </w:instrText>
            </w:r>
            <w:r w:rsidR="009C4B5A">
              <w:fldChar w:fldCharType="separate"/>
            </w:r>
            <w:r w:rsidR="00AC0696">
              <w:rPr>
                <w:noProof/>
              </w:rPr>
              <w:t>6</w:t>
            </w:r>
            <w:bookmarkEnd w:id="36"/>
            <w:r w:rsidR="009C4B5A">
              <w:rPr>
                <w:noProof/>
              </w:rPr>
              <w:fldChar w:fldCharType="end"/>
            </w:r>
          </w:p>
          <w:p w14:paraId="084ED6FC" w14:textId="27C57796" w:rsidR="00962F7D" w:rsidRPr="00B43DDB" w:rsidRDefault="00B86D3A" w:rsidP="00A02A56">
            <w:pPr>
              <w:spacing w:line="240" w:lineRule="auto"/>
              <w:rPr>
                <w:rFonts w:eastAsia="Times New Roman" w:cs="Times New Roman"/>
                <w:b/>
                <w:bCs/>
                <w:i/>
                <w:iCs/>
                <w:color w:val="000000"/>
                <w:lang w:val="en-CA" w:eastAsia="en-CA"/>
              </w:rPr>
            </w:pPr>
            <w:r>
              <w:rPr>
                <w:rFonts w:eastAsia="Times New Roman" w:cs="Times New Roman"/>
                <w:i/>
                <w:iCs/>
                <w:color w:val="000000"/>
                <w:lang w:val="en-CA" w:eastAsia="en-CA"/>
              </w:rPr>
              <w:t xml:space="preserve">Regression </w:t>
            </w:r>
            <w:r w:rsidR="00EC1B57" w:rsidRPr="00B43DDB">
              <w:rPr>
                <w:rFonts w:eastAsia="Times New Roman" w:cs="Times New Roman"/>
                <w:i/>
                <w:iCs/>
                <w:color w:val="000000"/>
                <w:lang w:val="en-CA" w:eastAsia="en-CA"/>
              </w:rPr>
              <w:t xml:space="preserve">Results of </w:t>
            </w:r>
            <w:r w:rsidR="00962F7D" w:rsidRPr="00B43DDB">
              <w:rPr>
                <w:rFonts w:eastAsia="Times New Roman" w:cs="Times New Roman"/>
                <w:i/>
                <w:iCs/>
                <w:color w:val="000000"/>
                <w:lang w:val="en-CA" w:eastAsia="en-CA"/>
              </w:rPr>
              <w:t>Recession Forecast</w:t>
            </w:r>
            <w:r>
              <w:rPr>
                <w:rFonts w:eastAsia="Times New Roman" w:cs="Times New Roman"/>
                <w:i/>
                <w:iCs/>
                <w:color w:val="000000"/>
                <w:lang w:val="en-CA" w:eastAsia="en-CA"/>
              </w:rPr>
              <w:t>ing</w:t>
            </w:r>
            <w:r w:rsidR="00962F7D" w:rsidRPr="00B43DDB">
              <w:rPr>
                <w:rFonts w:eastAsia="Times New Roman" w:cs="Times New Roman"/>
                <w:i/>
                <w:iCs/>
                <w:color w:val="000000"/>
                <w:lang w:val="en-CA" w:eastAsia="en-CA"/>
              </w:rPr>
              <w:t xml:space="preserve"> using ECRI Recession Dates</w:t>
            </w:r>
          </w:p>
        </w:tc>
      </w:tr>
      <w:tr w:rsidR="00777877" w:rsidRPr="006B5B91" w14:paraId="29ADEAA3" w14:textId="77777777" w:rsidTr="00777877">
        <w:trPr>
          <w:trHeight w:val="814"/>
        </w:trPr>
        <w:tc>
          <w:tcPr>
            <w:tcW w:w="9356" w:type="dxa"/>
            <w:gridSpan w:val="4"/>
            <w:tcBorders>
              <w:top w:val="nil"/>
              <w:left w:val="nil"/>
              <w:right w:val="nil"/>
            </w:tcBorders>
            <w:shd w:val="clear" w:color="auto" w:fill="auto"/>
            <w:noWrap/>
            <w:vAlign w:val="bottom"/>
            <w:hideMark/>
          </w:tcPr>
          <w:p w14:paraId="5DE588F8" w14:textId="0BD617A2" w:rsidR="00777877" w:rsidRPr="006B5B91" w:rsidRDefault="009C4B5A" w:rsidP="00777877">
            <w:pPr>
              <w:spacing w:line="480" w:lineRule="auto"/>
              <w:jc w:val="center"/>
              <w:rPr>
                <w:rFonts w:eastAsia="Times New Roman" w:cs="Times New Roman"/>
                <w:color w:val="000000"/>
                <w:lang w:val="en-CA" w:eastAsia="en-CA"/>
              </w:rPr>
            </w:pPr>
            <m:oMathPara>
              <m:oMath>
                <m:func>
                  <m:funcPr>
                    <m:ctrlPr>
                      <w:rPr>
                        <w:rFonts w:ascii="Cambria Math" w:hAnsi="Cambria Math" w:cs="Times New Roman"/>
                        <w:lang w:val="en-CA"/>
                      </w:rPr>
                    </m:ctrlPr>
                  </m:funcPr>
                  <m:fName>
                    <m:r>
                      <m:rPr>
                        <m:sty m:val="p"/>
                      </m:rPr>
                      <w:rPr>
                        <w:rFonts w:ascii="Cambria Math" w:hAnsi="Cambria Math" w:cs="Times New Roman"/>
                        <w:lang w:val="en-CA"/>
                      </w:rPr>
                      <m:t>Pr</m:t>
                    </m:r>
                  </m:fName>
                  <m:e>
                    <m:d>
                      <m:dPr>
                        <m:ctrlPr>
                          <w:rPr>
                            <w:rFonts w:ascii="Cambria Math" w:hAnsi="Cambria Math" w:cs="Times New Roman"/>
                            <w:i/>
                            <w:lang w:val="en-CA"/>
                          </w:rPr>
                        </m:ctrlPr>
                      </m:dPr>
                      <m:e>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r>
                          <w:rPr>
                            <w:rFonts w:ascii="Cambria Math" w:hAnsi="Cambria Math" w:cs="Times New Roman"/>
                            <w:lang w:val="en-CA"/>
                          </w:rPr>
                          <m:t>=1</m:t>
                        </m:r>
                      </m:e>
                    </m:d>
                  </m:e>
                </m:func>
                <m:r>
                  <w:rPr>
                    <w:rFonts w:ascii="Cambria Math" w:hAnsi="Cambria Math" w:cs="Times New Roman"/>
                    <w:lang w:val="en-CA"/>
                  </w:rPr>
                  <m:t>=ϕ</m:t>
                </m:r>
                <m:d>
                  <m:dPr>
                    <m:ctrlPr>
                      <w:rPr>
                        <w:rFonts w:ascii="Cambria Math" w:hAnsi="Cambria Math" w:cs="Times New Roman"/>
                        <w:i/>
                        <w:lang w:val="en-CA"/>
                      </w:rPr>
                    </m:ctrlPr>
                  </m:dPr>
                  <m:e>
                    <m:r>
                      <w:rPr>
                        <w:rFonts w:ascii="Cambria Math" w:hAnsi="Cambria Math" w:cs="Times New Roman"/>
                        <w:lang w:val="en-CA"/>
                      </w:rPr>
                      <m:t>α+β*</m:t>
                    </m:r>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e>
                </m:d>
              </m:oMath>
            </m:oMathPara>
          </w:p>
          <w:p w14:paraId="48E8E534" w14:textId="77777777" w:rsidR="00777877" w:rsidRPr="006B5B91" w:rsidRDefault="00777877" w:rsidP="00A02A56">
            <w:pPr>
              <w:spacing w:line="240" w:lineRule="auto"/>
              <w:rPr>
                <w:rFonts w:eastAsia="Times New Roman" w:cs="Times New Roman"/>
                <w:lang w:val="en-CA" w:eastAsia="en-CA"/>
              </w:rPr>
            </w:pPr>
          </w:p>
        </w:tc>
      </w:tr>
      <w:tr w:rsidR="00962F7D" w:rsidRPr="006B5B91" w14:paraId="43CD122C" w14:textId="77777777" w:rsidTr="00777877">
        <w:trPr>
          <w:trHeight w:val="300"/>
        </w:trPr>
        <w:tc>
          <w:tcPr>
            <w:tcW w:w="3336" w:type="dxa"/>
            <w:tcBorders>
              <w:top w:val="nil"/>
              <w:left w:val="nil"/>
              <w:bottom w:val="single" w:sz="4" w:space="0" w:color="auto"/>
              <w:right w:val="nil"/>
            </w:tcBorders>
            <w:shd w:val="clear" w:color="auto" w:fill="auto"/>
            <w:noWrap/>
            <w:vAlign w:val="center"/>
            <w:hideMark/>
          </w:tcPr>
          <w:p w14:paraId="100F3487" w14:textId="51D8E3A8" w:rsidR="00962F7D" w:rsidRPr="006B5B91" w:rsidRDefault="00EC1B57" w:rsidP="00A02A56">
            <w:pPr>
              <w:spacing w:line="240" w:lineRule="auto"/>
              <w:rPr>
                <w:rFonts w:eastAsia="Times New Roman" w:cs="Times New Roman"/>
                <w:lang w:val="en-CA" w:eastAsia="en-CA"/>
              </w:rPr>
            </w:pPr>
            <w:r w:rsidRPr="006B5B91">
              <w:rPr>
                <w:rFonts w:eastAsia="Times New Roman" w:cs="Times New Roman"/>
                <w:lang w:val="en-CA" w:eastAsia="en-CA"/>
              </w:rPr>
              <w:t>Explanatory Variables</w:t>
            </w:r>
          </w:p>
        </w:tc>
        <w:tc>
          <w:tcPr>
            <w:tcW w:w="2193" w:type="dxa"/>
            <w:tcBorders>
              <w:top w:val="nil"/>
              <w:left w:val="nil"/>
              <w:bottom w:val="single" w:sz="4" w:space="0" w:color="auto"/>
              <w:right w:val="nil"/>
            </w:tcBorders>
            <w:shd w:val="clear" w:color="auto" w:fill="auto"/>
            <w:noWrap/>
            <w:vAlign w:val="center"/>
            <w:hideMark/>
          </w:tcPr>
          <w:p w14:paraId="325ED332" w14:textId="77777777" w:rsidR="00962F7D" w:rsidRPr="006B5B91" w:rsidRDefault="00962F7D" w:rsidP="00A02A56">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12 months ahead</w:t>
            </w:r>
          </w:p>
        </w:tc>
        <w:tc>
          <w:tcPr>
            <w:tcW w:w="1984" w:type="dxa"/>
            <w:tcBorders>
              <w:top w:val="nil"/>
              <w:left w:val="nil"/>
              <w:bottom w:val="single" w:sz="4" w:space="0" w:color="auto"/>
              <w:right w:val="nil"/>
            </w:tcBorders>
            <w:shd w:val="clear" w:color="auto" w:fill="auto"/>
            <w:noWrap/>
            <w:vAlign w:val="center"/>
            <w:hideMark/>
          </w:tcPr>
          <w:p w14:paraId="7AD8E8D2" w14:textId="77777777" w:rsidR="00962F7D" w:rsidRPr="006B5B91" w:rsidRDefault="00962F7D" w:rsidP="00A02A56">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18 months ahead</w:t>
            </w:r>
          </w:p>
        </w:tc>
        <w:tc>
          <w:tcPr>
            <w:tcW w:w="1843" w:type="dxa"/>
            <w:tcBorders>
              <w:top w:val="nil"/>
              <w:left w:val="nil"/>
              <w:bottom w:val="single" w:sz="4" w:space="0" w:color="auto"/>
              <w:right w:val="nil"/>
            </w:tcBorders>
            <w:shd w:val="clear" w:color="auto" w:fill="auto"/>
            <w:noWrap/>
            <w:vAlign w:val="center"/>
            <w:hideMark/>
          </w:tcPr>
          <w:p w14:paraId="6E68C150" w14:textId="77777777" w:rsidR="00962F7D" w:rsidRPr="006B5B91" w:rsidRDefault="00962F7D" w:rsidP="00A02A56">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24 months ahead</w:t>
            </w:r>
          </w:p>
        </w:tc>
      </w:tr>
      <w:tr w:rsidR="00962F7D" w:rsidRPr="006B5B91" w14:paraId="45D472EC" w14:textId="77777777" w:rsidTr="00777877">
        <w:trPr>
          <w:trHeight w:val="300"/>
        </w:trPr>
        <w:tc>
          <w:tcPr>
            <w:tcW w:w="3336" w:type="dxa"/>
            <w:tcBorders>
              <w:top w:val="single" w:sz="4" w:space="0" w:color="auto"/>
              <w:left w:val="nil"/>
              <w:bottom w:val="nil"/>
              <w:right w:val="nil"/>
            </w:tcBorders>
            <w:shd w:val="clear" w:color="auto" w:fill="auto"/>
            <w:noWrap/>
            <w:vAlign w:val="center"/>
            <w:hideMark/>
          </w:tcPr>
          <w:p w14:paraId="2D3F026B" w14:textId="77777777" w:rsidR="00962F7D" w:rsidRPr="006B5B91" w:rsidRDefault="00962F7D" w:rsidP="00A02A56">
            <w:pPr>
              <w:spacing w:line="240" w:lineRule="auto"/>
              <w:rPr>
                <w:rFonts w:eastAsia="Times New Roman" w:cs="Times New Roman"/>
                <w:color w:val="000000"/>
                <w:lang w:val="en-CA" w:eastAsia="en-CA"/>
              </w:rPr>
            </w:pPr>
          </w:p>
        </w:tc>
        <w:tc>
          <w:tcPr>
            <w:tcW w:w="6020" w:type="dxa"/>
            <w:gridSpan w:val="3"/>
            <w:tcBorders>
              <w:top w:val="single" w:sz="4" w:space="0" w:color="auto"/>
              <w:left w:val="nil"/>
              <w:bottom w:val="nil"/>
              <w:right w:val="nil"/>
            </w:tcBorders>
            <w:shd w:val="clear" w:color="auto" w:fill="auto"/>
            <w:noWrap/>
            <w:vAlign w:val="center"/>
            <w:hideMark/>
          </w:tcPr>
          <w:p w14:paraId="654C93F1" w14:textId="77777777" w:rsidR="00962F7D" w:rsidRPr="006B5B91" w:rsidRDefault="00962F7D" w:rsidP="00A02A56">
            <w:pPr>
              <w:spacing w:line="240" w:lineRule="auto"/>
              <w:jc w:val="center"/>
              <w:rPr>
                <w:rFonts w:eastAsia="Times New Roman" w:cs="Times New Roman"/>
                <w:color w:val="000000"/>
                <w:lang w:val="en-CA" w:eastAsia="en-CA"/>
              </w:rPr>
            </w:pPr>
          </w:p>
        </w:tc>
      </w:tr>
      <w:tr w:rsidR="00741D67" w:rsidRPr="006B5B91" w14:paraId="0526DC40" w14:textId="77777777" w:rsidTr="00475E29">
        <w:trPr>
          <w:trHeight w:val="300"/>
        </w:trPr>
        <w:tc>
          <w:tcPr>
            <w:tcW w:w="3336" w:type="dxa"/>
            <w:tcBorders>
              <w:top w:val="nil"/>
              <w:left w:val="nil"/>
              <w:bottom w:val="nil"/>
              <w:right w:val="nil"/>
            </w:tcBorders>
            <w:shd w:val="clear" w:color="auto" w:fill="auto"/>
            <w:noWrap/>
            <w:vAlign w:val="center"/>
            <w:hideMark/>
          </w:tcPr>
          <w:p w14:paraId="02499092" w14:textId="664A958A" w:rsidR="00741D67" w:rsidRPr="006B5B91" w:rsidRDefault="00741D67" w:rsidP="00741D67">
            <w:pPr>
              <w:spacing w:line="240" w:lineRule="auto"/>
              <w:rPr>
                <w:rFonts w:eastAsia="Times New Roman" w:cs="Times New Roman"/>
                <w:color w:val="000000"/>
                <w:lang w:val="en-CA" w:eastAsia="en-CA"/>
              </w:rPr>
            </w:pPr>
            <w:r>
              <w:rPr>
                <w:rFonts w:eastAsia="Times New Roman" w:cs="Times New Roman"/>
                <w:color w:val="000000"/>
                <w:lang w:val="en-CA" w:eastAsia="en-CA"/>
              </w:rPr>
              <w:t xml:space="preserve">Near-term forward </w:t>
            </w:r>
            <w:r w:rsidR="0023613D">
              <w:rPr>
                <w:rFonts w:eastAsia="Times New Roman" w:cs="Times New Roman"/>
                <w:color w:val="000000"/>
                <w:lang w:val="en-CA" w:eastAsia="en-CA"/>
              </w:rPr>
              <w:t>spread</w:t>
            </w:r>
          </w:p>
        </w:tc>
        <w:tc>
          <w:tcPr>
            <w:tcW w:w="2193" w:type="dxa"/>
            <w:tcBorders>
              <w:top w:val="nil"/>
              <w:left w:val="nil"/>
              <w:bottom w:val="nil"/>
              <w:right w:val="nil"/>
            </w:tcBorders>
            <w:shd w:val="clear" w:color="auto" w:fill="auto"/>
            <w:noWrap/>
            <w:vAlign w:val="center"/>
            <w:hideMark/>
          </w:tcPr>
          <w:p w14:paraId="5B3BD36E" w14:textId="227EC8BA" w:rsidR="00741D67" w:rsidRPr="006B5B91" w:rsidRDefault="00741D67" w:rsidP="00741D67">
            <w:pPr>
              <w:spacing w:line="240" w:lineRule="auto"/>
              <w:jc w:val="center"/>
              <w:rPr>
                <w:rFonts w:eastAsia="Times New Roman" w:cs="Times New Roman"/>
                <w:color w:val="000000"/>
                <w:vertAlign w:val="superscript"/>
                <w:lang w:val="en-CA" w:eastAsia="en-CA"/>
              </w:rPr>
            </w:pPr>
            <w:r w:rsidRPr="006B5B91">
              <w:rPr>
                <w:rFonts w:eastAsia="Times New Roman" w:cs="Times New Roman"/>
                <w:color w:val="000000"/>
                <w:lang w:val="en-CA" w:eastAsia="en-CA"/>
              </w:rPr>
              <w:t>-0.0</w:t>
            </w:r>
            <w:r w:rsidR="002266D4">
              <w:rPr>
                <w:rFonts w:eastAsia="Times New Roman" w:cs="Times New Roman"/>
                <w:color w:val="000000"/>
                <w:lang w:val="en-CA" w:eastAsia="en-CA"/>
              </w:rPr>
              <w:t>466</w:t>
            </w:r>
            <w:r w:rsidRPr="006B5B91">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212B0B1E" w14:textId="4C8B365C"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w:t>
            </w:r>
            <w:r w:rsidR="00E1533C">
              <w:rPr>
                <w:rFonts w:eastAsia="Times New Roman" w:cs="Times New Roman"/>
                <w:color w:val="000000"/>
                <w:lang w:val="en-CA" w:eastAsia="en-CA"/>
              </w:rPr>
              <w:t>0622</w:t>
            </w:r>
            <w:r w:rsidRPr="006B5B91">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0B563473" w14:textId="2DB90368"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-0.1</w:t>
            </w:r>
            <w:r w:rsidR="00E1533C">
              <w:rPr>
                <w:rFonts w:eastAsia="Times New Roman" w:cs="Times New Roman"/>
                <w:color w:val="000000"/>
                <w:lang w:val="en-CA" w:eastAsia="en-CA"/>
              </w:rPr>
              <w:t>315</w:t>
            </w:r>
            <w:r w:rsidRPr="006B5B91">
              <w:rPr>
                <w:rFonts w:eastAsia="Times New Roman" w:cs="Times New Roman"/>
                <w:color w:val="000000"/>
                <w:vertAlign w:val="superscript"/>
                <w:lang w:val="en-CA" w:eastAsia="en-CA"/>
              </w:rPr>
              <w:t>***</w:t>
            </w:r>
          </w:p>
        </w:tc>
      </w:tr>
      <w:tr w:rsidR="00741D67" w:rsidRPr="006B5B91" w14:paraId="2C8EA108" w14:textId="77777777" w:rsidTr="00475E29">
        <w:trPr>
          <w:trHeight w:val="300"/>
        </w:trPr>
        <w:tc>
          <w:tcPr>
            <w:tcW w:w="3336" w:type="dxa"/>
            <w:tcBorders>
              <w:top w:val="nil"/>
              <w:left w:val="nil"/>
              <w:bottom w:val="nil"/>
              <w:right w:val="nil"/>
            </w:tcBorders>
            <w:shd w:val="clear" w:color="auto" w:fill="auto"/>
            <w:noWrap/>
            <w:vAlign w:val="center"/>
            <w:hideMark/>
          </w:tcPr>
          <w:p w14:paraId="3EDC26C4" w14:textId="77777777" w:rsidR="00741D67" w:rsidRPr="006B5B91"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1EC80ACA" w14:textId="2191B286"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2266D4">
              <w:rPr>
                <w:rFonts w:eastAsia="Times New Roman" w:cs="Times New Roman"/>
                <w:color w:val="000000"/>
                <w:lang w:val="en-CA" w:eastAsia="en-CA"/>
              </w:rPr>
              <w:t>151</w:t>
            </w:r>
            <w:r w:rsidRPr="006B5B91">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7B52BC33" w14:textId="45B5A2A8"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E1533C">
              <w:rPr>
                <w:rFonts w:eastAsia="Times New Roman" w:cs="Times New Roman"/>
                <w:color w:val="000000"/>
                <w:lang w:val="en-CA" w:eastAsia="en-CA"/>
              </w:rPr>
              <w:t>232</w:t>
            </w:r>
            <w:r w:rsidRPr="006B5B91">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300AE20C" w14:textId="22E324DB"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(0.02</w:t>
            </w:r>
            <w:r w:rsidR="00E1533C">
              <w:rPr>
                <w:rFonts w:eastAsia="Times New Roman" w:cs="Times New Roman"/>
                <w:color w:val="000000"/>
                <w:lang w:val="en-CA" w:eastAsia="en-CA"/>
              </w:rPr>
              <w:t>83</w:t>
            </w:r>
            <w:r w:rsidRPr="006B5B91">
              <w:rPr>
                <w:rFonts w:eastAsia="Times New Roman" w:cs="Times New Roman"/>
                <w:color w:val="000000"/>
                <w:lang w:val="en-CA" w:eastAsia="en-CA"/>
              </w:rPr>
              <w:t>)</w:t>
            </w:r>
          </w:p>
        </w:tc>
      </w:tr>
      <w:tr w:rsidR="00741D67" w:rsidRPr="006B5B91" w14:paraId="506D0908" w14:textId="77777777" w:rsidTr="00475E29">
        <w:trPr>
          <w:trHeight w:val="315"/>
        </w:trPr>
        <w:tc>
          <w:tcPr>
            <w:tcW w:w="3336" w:type="dxa"/>
            <w:tcBorders>
              <w:top w:val="nil"/>
              <w:left w:val="nil"/>
              <w:bottom w:val="nil"/>
              <w:right w:val="nil"/>
            </w:tcBorders>
            <w:shd w:val="clear" w:color="auto" w:fill="auto"/>
            <w:noWrap/>
            <w:vAlign w:val="center"/>
            <w:hideMark/>
          </w:tcPr>
          <w:p w14:paraId="76C46BFF" w14:textId="77777777" w:rsidR="00741D67" w:rsidRPr="006B5B91" w:rsidRDefault="00741D67" w:rsidP="00741D67">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 xml:space="preserve"> </w:t>
            </w:r>
          </w:p>
        </w:tc>
        <w:tc>
          <w:tcPr>
            <w:tcW w:w="2193" w:type="dxa"/>
            <w:tcBorders>
              <w:top w:val="nil"/>
              <w:left w:val="nil"/>
              <w:bottom w:val="nil"/>
              <w:right w:val="nil"/>
            </w:tcBorders>
            <w:shd w:val="clear" w:color="auto" w:fill="auto"/>
            <w:noWrap/>
            <w:vAlign w:val="center"/>
            <w:hideMark/>
          </w:tcPr>
          <w:p w14:paraId="68700966" w14:textId="77777777" w:rsidR="00741D67" w:rsidRPr="006B5B91" w:rsidRDefault="00741D67" w:rsidP="00741D67">
            <w:pPr>
              <w:spacing w:line="240" w:lineRule="auto"/>
              <w:rPr>
                <w:rFonts w:eastAsia="Times New Roman" w:cs="Times New Roman"/>
                <w:color w:val="000000"/>
                <w:lang w:val="en-CA" w:eastAsia="en-CA"/>
              </w:rPr>
            </w:pPr>
          </w:p>
        </w:tc>
        <w:tc>
          <w:tcPr>
            <w:tcW w:w="1984" w:type="dxa"/>
            <w:tcBorders>
              <w:top w:val="nil"/>
              <w:left w:val="nil"/>
              <w:bottom w:val="nil"/>
              <w:right w:val="nil"/>
            </w:tcBorders>
            <w:shd w:val="clear" w:color="auto" w:fill="auto"/>
            <w:noWrap/>
            <w:vAlign w:val="center"/>
            <w:hideMark/>
          </w:tcPr>
          <w:p w14:paraId="2D258052" w14:textId="77777777" w:rsidR="00741D67" w:rsidRPr="006B5B91" w:rsidRDefault="00741D67" w:rsidP="00741D67">
            <w:pPr>
              <w:spacing w:line="240" w:lineRule="auto"/>
              <w:jc w:val="center"/>
              <w:rPr>
                <w:rFonts w:eastAsia="Times New Roman" w:cs="Times New Roman"/>
                <w:lang w:val="en-CA" w:eastAsia="en-CA"/>
              </w:rPr>
            </w:pPr>
          </w:p>
        </w:tc>
        <w:tc>
          <w:tcPr>
            <w:tcW w:w="1843" w:type="dxa"/>
            <w:tcBorders>
              <w:top w:val="nil"/>
              <w:left w:val="nil"/>
              <w:bottom w:val="nil"/>
              <w:right w:val="nil"/>
            </w:tcBorders>
            <w:shd w:val="clear" w:color="auto" w:fill="auto"/>
            <w:noWrap/>
            <w:vAlign w:val="center"/>
            <w:hideMark/>
          </w:tcPr>
          <w:p w14:paraId="12B8A3B5" w14:textId="77777777" w:rsidR="00741D67" w:rsidRPr="006B5B91" w:rsidRDefault="00741D67" w:rsidP="00741D67">
            <w:pPr>
              <w:spacing w:line="240" w:lineRule="auto"/>
              <w:jc w:val="center"/>
              <w:rPr>
                <w:rFonts w:eastAsia="Times New Roman" w:cs="Times New Roman"/>
                <w:lang w:val="en-CA" w:eastAsia="en-CA"/>
              </w:rPr>
            </w:pPr>
          </w:p>
        </w:tc>
      </w:tr>
      <w:tr w:rsidR="00741D67" w:rsidRPr="006B5B91" w14:paraId="51FA0B6B" w14:textId="77777777" w:rsidTr="00475E29">
        <w:trPr>
          <w:trHeight w:val="300"/>
        </w:trPr>
        <w:tc>
          <w:tcPr>
            <w:tcW w:w="3336" w:type="dxa"/>
            <w:tcBorders>
              <w:top w:val="nil"/>
              <w:left w:val="nil"/>
              <w:bottom w:val="nil"/>
              <w:right w:val="nil"/>
            </w:tcBorders>
            <w:shd w:val="clear" w:color="auto" w:fill="auto"/>
            <w:noWrap/>
            <w:vAlign w:val="center"/>
            <w:hideMark/>
          </w:tcPr>
          <w:p w14:paraId="02004D2E" w14:textId="0ACD41C2" w:rsidR="00741D67" w:rsidRPr="006B5B91" w:rsidRDefault="00741D67" w:rsidP="00741D67">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10y</w:t>
            </w:r>
            <w:r w:rsidR="0023613D">
              <w:rPr>
                <w:rFonts w:eastAsia="Times New Roman" w:cs="Times New Roman"/>
                <w:color w:val="000000"/>
                <w:lang w:val="en-CA" w:eastAsia="en-CA"/>
              </w:rPr>
              <w:t>-</w:t>
            </w:r>
            <w:r w:rsidRPr="006B5B91">
              <w:rPr>
                <w:rFonts w:eastAsia="Times New Roman" w:cs="Times New Roman"/>
                <w:color w:val="000000"/>
                <w:lang w:val="en-CA" w:eastAsia="en-CA"/>
              </w:rPr>
              <w:t>2y spread</w:t>
            </w:r>
          </w:p>
        </w:tc>
        <w:tc>
          <w:tcPr>
            <w:tcW w:w="2193" w:type="dxa"/>
            <w:tcBorders>
              <w:top w:val="nil"/>
              <w:left w:val="nil"/>
              <w:bottom w:val="nil"/>
              <w:right w:val="nil"/>
            </w:tcBorders>
            <w:shd w:val="clear" w:color="auto" w:fill="auto"/>
            <w:noWrap/>
            <w:vAlign w:val="center"/>
            <w:hideMark/>
          </w:tcPr>
          <w:p w14:paraId="609D85F2" w14:textId="3E4E5B69"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w:t>
            </w:r>
            <w:r w:rsidR="002266D4">
              <w:rPr>
                <w:rFonts w:eastAsia="Times New Roman" w:cs="Times New Roman"/>
                <w:color w:val="000000"/>
                <w:lang w:val="en-CA" w:eastAsia="en-CA"/>
              </w:rPr>
              <w:t>0302</w:t>
            </w:r>
            <w:r w:rsidRPr="006B5B91">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16288383" w14:textId="2E7AF141"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w:t>
            </w:r>
            <w:r w:rsidR="00E1533C">
              <w:rPr>
                <w:rFonts w:eastAsia="Times New Roman" w:cs="Times New Roman"/>
                <w:color w:val="000000"/>
                <w:lang w:val="en-CA" w:eastAsia="en-CA"/>
              </w:rPr>
              <w:t>0228</w:t>
            </w:r>
          </w:p>
        </w:tc>
        <w:tc>
          <w:tcPr>
            <w:tcW w:w="1843" w:type="dxa"/>
            <w:tcBorders>
              <w:top w:val="nil"/>
              <w:left w:val="nil"/>
              <w:bottom w:val="nil"/>
              <w:right w:val="nil"/>
            </w:tcBorders>
            <w:shd w:val="clear" w:color="auto" w:fill="auto"/>
            <w:noWrap/>
            <w:vAlign w:val="center"/>
            <w:hideMark/>
          </w:tcPr>
          <w:p w14:paraId="2B4A06F7" w14:textId="71D1FF84"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w:t>
            </w:r>
            <w:r w:rsidR="00E1533C">
              <w:rPr>
                <w:rFonts w:eastAsia="Times New Roman" w:cs="Times New Roman"/>
                <w:color w:val="000000"/>
                <w:lang w:val="en-CA" w:eastAsia="en-CA"/>
              </w:rPr>
              <w:t>0708</w:t>
            </w:r>
            <w:r w:rsidRPr="006B5B91">
              <w:rPr>
                <w:rFonts w:eastAsia="Times New Roman" w:cs="Times New Roman"/>
                <w:color w:val="000000"/>
                <w:vertAlign w:val="superscript"/>
                <w:lang w:val="en-CA" w:eastAsia="en-CA"/>
              </w:rPr>
              <w:t>**</w:t>
            </w:r>
          </w:p>
        </w:tc>
      </w:tr>
      <w:tr w:rsidR="00741D67" w:rsidRPr="006B5B91" w14:paraId="42820971" w14:textId="77777777" w:rsidTr="00475E29">
        <w:trPr>
          <w:trHeight w:val="300"/>
        </w:trPr>
        <w:tc>
          <w:tcPr>
            <w:tcW w:w="3336" w:type="dxa"/>
            <w:tcBorders>
              <w:top w:val="nil"/>
              <w:left w:val="nil"/>
              <w:bottom w:val="nil"/>
              <w:right w:val="nil"/>
            </w:tcBorders>
            <w:shd w:val="clear" w:color="auto" w:fill="auto"/>
            <w:noWrap/>
            <w:vAlign w:val="center"/>
            <w:hideMark/>
          </w:tcPr>
          <w:p w14:paraId="0094F1F9" w14:textId="77777777" w:rsidR="00741D67" w:rsidRPr="006B5B91"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6D1398B9" w14:textId="27010BFD"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2266D4">
              <w:rPr>
                <w:rFonts w:eastAsia="Times New Roman" w:cs="Times New Roman"/>
                <w:color w:val="000000"/>
                <w:lang w:val="en-CA" w:eastAsia="en-CA"/>
              </w:rPr>
              <w:t>141</w:t>
            </w:r>
            <w:r w:rsidRPr="006B5B91">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23D6E50D" w14:textId="27C201E2"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E1533C">
              <w:rPr>
                <w:rFonts w:eastAsia="Times New Roman" w:cs="Times New Roman"/>
                <w:color w:val="000000"/>
                <w:lang w:val="en-CA" w:eastAsia="en-CA"/>
              </w:rPr>
              <w:t>165</w:t>
            </w:r>
            <w:r w:rsidRPr="006B5B91">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061DDBB3" w14:textId="008462E1"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E1533C">
              <w:rPr>
                <w:rFonts w:eastAsia="Times New Roman" w:cs="Times New Roman"/>
                <w:color w:val="000000"/>
                <w:lang w:val="en-CA" w:eastAsia="en-CA"/>
              </w:rPr>
              <w:t>288</w:t>
            </w:r>
            <w:r w:rsidRPr="006B5B91">
              <w:rPr>
                <w:rFonts w:eastAsia="Times New Roman" w:cs="Times New Roman"/>
                <w:color w:val="000000"/>
                <w:lang w:val="en-CA" w:eastAsia="en-CA"/>
              </w:rPr>
              <w:t>)</w:t>
            </w:r>
          </w:p>
        </w:tc>
      </w:tr>
      <w:tr w:rsidR="00741D67" w:rsidRPr="006B5B91" w14:paraId="4DF285A5" w14:textId="77777777" w:rsidTr="00475E29">
        <w:trPr>
          <w:trHeight w:val="300"/>
        </w:trPr>
        <w:tc>
          <w:tcPr>
            <w:tcW w:w="3336" w:type="dxa"/>
            <w:tcBorders>
              <w:top w:val="nil"/>
              <w:left w:val="nil"/>
              <w:bottom w:val="nil"/>
              <w:right w:val="nil"/>
            </w:tcBorders>
            <w:shd w:val="clear" w:color="auto" w:fill="auto"/>
            <w:noWrap/>
            <w:vAlign w:val="center"/>
            <w:hideMark/>
          </w:tcPr>
          <w:p w14:paraId="11B0FC5C" w14:textId="77777777" w:rsidR="00741D67" w:rsidRPr="006B5B91"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4DCE13C3" w14:textId="77777777" w:rsidR="00741D67" w:rsidRPr="006B5B91" w:rsidRDefault="00741D67" w:rsidP="00741D67">
            <w:pPr>
              <w:spacing w:line="240" w:lineRule="auto"/>
              <w:rPr>
                <w:rFonts w:eastAsia="Times New Roman" w:cs="Times New Roman"/>
                <w:lang w:val="en-CA" w:eastAsia="en-CA"/>
              </w:rPr>
            </w:pPr>
          </w:p>
        </w:tc>
        <w:tc>
          <w:tcPr>
            <w:tcW w:w="1984" w:type="dxa"/>
            <w:tcBorders>
              <w:top w:val="nil"/>
              <w:left w:val="nil"/>
              <w:bottom w:val="nil"/>
              <w:right w:val="nil"/>
            </w:tcBorders>
            <w:shd w:val="clear" w:color="auto" w:fill="auto"/>
            <w:noWrap/>
            <w:vAlign w:val="center"/>
            <w:hideMark/>
          </w:tcPr>
          <w:p w14:paraId="75D8FE79" w14:textId="77777777" w:rsidR="00741D67" w:rsidRPr="006B5B91" w:rsidRDefault="00741D67" w:rsidP="00741D67">
            <w:pPr>
              <w:spacing w:line="240" w:lineRule="auto"/>
              <w:jc w:val="center"/>
              <w:rPr>
                <w:rFonts w:eastAsia="Times New Roman" w:cs="Times New Roman"/>
                <w:lang w:val="en-CA" w:eastAsia="en-CA"/>
              </w:rPr>
            </w:pPr>
          </w:p>
        </w:tc>
        <w:tc>
          <w:tcPr>
            <w:tcW w:w="1843" w:type="dxa"/>
            <w:tcBorders>
              <w:top w:val="nil"/>
              <w:left w:val="nil"/>
              <w:bottom w:val="nil"/>
              <w:right w:val="nil"/>
            </w:tcBorders>
            <w:shd w:val="clear" w:color="auto" w:fill="auto"/>
            <w:noWrap/>
            <w:vAlign w:val="center"/>
            <w:hideMark/>
          </w:tcPr>
          <w:p w14:paraId="20A7519C" w14:textId="77777777" w:rsidR="00741D67" w:rsidRPr="006B5B91" w:rsidRDefault="00741D67" w:rsidP="00741D67">
            <w:pPr>
              <w:spacing w:line="240" w:lineRule="auto"/>
              <w:jc w:val="center"/>
              <w:rPr>
                <w:rFonts w:eastAsia="Times New Roman" w:cs="Times New Roman"/>
                <w:lang w:val="en-CA" w:eastAsia="en-CA"/>
              </w:rPr>
            </w:pPr>
          </w:p>
        </w:tc>
      </w:tr>
      <w:tr w:rsidR="00741D67" w:rsidRPr="006B5B91" w14:paraId="71C78575" w14:textId="77777777" w:rsidTr="00475E29">
        <w:trPr>
          <w:trHeight w:val="300"/>
        </w:trPr>
        <w:tc>
          <w:tcPr>
            <w:tcW w:w="3336" w:type="dxa"/>
            <w:tcBorders>
              <w:top w:val="nil"/>
              <w:left w:val="nil"/>
              <w:bottom w:val="nil"/>
              <w:right w:val="nil"/>
            </w:tcBorders>
            <w:shd w:val="clear" w:color="auto" w:fill="auto"/>
            <w:noWrap/>
            <w:vAlign w:val="center"/>
            <w:hideMark/>
          </w:tcPr>
          <w:p w14:paraId="6BFDD8B7" w14:textId="0B6D409C" w:rsidR="00741D67" w:rsidRPr="006B5B91" w:rsidRDefault="00741D67" w:rsidP="00741D67">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10y</w:t>
            </w:r>
            <w:r w:rsidR="0023613D">
              <w:rPr>
                <w:rFonts w:eastAsia="Times New Roman" w:cs="Times New Roman"/>
                <w:color w:val="000000"/>
                <w:lang w:val="en-CA" w:eastAsia="en-CA"/>
              </w:rPr>
              <w:t>-</w:t>
            </w:r>
            <w:r w:rsidRPr="006B5B91">
              <w:rPr>
                <w:rFonts w:eastAsia="Times New Roman" w:cs="Times New Roman"/>
                <w:color w:val="000000"/>
                <w:lang w:val="en-CA" w:eastAsia="en-CA"/>
              </w:rPr>
              <w:t>3m spread</w:t>
            </w:r>
          </w:p>
        </w:tc>
        <w:tc>
          <w:tcPr>
            <w:tcW w:w="2193" w:type="dxa"/>
            <w:tcBorders>
              <w:top w:val="nil"/>
              <w:left w:val="nil"/>
              <w:bottom w:val="nil"/>
              <w:right w:val="nil"/>
            </w:tcBorders>
            <w:shd w:val="clear" w:color="auto" w:fill="auto"/>
            <w:noWrap/>
            <w:vAlign w:val="center"/>
            <w:hideMark/>
          </w:tcPr>
          <w:p w14:paraId="046FD327" w14:textId="7BB5177F"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2266D4">
              <w:rPr>
                <w:rFonts w:eastAsia="Times New Roman" w:cs="Times New Roman"/>
                <w:color w:val="000000"/>
                <w:lang w:val="en-CA" w:eastAsia="en-CA"/>
              </w:rPr>
              <w:t>339</w:t>
            </w:r>
            <w:r w:rsidRPr="006B5B91">
              <w:rPr>
                <w:rFonts w:eastAsia="Times New Roman" w:cs="Times New Roman"/>
                <w:color w:val="000000"/>
                <w:vertAlign w:val="superscript"/>
                <w:lang w:val="en-CA" w:eastAsia="en-CA"/>
              </w:rPr>
              <w:t>**</w:t>
            </w:r>
          </w:p>
        </w:tc>
        <w:tc>
          <w:tcPr>
            <w:tcW w:w="1984" w:type="dxa"/>
            <w:tcBorders>
              <w:top w:val="nil"/>
              <w:left w:val="nil"/>
              <w:bottom w:val="nil"/>
              <w:right w:val="nil"/>
            </w:tcBorders>
            <w:shd w:val="clear" w:color="auto" w:fill="auto"/>
            <w:noWrap/>
            <w:vAlign w:val="center"/>
            <w:hideMark/>
          </w:tcPr>
          <w:p w14:paraId="51043D95" w14:textId="67DA7EE0"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w:t>
            </w:r>
            <w:r w:rsidR="00E1533C">
              <w:rPr>
                <w:rFonts w:eastAsia="Times New Roman" w:cs="Times New Roman"/>
                <w:color w:val="000000"/>
                <w:lang w:val="en-CA" w:eastAsia="en-CA"/>
              </w:rPr>
              <w:t>0361</w:t>
            </w:r>
            <w:r w:rsidRPr="006B5B91">
              <w:rPr>
                <w:rFonts w:eastAsia="Times New Roman" w:cs="Times New Roman"/>
                <w:color w:val="000000"/>
                <w:vertAlign w:val="superscript"/>
                <w:lang w:val="en-CA" w:eastAsia="en-CA"/>
              </w:rPr>
              <w:t>*</w:t>
            </w:r>
          </w:p>
        </w:tc>
        <w:tc>
          <w:tcPr>
            <w:tcW w:w="1843" w:type="dxa"/>
            <w:tcBorders>
              <w:top w:val="nil"/>
              <w:left w:val="nil"/>
              <w:bottom w:val="nil"/>
              <w:right w:val="nil"/>
            </w:tcBorders>
            <w:shd w:val="clear" w:color="auto" w:fill="auto"/>
            <w:noWrap/>
            <w:vAlign w:val="center"/>
            <w:hideMark/>
          </w:tcPr>
          <w:p w14:paraId="2ABB62BC" w14:textId="0CD161C7"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-0.1</w:t>
            </w:r>
            <w:r w:rsidR="00E1533C">
              <w:rPr>
                <w:rFonts w:eastAsia="Times New Roman" w:cs="Times New Roman"/>
                <w:color w:val="000000"/>
                <w:lang w:val="en-CA" w:eastAsia="en-CA"/>
              </w:rPr>
              <w:t>053</w:t>
            </w:r>
            <w:r w:rsidRPr="006B5B91">
              <w:rPr>
                <w:rFonts w:eastAsia="Times New Roman" w:cs="Times New Roman"/>
                <w:color w:val="000000"/>
                <w:vertAlign w:val="superscript"/>
                <w:lang w:val="en-CA" w:eastAsia="en-CA"/>
              </w:rPr>
              <w:t>***</w:t>
            </w:r>
          </w:p>
        </w:tc>
      </w:tr>
      <w:tr w:rsidR="00741D67" w:rsidRPr="006B5B91" w14:paraId="5FF27F1E" w14:textId="77777777" w:rsidTr="00475E29">
        <w:trPr>
          <w:trHeight w:val="300"/>
        </w:trPr>
        <w:tc>
          <w:tcPr>
            <w:tcW w:w="3336" w:type="dxa"/>
            <w:tcBorders>
              <w:top w:val="nil"/>
              <w:left w:val="nil"/>
              <w:bottom w:val="nil"/>
              <w:right w:val="nil"/>
            </w:tcBorders>
            <w:shd w:val="clear" w:color="auto" w:fill="auto"/>
            <w:noWrap/>
            <w:vAlign w:val="center"/>
            <w:hideMark/>
          </w:tcPr>
          <w:p w14:paraId="0E57DE6E" w14:textId="77777777" w:rsidR="00741D67" w:rsidRPr="006B5B91"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5BFCDE6D" w14:textId="45214A46"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(0.01</w:t>
            </w:r>
            <w:r w:rsidR="002E6FFB">
              <w:rPr>
                <w:rFonts w:eastAsia="Times New Roman" w:cs="Times New Roman"/>
                <w:color w:val="000000"/>
                <w:lang w:val="en-CA" w:eastAsia="en-CA"/>
              </w:rPr>
              <w:t>43</w:t>
            </w:r>
            <w:r w:rsidRPr="006B5B91">
              <w:rPr>
                <w:rFonts w:eastAsia="Times New Roman" w:cs="Times New Roman"/>
                <w:color w:val="000000"/>
                <w:lang w:val="en-CA" w:eastAsia="en-CA"/>
              </w:rPr>
              <w:t>)</w:t>
            </w:r>
          </w:p>
        </w:tc>
        <w:tc>
          <w:tcPr>
            <w:tcW w:w="1984" w:type="dxa"/>
            <w:tcBorders>
              <w:top w:val="nil"/>
              <w:left w:val="nil"/>
              <w:bottom w:val="nil"/>
              <w:right w:val="nil"/>
            </w:tcBorders>
            <w:shd w:val="clear" w:color="auto" w:fill="auto"/>
            <w:noWrap/>
            <w:vAlign w:val="center"/>
            <w:hideMark/>
          </w:tcPr>
          <w:p w14:paraId="0EEDEBD8" w14:textId="508A6968"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E1533C">
              <w:rPr>
                <w:rFonts w:eastAsia="Times New Roman" w:cs="Times New Roman"/>
                <w:color w:val="000000"/>
                <w:lang w:val="en-CA" w:eastAsia="en-CA"/>
              </w:rPr>
              <w:t>197</w:t>
            </w:r>
            <w:r w:rsidRPr="006B5B91">
              <w:rPr>
                <w:rFonts w:eastAsia="Times New Roman" w:cs="Times New Roman"/>
                <w:color w:val="000000"/>
                <w:lang w:val="en-CA" w:eastAsia="en-CA"/>
              </w:rPr>
              <w:t>)</w:t>
            </w:r>
          </w:p>
        </w:tc>
        <w:tc>
          <w:tcPr>
            <w:tcW w:w="1843" w:type="dxa"/>
            <w:tcBorders>
              <w:top w:val="nil"/>
              <w:left w:val="nil"/>
              <w:bottom w:val="nil"/>
              <w:right w:val="nil"/>
            </w:tcBorders>
            <w:shd w:val="clear" w:color="auto" w:fill="auto"/>
            <w:noWrap/>
            <w:vAlign w:val="center"/>
            <w:hideMark/>
          </w:tcPr>
          <w:p w14:paraId="587D74B1" w14:textId="3B111407"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(0.0</w:t>
            </w:r>
            <w:r w:rsidR="00E1533C">
              <w:rPr>
                <w:rFonts w:eastAsia="Times New Roman" w:cs="Times New Roman"/>
                <w:color w:val="000000"/>
                <w:lang w:val="en-CA" w:eastAsia="en-CA"/>
              </w:rPr>
              <w:t>289</w:t>
            </w:r>
            <w:r w:rsidRPr="006B5B91">
              <w:rPr>
                <w:rFonts w:eastAsia="Times New Roman" w:cs="Times New Roman"/>
                <w:color w:val="000000"/>
                <w:lang w:val="en-CA" w:eastAsia="en-CA"/>
              </w:rPr>
              <w:t>)</w:t>
            </w:r>
          </w:p>
        </w:tc>
      </w:tr>
      <w:tr w:rsidR="00741D67" w:rsidRPr="006B5B91" w14:paraId="282C0B62" w14:textId="77777777" w:rsidTr="00777877">
        <w:trPr>
          <w:trHeight w:val="300"/>
        </w:trPr>
        <w:tc>
          <w:tcPr>
            <w:tcW w:w="3336" w:type="dxa"/>
            <w:tcBorders>
              <w:top w:val="nil"/>
              <w:left w:val="nil"/>
              <w:bottom w:val="nil"/>
              <w:right w:val="nil"/>
            </w:tcBorders>
            <w:shd w:val="clear" w:color="auto" w:fill="auto"/>
            <w:noWrap/>
            <w:vAlign w:val="center"/>
            <w:hideMark/>
          </w:tcPr>
          <w:p w14:paraId="75039369" w14:textId="77777777" w:rsidR="00741D67" w:rsidRPr="006B5B91" w:rsidRDefault="00741D67" w:rsidP="00741D67">
            <w:pPr>
              <w:spacing w:line="240" w:lineRule="auto"/>
              <w:jc w:val="center"/>
              <w:rPr>
                <w:rFonts w:eastAsia="Times New Roman" w:cs="Times New Roman"/>
                <w:color w:val="000000"/>
                <w:lang w:val="en-CA" w:eastAsia="en-CA"/>
              </w:rPr>
            </w:pPr>
          </w:p>
        </w:tc>
        <w:tc>
          <w:tcPr>
            <w:tcW w:w="2193" w:type="dxa"/>
            <w:tcBorders>
              <w:top w:val="nil"/>
              <w:left w:val="nil"/>
              <w:bottom w:val="nil"/>
              <w:right w:val="nil"/>
            </w:tcBorders>
            <w:shd w:val="clear" w:color="auto" w:fill="auto"/>
            <w:noWrap/>
            <w:vAlign w:val="center"/>
            <w:hideMark/>
          </w:tcPr>
          <w:p w14:paraId="253B2A78" w14:textId="77777777" w:rsidR="00741D67" w:rsidRPr="006B5B91" w:rsidRDefault="00741D67" w:rsidP="00741D67">
            <w:pPr>
              <w:spacing w:line="240" w:lineRule="auto"/>
              <w:rPr>
                <w:rFonts w:eastAsia="Times New Roman" w:cs="Times New Roman"/>
                <w:lang w:val="en-CA" w:eastAsia="en-CA"/>
              </w:rPr>
            </w:pPr>
          </w:p>
        </w:tc>
        <w:tc>
          <w:tcPr>
            <w:tcW w:w="1984" w:type="dxa"/>
            <w:tcBorders>
              <w:top w:val="nil"/>
              <w:left w:val="nil"/>
              <w:bottom w:val="nil"/>
              <w:right w:val="nil"/>
            </w:tcBorders>
            <w:shd w:val="clear" w:color="auto" w:fill="auto"/>
            <w:noWrap/>
            <w:vAlign w:val="center"/>
            <w:hideMark/>
          </w:tcPr>
          <w:p w14:paraId="69D8F2DE" w14:textId="77777777" w:rsidR="00741D67" w:rsidRPr="006B5B91" w:rsidRDefault="00741D67" w:rsidP="00741D67">
            <w:pPr>
              <w:spacing w:line="240" w:lineRule="auto"/>
              <w:jc w:val="center"/>
              <w:rPr>
                <w:rFonts w:eastAsia="Times New Roman" w:cs="Times New Roman"/>
                <w:lang w:val="en-CA" w:eastAsia="en-CA"/>
              </w:rPr>
            </w:pPr>
          </w:p>
        </w:tc>
        <w:tc>
          <w:tcPr>
            <w:tcW w:w="1843" w:type="dxa"/>
            <w:tcBorders>
              <w:top w:val="nil"/>
              <w:left w:val="nil"/>
              <w:bottom w:val="nil"/>
              <w:right w:val="nil"/>
            </w:tcBorders>
            <w:shd w:val="clear" w:color="auto" w:fill="auto"/>
            <w:noWrap/>
            <w:vAlign w:val="center"/>
            <w:hideMark/>
          </w:tcPr>
          <w:p w14:paraId="42EA0E1B" w14:textId="77777777" w:rsidR="00741D67" w:rsidRPr="006B5B91" w:rsidRDefault="00741D67" w:rsidP="00741D67">
            <w:pPr>
              <w:spacing w:line="240" w:lineRule="auto"/>
              <w:jc w:val="center"/>
              <w:rPr>
                <w:rFonts w:eastAsia="Times New Roman" w:cs="Times New Roman"/>
                <w:lang w:val="en-CA" w:eastAsia="en-CA"/>
              </w:rPr>
            </w:pPr>
          </w:p>
        </w:tc>
      </w:tr>
      <w:tr w:rsidR="00741D67" w:rsidRPr="006B5B91" w14:paraId="6F98B809" w14:textId="77777777" w:rsidTr="00777877">
        <w:trPr>
          <w:trHeight w:val="315"/>
        </w:trPr>
        <w:tc>
          <w:tcPr>
            <w:tcW w:w="3336" w:type="dxa"/>
            <w:tcBorders>
              <w:top w:val="nil"/>
              <w:left w:val="nil"/>
              <w:bottom w:val="double" w:sz="6" w:space="0" w:color="auto"/>
              <w:right w:val="nil"/>
            </w:tcBorders>
            <w:shd w:val="clear" w:color="auto" w:fill="auto"/>
            <w:noWrap/>
            <w:vAlign w:val="center"/>
            <w:hideMark/>
          </w:tcPr>
          <w:p w14:paraId="3CBD85D2" w14:textId="77777777" w:rsidR="00741D67" w:rsidRPr="006B5B91" w:rsidRDefault="00741D67" w:rsidP="00741D67">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Observations</w:t>
            </w:r>
          </w:p>
        </w:tc>
        <w:tc>
          <w:tcPr>
            <w:tcW w:w="2193" w:type="dxa"/>
            <w:tcBorders>
              <w:top w:val="nil"/>
              <w:left w:val="nil"/>
              <w:bottom w:val="double" w:sz="6" w:space="0" w:color="auto"/>
              <w:right w:val="nil"/>
            </w:tcBorders>
            <w:shd w:val="clear" w:color="auto" w:fill="auto"/>
            <w:noWrap/>
            <w:vAlign w:val="center"/>
            <w:hideMark/>
          </w:tcPr>
          <w:p w14:paraId="4DC38D40" w14:textId="77777777"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355</w:t>
            </w:r>
          </w:p>
        </w:tc>
        <w:tc>
          <w:tcPr>
            <w:tcW w:w="1984" w:type="dxa"/>
            <w:tcBorders>
              <w:top w:val="nil"/>
              <w:left w:val="nil"/>
              <w:bottom w:val="double" w:sz="6" w:space="0" w:color="auto"/>
              <w:right w:val="nil"/>
            </w:tcBorders>
            <w:shd w:val="clear" w:color="auto" w:fill="auto"/>
            <w:noWrap/>
            <w:vAlign w:val="center"/>
            <w:hideMark/>
          </w:tcPr>
          <w:p w14:paraId="620EA06C" w14:textId="77777777"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355</w:t>
            </w:r>
          </w:p>
        </w:tc>
        <w:tc>
          <w:tcPr>
            <w:tcW w:w="1843" w:type="dxa"/>
            <w:tcBorders>
              <w:top w:val="nil"/>
              <w:left w:val="nil"/>
              <w:bottom w:val="double" w:sz="6" w:space="0" w:color="auto"/>
              <w:right w:val="nil"/>
            </w:tcBorders>
            <w:shd w:val="clear" w:color="auto" w:fill="auto"/>
            <w:noWrap/>
            <w:vAlign w:val="center"/>
            <w:hideMark/>
          </w:tcPr>
          <w:p w14:paraId="662D36B5" w14:textId="77777777" w:rsidR="00741D67" w:rsidRPr="006B5B91" w:rsidRDefault="00741D67" w:rsidP="00741D67">
            <w:pPr>
              <w:spacing w:line="240" w:lineRule="auto"/>
              <w:jc w:val="center"/>
              <w:rPr>
                <w:rFonts w:eastAsia="Times New Roman" w:cs="Times New Roman"/>
                <w:color w:val="000000"/>
                <w:lang w:val="en-CA" w:eastAsia="en-CA"/>
              </w:rPr>
            </w:pPr>
            <w:r w:rsidRPr="006B5B91">
              <w:rPr>
                <w:rFonts w:eastAsia="Times New Roman" w:cs="Times New Roman"/>
                <w:color w:val="000000"/>
                <w:lang w:val="en-CA" w:eastAsia="en-CA"/>
              </w:rPr>
              <w:t>355</w:t>
            </w:r>
          </w:p>
        </w:tc>
      </w:tr>
      <w:tr w:rsidR="00741D67" w:rsidRPr="006B5B91" w14:paraId="60F5793C" w14:textId="77777777" w:rsidTr="00475E29">
        <w:trPr>
          <w:trHeight w:val="315"/>
        </w:trPr>
        <w:tc>
          <w:tcPr>
            <w:tcW w:w="9356" w:type="dxa"/>
            <w:gridSpan w:val="4"/>
            <w:tcBorders>
              <w:top w:val="nil"/>
              <w:left w:val="nil"/>
              <w:bottom w:val="nil"/>
            </w:tcBorders>
            <w:shd w:val="clear" w:color="auto" w:fill="auto"/>
            <w:noWrap/>
            <w:vAlign w:val="bottom"/>
            <w:hideMark/>
          </w:tcPr>
          <w:p w14:paraId="50D91BE4" w14:textId="52F48444" w:rsidR="00741D67" w:rsidRPr="00573C52" w:rsidRDefault="00741D67" w:rsidP="00741D67">
            <w:pPr>
              <w:spacing w:line="240" w:lineRule="auto"/>
              <w:rPr>
                <w:rFonts w:cs="Times New Roman"/>
                <w:color w:val="000000"/>
              </w:rPr>
            </w:pPr>
            <w:r w:rsidRPr="00573C52">
              <w:rPr>
                <w:rFonts w:cs="Times New Roman"/>
                <w:color w:val="000000"/>
              </w:rPr>
              <w:t>*</w:t>
            </w:r>
            <w:r w:rsidR="006D1B42" w:rsidRPr="00573C52">
              <w:rPr>
                <w:rFonts w:cs="Times New Roman"/>
                <w:color w:val="000000"/>
              </w:rPr>
              <w:t>Notes: Results are marginal effects that show the estimated increase in the probability of transitioning to a recession within the stated time horizon when the spread fell by one standard deviation from its mean. Standard errors are in parentheses. The level of significance is indicated by the number of stars: * significant at 10%; ** significant at 5%; *** significant at 1%.</w:t>
            </w:r>
          </w:p>
          <w:p w14:paraId="340FE5F3" w14:textId="77777777" w:rsidR="00741D67" w:rsidRPr="006B5B91" w:rsidRDefault="00741D67" w:rsidP="00741D67">
            <w:pPr>
              <w:spacing w:line="240" w:lineRule="auto"/>
              <w:rPr>
                <w:rFonts w:eastAsia="Times New Roman" w:cs="Times New Roman"/>
                <w:lang w:val="en-CA" w:eastAsia="en-CA"/>
              </w:rPr>
            </w:pPr>
          </w:p>
        </w:tc>
      </w:tr>
      <w:bookmarkEnd w:id="35"/>
    </w:tbl>
    <w:p w14:paraId="05A15A46" w14:textId="77777777" w:rsidR="000F3B89" w:rsidRDefault="000F3B89" w:rsidP="000F3B89">
      <w:pPr>
        <w:spacing w:line="480" w:lineRule="auto"/>
        <w:rPr>
          <w:rFonts w:cs="Times New Roman"/>
          <w:lang w:val="en-CA"/>
        </w:rPr>
      </w:pPr>
    </w:p>
    <w:p w14:paraId="372AD7DC" w14:textId="54009F19" w:rsidR="000F3B89" w:rsidRPr="000F4482" w:rsidRDefault="008E13AC" w:rsidP="000F3B89">
      <w:pPr>
        <w:spacing w:line="480" w:lineRule="auto"/>
        <w:ind w:firstLine="720"/>
        <w:rPr>
          <w:rFonts w:cs="Times New Roman"/>
          <w:lang w:val="en-CA"/>
        </w:rPr>
      </w:pPr>
      <w:r w:rsidRPr="006B5B91">
        <w:rPr>
          <w:rFonts w:cs="Times New Roman"/>
          <w:lang w:val="en-CA"/>
        </w:rPr>
        <w:t xml:space="preserve">Table </w:t>
      </w:r>
      <w:r w:rsidR="000F3B89">
        <w:rPr>
          <w:rFonts w:cs="Times New Roman"/>
          <w:lang w:val="en-CA"/>
        </w:rPr>
        <w:t>7</w:t>
      </w:r>
      <w:r w:rsidRPr="006B5B91">
        <w:rPr>
          <w:rFonts w:cs="Times New Roman"/>
          <w:lang w:val="en-CA"/>
        </w:rPr>
        <w:t xml:space="preserve"> shows </w:t>
      </w:r>
      <w:r w:rsidR="00435A15">
        <w:rPr>
          <w:rFonts w:cs="Times New Roman"/>
          <w:lang w:val="en-CA"/>
        </w:rPr>
        <w:t>the</w:t>
      </w:r>
      <w:r w:rsidR="006443D3" w:rsidRPr="006B5B91">
        <w:rPr>
          <w:rFonts w:cs="Times New Roman"/>
          <w:lang w:val="en-CA"/>
        </w:rPr>
        <w:t xml:space="preserve"> </w:t>
      </w:r>
      <w:r w:rsidRPr="006B5B91">
        <w:rPr>
          <w:rFonts w:cs="Times New Roman"/>
          <w:lang w:val="en-CA"/>
        </w:rPr>
        <w:t>pseudo R</w:t>
      </w:r>
      <w:r w:rsidR="002B6C36">
        <w:rPr>
          <w:rFonts w:cs="Times New Roman"/>
          <w:vertAlign w:val="superscript"/>
          <w:lang w:val="en-CA"/>
        </w:rPr>
        <w:t>2</w:t>
      </w:r>
      <w:r w:rsidRPr="006B5B91">
        <w:rPr>
          <w:rFonts w:cs="Times New Roman"/>
          <w:lang w:val="en-CA"/>
        </w:rPr>
        <w:t xml:space="preserve"> values for each regression using all three recession dating methods and all three </w:t>
      </w:r>
      <w:r w:rsidR="009A4B70">
        <w:rPr>
          <w:rFonts w:cs="Times New Roman"/>
          <w:lang w:val="en-CA"/>
        </w:rPr>
        <w:t>forecast</w:t>
      </w:r>
      <w:r w:rsidRPr="006B5B91">
        <w:rPr>
          <w:rFonts w:cs="Times New Roman"/>
          <w:lang w:val="en-CA"/>
        </w:rPr>
        <w:t xml:space="preserve"> horizons. The results from the model using </w:t>
      </w:r>
      <w:r w:rsidR="000C07F3">
        <w:rPr>
          <w:rFonts w:cs="Times New Roman"/>
          <w:lang w:val="en-CA"/>
        </w:rPr>
        <w:t>C.D.</w:t>
      </w:r>
      <w:r w:rsidRPr="006B5B91">
        <w:rPr>
          <w:rFonts w:cs="Times New Roman"/>
          <w:lang w:val="en-CA"/>
        </w:rPr>
        <w:t xml:space="preserve"> Howe Institute recession dates s</w:t>
      </w:r>
      <w:r w:rsidR="002B6C36">
        <w:rPr>
          <w:rFonts w:cs="Times New Roman"/>
          <w:lang w:val="en-CA"/>
        </w:rPr>
        <w:t>uggest</w:t>
      </w:r>
      <w:r w:rsidRPr="006B5B91">
        <w:rPr>
          <w:rFonts w:cs="Times New Roman"/>
          <w:lang w:val="en-CA"/>
        </w:rPr>
        <w:t xml:space="preserve"> that the </w:t>
      </w:r>
      <w:r w:rsidR="0061111C">
        <w:rPr>
          <w:rFonts w:cs="Times New Roman"/>
          <w:lang w:val="en-CA"/>
        </w:rPr>
        <w:t xml:space="preserve">near-term forward </w:t>
      </w:r>
      <w:r w:rsidR="0023613D">
        <w:rPr>
          <w:rFonts w:cs="Times New Roman"/>
          <w:lang w:val="en-CA"/>
        </w:rPr>
        <w:t>spread</w:t>
      </w:r>
      <w:r w:rsidRPr="006B5B91">
        <w:rPr>
          <w:rFonts w:cs="Times New Roman"/>
          <w:lang w:val="en-CA"/>
        </w:rPr>
        <w:t xml:space="preserve"> has higher explanatory power than the </w:t>
      </w:r>
      <w:r w:rsidRPr="006B5B91">
        <w:rPr>
          <w:rFonts w:cs="Times New Roman"/>
          <w:lang w:val="en-CA"/>
        </w:rPr>
        <w:lastRenderedPageBreak/>
        <w:t xml:space="preserve">10y-2y spread in all </w:t>
      </w:r>
      <w:r w:rsidR="003F1A4D">
        <w:rPr>
          <w:rFonts w:cs="Times New Roman"/>
          <w:lang w:val="en-CA"/>
        </w:rPr>
        <w:t xml:space="preserve">time </w:t>
      </w:r>
      <w:r w:rsidRPr="006B5B91">
        <w:rPr>
          <w:rFonts w:cs="Times New Roman"/>
          <w:lang w:val="en-CA"/>
        </w:rPr>
        <w:t>horizon measures, and higher explanatory power than the 10y-3m spread in the 12-months ahead horizon. The 18-months ahead and 24-months ahead horizons show practically t</w:t>
      </w:r>
      <w:r w:rsidR="00CE640B">
        <w:rPr>
          <w:rFonts w:cs="Times New Roman"/>
          <w:lang w:val="en-CA"/>
        </w:rPr>
        <w:t>he same level of explanatory power.</w:t>
      </w:r>
      <w:r w:rsidR="000F3B89" w:rsidRPr="000F3B89">
        <w:rPr>
          <w:rFonts w:cs="Times New Roman"/>
          <w:lang w:val="en-CA"/>
        </w:rPr>
        <w:t xml:space="preserve"> </w:t>
      </w:r>
      <w:r w:rsidR="000F3B89" w:rsidRPr="006B5B91">
        <w:rPr>
          <w:rFonts w:cs="Times New Roman"/>
          <w:lang w:val="en-CA"/>
        </w:rPr>
        <w:t xml:space="preserve">The other two recession dating methods produce more varied results. Using </w:t>
      </w:r>
      <w:r w:rsidR="007057DF">
        <w:rPr>
          <w:rFonts w:cs="Times New Roman"/>
          <w:lang w:val="en-CA"/>
        </w:rPr>
        <w:t xml:space="preserve">the </w:t>
      </w:r>
      <w:r w:rsidR="000F3B89" w:rsidRPr="006B5B91">
        <w:rPr>
          <w:rFonts w:cs="Times New Roman"/>
          <w:lang w:val="en-CA"/>
        </w:rPr>
        <w:t xml:space="preserve">OECD recession dates, the </w:t>
      </w:r>
      <w:r w:rsidR="000F3B89">
        <w:rPr>
          <w:rFonts w:cs="Times New Roman"/>
          <w:lang w:val="en-CA"/>
        </w:rPr>
        <w:t>near-term forward spread</w:t>
      </w:r>
      <w:r w:rsidR="000F3B89" w:rsidRPr="006B5B91">
        <w:rPr>
          <w:rFonts w:cs="Times New Roman"/>
          <w:lang w:val="en-CA"/>
        </w:rPr>
        <w:t xml:space="preserve"> show</w:t>
      </w:r>
      <w:r w:rsidR="000F3B89">
        <w:rPr>
          <w:rFonts w:cs="Times New Roman"/>
          <w:lang w:val="en-CA"/>
        </w:rPr>
        <w:t>s</w:t>
      </w:r>
      <w:r w:rsidR="000F3B89" w:rsidRPr="006B5B91">
        <w:rPr>
          <w:rFonts w:cs="Times New Roman"/>
          <w:lang w:val="en-CA"/>
        </w:rPr>
        <w:t xml:space="preserve"> weaker explanatory power than both the long-term yield spreads, with the 10y-2y spread dominat</w:t>
      </w:r>
      <w:r w:rsidR="003F1A4D">
        <w:rPr>
          <w:rFonts w:cs="Times New Roman"/>
          <w:lang w:val="en-CA"/>
        </w:rPr>
        <w:t>ing</w:t>
      </w:r>
      <w:r w:rsidR="000F3B89" w:rsidRPr="006B5B91">
        <w:rPr>
          <w:rFonts w:cs="Times New Roman"/>
          <w:lang w:val="en-CA"/>
        </w:rPr>
        <w:t xml:space="preserve"> both the </w:t>
      </w:r>
      <w:r w:rsidR="000F3B89">
        <w:rPr>
          <w:rFonts w:cs="Times New Roman"/>
          <w:lang w:val="en-CA"/>
        </w:rPr>
        <w:t>near-term forward spread</w:t>
      </w:r>
      <w:r w:rsidR="000F3B89" w:rsidRPr="006B5B91">
        <w:rPr>
          <w:rFonts w:cs="Times New Roman"/>
          <w:lang w:val="en-CA"/>
        </w:rPr>
        <w:t xml:space="preserve"> and the 10y-3m spread. Using </w:t>
      </w:r>
      <w:r w:rsidR="007057DF">
        <w:rPr>
          <w:rFonts w:cs="Times New Roman"/>
          <w:lang w:val="en-CA"/>
        </w:rPr>
        <w:t xml:space="preserve">the </w:t>
      </w:r>
      <w:r w:rsidR="000F3B89" w:rsidRPr="006B5B91">
        <w:rPr>
          <w:rFonts w:cs="Times New Roman"/>
          <w:lang w:val="en-CA"/>
        </w:rPr>
        <w:t xml:space="preserve">ECRI recession dates, the 10y-3m spread shows higher explanatory power than both the </w:t>
      </w:r>
      <w:r w:rsidR="000F3B89">
        <w:rPr>
          <w:rFonts w:cs="Times New Roman"/>
          <w:lang w:val="en-CA"/>
        </w:rPr>
        <w:t>near-term forward spread</w:t>
      </w:r>
      <w:r w:rsidR="000F3B89" w:rsidRPr="006B5B91">
        <w:rPr>
          <w:rFonts w:cs="Times New Roman"/>
          <w:lang w:val="en-CA"/>
        </w:rPr>
        <w:t xml:space="preserve"> and the 10y-2y spread</w:t>
      </w:r>
      <w:r w:rsidR="00574631">
        <w:rPr>
          <w:rFonts w:cs="Times New Roman"/>
          <w:lang w:val="en-CA"/>
        </w:rPr>
        <w:t xml:space="preserve">. </w:t>
      </w:r>
      <w:r w:rsidR="000F4482" w:rsidRPr="00475E29">
        <w:rPr>
          <w:rFonts w:cs="Times New Roman"/>
          <w:lang w:val="en-CA"/>
        </w:rPr>
        <w:t>Overall, the pseudo R</w:t>
      </w:r>
      <w:r w:rsidR="000F4482" w:rsidRPr="00475E29">
        <w:rPr>
          <w:rFonts w:cs="Times New Roman"/>
          <w:vertAlign w:val="superscript"/>
          <w:lang w:val="en-CA"/>
        </w:rPr>
        <w:t xml:space="preserve">2 </w:t>
      </w:r>
      <w:r w:rsidR="000F4482" w:rsidRPr="00475E29">
        <w:rPr>
          <w:rFonts w:cs="Times New Roman"/>
          <w:lang w:val="en-CA"/>
        </w:rPr>
        <w:t xml:space="preserve">values were highest for the </w:t>
      </w:r>
      <w:r w:rsidR="00FC232D">
        <w:rPr>
          <w:rFonts w:cs="Times New Roman"/>
          <w:lang w:val="en-CA"/>
        </w:rPr>
        <w:t xml:space="preserve">model using the </w:t>
      </w:r>
      <w:r w:rsidR="000F4482" w:rsidRPr="00475E29">
        <w:rPr>
          <w:rFonts w:cs="Times New Roman"/>
          <w:lang w:val="en-CA"/>
        </w:rPr>
        <w:t xml:space="preserve">ECRI recession dates and lowest for the </w:t>
      </w:r>
      <w:r w:rsidR="00FC232D">
        <w:rPr>
          <w:rFonts w:cs="Times New Roman"/>
          <w:lang w:val="en-CA"/>
        </w:rPr>
        <w:t xml:space="preserve">model using the </w:t>
      </w:r>
      <w:r w:rsidR="000F4482" w:rsidRPr="00475E29">
        <w:rPr>
          <w:rFonts w:cs="Times New Roman"/>
          <w:lang w:val="en-CA"/>
        </w:rPr>
        <w:t>OECD recession dates.</w:t>
      </w:r>
    </w:p>
    <w:p w14:paraId="33E8C631" w14:textId="77777777" w:rsidR="000F3B89" w:rsidRPr="006B5B91" w:rsidRDefault="000F3B89" w:rsidP="000F3B89">
      <w:pPr>
        <w:spacing w:line="480" w:lineRule="auto"/>
        <w:ind w:firstLine="720"/>
        <w:rPr>
          <w:rFonts w:cs="Times New Roman"/>
          <w:lang w:val="en-CA"/>
        </w:rPr>
      </w:pPr>
    </w:p>
    <w:tbl>
      <w:tblPr>
        <w:tblW w:w="9360" w:type="dxa"/>
        <w:tblLook w:val="04A0" w:firstRow="1" w:lastRow="0" w:firstColumn="1" w:lastColumn="0" w:noHBand="0" w:noVBand="1"/>
      </w:tblPr>
      <w:tblGrid>
        <w:gridCol w:w="216"/>
        <w:gridCol w:w="2619"/>
        <w:gridCol w:w="586"/>
        <w:gridCol w:w="563"/>
        <w:gridCol w:w="1789"/>
        <w:gridCol w:w="968"/>
        <w:gridCol w:w="950"/>
        <w:gridCol w:w="1669"/>
      </w:tblGrid>
      <w:tr w:rsidR="000F3B89" w:rsidRPr="006B5B91" w14:paraId="7C1962BF" w14:textId="77777777" w:rsidTr="00DE57A5">
        <w:trPr>
          <w:trHeight w:val="315"/>
        </w:trPr>
        <w:tc>
          <w:tcPr>
            <w:tcW w:w="5773" w:type="dxa"/>
            <w:gridSpan w:val="5"/>
            <w:tcBorders>
              <w:top w:val="nil"/>
              <w:left w:val="nil"/>
              <w:bottom w:val="double" w:sz="6" w:space="0" w:color="auto"/>
              <w:right w:val="nil"/>
            </w:tcBorders>
            <w:shd w:val="clear" w:color="auto" w:fill="auto"/>
            <w:noWrap/>
            <w:vAlign w:val="center"/>
            <w:hideMark/>
          </w:tcPr>
          <w:p w14:paraId="7B022396" w14:textId="32E4461E" w:rsidR="00B35925" w:rsidRDefault="00B35925" w:rsidP="00AD1ECB">
            <w:bookmarkStart w:id="37" w:name="_Toc37261613"/>
            <w:bookmarkStart w:id="38" w:name="_Hlk39404921"/>
            <w:r>
              <w:t xml:space="preserve">Table </w:t>
            </w:r>
            <w:r w:rsidR="009C4B5A">
              <w:fldChar w:fldCharType="begin"/>
            </w:r>
            <w:r w:rsidR="009C4B5A">
              <w:instrText xml:space="preserve"> SEQ Table \* ARABIC </w:instrText>
            </w:r>
            <w:r w:rsidR="009C4B5A">
              <w:fldChar w:fldCharType="separate"/>
            </w:r>
            <w:r w:rsidR="00AC0696">
              <w:rPr>
                <w:noProof/>
              </w:rPr>
              <w:t>7</w:t>
            </w:r>
            <w:bookmarkEnd w:id="37"/>
            <w:r w:rsidR="009C4B5A">
              <w:rPr>
                <w:noProof/>
              </w:rPr>
              <w:fldChar w:fldCharType="end"/>
            </w:r>
          </w:p>
          <w:p w14:paraId="7CD864A6" w14:textId="77777777" w:rsidR="000F3B89" w:rsidRPr="00B43DDB" w:rsidRDefault="000F3B89" w:rsidP="00DE57A5">
            <w:pPr>
              <w:spacing w:line="240" w:lineRule="auto"/>
              <w:rPr>
                <w:rFonts w:eastAsia="Times New Roman" w:cs="Times New Roman"/>
                <w:i/>
                <w:iCs/>
                <w:color w:val="000000"/>
                <w:lang w:val="en-CA" w:eastAsia="en-CA"/>
              </w:rPr>
            </w:pPr>
            <w:r w:rsidRPr="00AA72C0">
              <w:rPr>
                <w:rFonts w:eastAsia="Times New Roman" w:cs="Times New Roman"/>
                <w:i/>
                <w:iCs/>
                <w:color w:val="000000"/>
                <w:lang w:val="en-CA" w:eastAsia="en-CA"/>
              </w:rPr>
              <w:t>Pseudo R</w:t>
            </w:r>
            <w:r w:rsidRPr="00AA72C0">
              <w:rPr>
                <w:rFonts w:eastAsia="Times New Roman" w:cs="Times New Roman"/>
                <w:i/>
                <w:iCs/>
                <w:color w:val="000000"/>
                <w:vertAlign w:val="superscript"/>
                <w:lang w:val="en-CA" w:eastAsia="en-CA"/>
              </w:rPr>
              <w:t>2</w:t>
            </w:r>
            <w:r w:rsidRPr="00AA72C0">
              <w:rPr>
                <w:rFonts w:eastAsia="Times New Roman" w:cs="Times New Roman"/>
                <w:i/>
                <w:iCs/>
                <w:color w:val="000000"/>
                <w:lang w:val="en-CA" w:eastAsia="en-CA"/>
              </w:rPr>
              <w:t xml:space="preserve"> </w:t>
            </w:r>
            <w:r>
              <w:rPr>
                <w:rFonts w:eastAsia="Times New Roman" w:cs="Times New Roman"/>
                <w:i/>
                <w:iCs/>
                <w:color w:val="000000"/>
                <w:lang w:val="en-CA" w:eastAsia="en-CA"/>
              </w:rPr>
              <w:t>R</w:t>
            </w:r>
            <w:r w:rsidRPr="00AA72C0">
              <w:rPr>
                <w:rFonts w:eastAsia="Times New Roman" w:cs="Times New Roman"/>
                <w:i/>
                <w:iCs/>
                <w:color w:val="000000"/>
                <w:lang w:val="en-CA" w:eastAsia="en-CA"/>
              </w:rPr>
              <w:t xml:space="preserve">esults for </w:t>
            </w:r>
            <w:r>
              <w:rPr>
                <w:rFonts w:eastAsia="Times New Roman" w:cs="Times New Roman"/>
                <w:i/>
                <w:iCs/>
                <w:color w:val="000000"/>
                <w:lang w:val="en-CA" w:eastAsia="en-CA"/>
              </w:rPr>
              <w:t>R</w:t>
            </w:r>
            <w:r w:rsidRPr="00AA72C0">
              <w:rPr>
                <w:rFonts w:eastAsia="Times New Roman" w:cs="Times New Roman"/>
                <w:i/>
                <w:iCs/>
                <w:color w:val="000000"/>
                <w:lang w:val="en-CA" w:eastAsia="en-CA"/>
              </w:rPr>
              <w:t xml:space="preserve">ecession </w:t>
            </w:r>
            <w:r>
              <w:rPr>
                <w:rFonts w:eastAsia="Times New Roman" w:cs="Times New Roman"/>
                <w:i/>
                <w:iCs/>
                <w:color w:val="000000"/>
                <w:lang w:val="en-CA" w:eastAsia="en-CA"/>
              </w:rPr>
              <w:t>F</w:t>
            </w:r>
            <w:r w:rsidRPr="00AA72C0">
              <w:rPr>
                <w:rFonts w:eastAsia="Times New Roman" w:cs="Times New Roman"/>
                <w:i/>
                <w:iCs/>
                <w:color w:val="000000"/>
                <w:lang w:val="en-CA" w:eastAsia="en-CA"/>
              </w:rPr>
              <w:t>orecasting</w:t>
            </w:r>
          </w:p>
        </w:tc>
        <w:tc>
          <w:tcPr>
            <w:tcW w:w="3587" w:type="dxa"/>
            <w:gridSpan w:val="3"/>
            <w:tcBorders>
              <w:top w:val="nil"/>
              <w:left w:val="nil"/>
              <w:bottom w:val="double" w:sz="6" w:space="0" w:color="auto"/>
              <w:right w:val="nil"/>
            </w:tcBorders>
            <w:shd w:val="clear" w:color="auto" w:fill="auto"/>
            <w:noWrap/>
            <w:vAlign w:val="center"/>
            <w:hideMark/>
          </w:tcPr>
          <w:p w14:paraId="149A3CC1" w14:textId="77777777" w:rsidR="000F3B89" w:rsidRPr="006B5B91" w:rsidRDefault="000F3B89" w:rsidP="00DE57A5">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 </w:t>
            </w:r>
          </w:p>
        </w:tc>
      </w:tr>
      <w:tr w:rsidR="000F3B89" w:rsidRPr="006B5B91" w14:paraId="039E8062" w14:textId="77777777" w:rsidTr="00DE57A5">
        <w:trPr>
          <w:trHeight w:val="330"/>
        </w:trPr>
        <w:tc>
          <w:tcPr>
            <w:tcW w:w="3421" w:type="dxa"/>
            <w:gridSpan w:val="3"/>
            <w:tcBorders>
              <w:top w:val="nil"/>
              <w:left w:val="nil"/>
              <w:right w:val="nil"/>
            </w:tcBorders>
            <w:shd w:val="clear" w:color="auto" w:fill="auto"/>
            <w:noWrap/>
            <w:vAlign w:val="center"/>
            <w:hideMark/>
          </w:tcPr>
          <w:p w14:paraId="74EE20C9" w14:textId="77777777" w:rsidR="000F3B89" w:rsidRPr="00B43DDB" w:rsidRDefault="000F3B89" w:rsidP="00DE57A5">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 xml:space="preserve"> </w:t>
            </w:r>
          </w:p>
        </w:tc>
        <w:tc>
          <w:tcPr>
            <w:tcW w:w="2352" w:type="dxa"/>
            <w:gridSpan w:val="2"/>
            <w:tcBorders>
              <w:top w:val="nil"/>
              <w:left w:val="nil"/>
              <w:right w:val="nil"/>
            </w:tcBorders>
            <w:shd w:val="clear" w:color="auto" w:fill="auto"/>
            <w:noWrap/>
            <w:vAlign w:val="center"/>
            <w:hideMark/>
          </w:tcPr>
          <w:p w14:paraId="6E6CB255" w14:textId="77777777" w:rsidR="000F3B89" w:rsidRPr="00B43DDB" w:rsidRDefault="000F3B89" w:rsidP="00DE57A5">
            <w:pPr>
              <w:spacing w:line="240" w:lineRule="auto"/>
              <w:rPr>
                <w:rFonts w:eastAsia="Times New Roman" w:cs="Times New Roman"/>
                <w:color w:val="000000"/>
                <w:lang w:val="en-CA" w:eastAsia="en-CA"/>
              </w:rPr>
            </w:pPr>
          </w:p>
        </w:tc>
        <w:tc>
          <w:tcPr>
            <w:tcW w:w="3587" w:type="dxa"/>
            <w:gridSpan w:val="3"/>
            <w:tcBorders>
              <w:top w:val="nil"/>
              <w:left w:val="nil"/>
              <w:right w:val="nil"/>
            </w:tcBorders>
            <w:shd w:val="clear" w:color="auto" w:fill="auto"/>
            <w:noWrap/>
            <w:vAlign w:val="center"/>
            <w:hideMark/>
          </w:tcPr>
          <w:p w14:paraId="5B0255B2" w14:textId="77777777" w:rsidR="000F3B89" w:rsidRPr="006B5B91" w:rsidRDefault="000F3B89" w:rsidP="00DE57A5">
            <w:pPr>
              <w:spacing w:line="240" w:lineRule="auto"/>
              <w:rPr>
                <w:rFonts w:eastAsia="Times New Roman" w:cs="Times New Roman"/>
                <w:lang w:val="en-CA" w:eastAsia="en-CA"/>
              </w:rPr>
            </w:pPr>
          </w:p>
        </w:tc>
      </w:tr>
      <w:tr w:rsidR="000F3B89" w:rsidRPr="006B5B91" w14:paraId="3185E465" w14:textId="77777777" w:rsidTr="00DE57A5">
        <w:trPr>
          <w:gridBefore w:val="1"/>
          <w:wBefore w:w="216" w:type="dxa"/>
          <w:trHeight w:val="315"/>
        </w:trPr>
        <w:tc>
          <w:tcPr>
            <w:tcW w:w="2619" w:type="dxa"/>
            <w:tcBorders>
              <w:top w:val="nil"/>
              <w:left w:val="nil"/>
              <w:right w:val="nil"/>
            </w:tcBorders>
            <w:shd w:val="clear" w:color="auto" w:fill="auto"/>
            <w:noWrap/>
            <w:vAlign w:val="center"/>
            <w:hideMark/>
          </w:tcPr>
          <w:p w14:paraId="72AFE699"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Recession dates</w:t>
            </w:r>
          </w:p>
        </w:tc>
        <w:tc>
          <w:tcPr>
            <w:tcW w:w="1149" w:type="dxa"/>
            <w:gridSpan w:val="2"/>
            <w:tcBorders>
              <w:top w:val="nil"/>
              <w:left w:val="nil"/>
              <w:right w:val="nil"/>
            </w:tcBorders>
            <w:shd w:val="clear" w:color="auto" w:fill="auto"/>
            <w:noWrap/>
            <w:vAlign w:val="center"/>
            <w:hideMark/>
          </w:tcPr>
          <w:p w14:paraId="612E61DC" w14:textId="77777777" w:rsidR="000F3B89" w:rsidRPr="00AA72C0" w:rsidRDefault="000F3B89" w:rsidP="00DE57A5">
            <w:pPr>
              <w:spacing w:line="240" w:lineRule="auto"/>
              <w:rPr>
                <w:rFonts w:eastAsia="Times New Roman" w:cs="Times New Roman"/>
                <w:sz w:val="20"/>
                <w:szCs w:val="20"/>
                <w:lang w:val="en-CA" w:eastAsia="en-CA"/>
              </w:rPr>
            </w:pPr>
            <w:r w:rsidRPr="00AA72C0">
              <w:rPr>
                <w:rFonts w:eastAsia="Times New Roman" w:cs="Times New Roman"/>
                <w:color w:val="000000"/>
                <w:lang w:val="en-CA" w:eastAsia="en-CA"/>
              </w:rPr>
              <w:t>Horizon</w:t>
            </w:r>
          </w:p>
        </w:tc>
        <w:tc>
          <w:tcPr>
            <w:tcW w:w="5376" w:type="dxa"/>
            <w:gridSpan w:val="4"/>
            <w:tcBorders>
              <w:top w:val="nil"/>
              <w:left w:val="nil"/>
              <w:right w:val="nil"/>
            </w:tcBorders>
            <w:shd w:val="clear" w:color="auto" w:fill="auto"/>
            <w:noWrap/>
            <w:vAlign w:val="center"/>
            <w:hideMark/>
          </w:tcPr>
          <w:p w14:paraId="4B6D0C83"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Yield spread</w:t>
            </w:r>
          </w:p>
        </w:tc>
      </w:tr>
      <w:tr w:rsidR="000F3B89" w:rsidRPr="006B5B91" w14:paraId="76F95701" w14:textId="77777777" w:rsidTr="00DE57A5">
        <w:trPr>
          <w:gridBefore w:val="1"/>
          <w:wBefore w:w="216" w:type="dxa"/>
          <w:trHeight w:val="300"/>
        </w:trPr>
        <w:tc>
          <w:tcPr>
            <w:tcW w:w="2619" w:type="dxa"/>
            <w:tcBorders>
              <w:left w:val="nil"/>
              <w:bottom w:val="single" w:sz="4" w:space="0" w:color="auto"/>
              <w:right w:val="nil"/>
            </w:tcBorders>
            <w:shd w:val="clear" w:color="auto" w:fill="auto"/>
            <w:noWrap/>
            <w:vAlign w:val="center"/>
            <w:hideMark/>
          </w:tcPr>
          <w:p w14:paraId="7897B242"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left w:val="nil"/>
              <w:bottom w:val="single" w:sz="4" w:space="0" w:color="auto"/>
              <w:right w:val="nil"/>
            </w:tcBorders>
            <w:shd w:val="clear" w:color="auto" w:fill="auto"/>
            <w:noWrap/>
            <w:vAlign w:val="center"/>
            <w:hideMark/>
          </w:tcPr>
          <w:p w14:paraId="6E9E7753" w14:textId="77777777" w:rsidR="000F3B89" w:rsidRPr="00AA72C0" w:rsidRDefault="000F3B89" w:rsidP="00DE57A5">
            <w:pPr>
              <w:spacing w:line="240" w:lineRule="auto"/>
              <w:rPr>
                <w:rFonts w:eastAsia="Times New Roman" w:cs="Times New Roman"/>
                <w:color w:val="000000"/>
                <w:lang w:val="en-CA" w:eastAsia="en-CA"/>
              </w:rPr>
            </w:pPr>
          </w:p>
        </w:tc>
        <w:tc>
          <w:tcPr>
            <w:tcW w:w="2757" w:type="dxa"/>
            <w:gridSpan w:val="2"/>
            <w:tcBorders>
              <w:left w:val="nil"/>
              <w:bottom w:val="single" w:sz="4" w:space="0" w:color="auto"/>
              <w:right w:val="nil"/>
            </w:tcBorders>
            <w:shd w:val="clear" w:color="auto" w:fill="auto"/>
            <w:noWrap/>
            <w:vAlign w:val="center"/>
            <w:hideMark/>
          </w:tcPr>
          <w:p w14:paraId="505493FA"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N</w:t>
            </w:r>
            <w:r>
              <w:rPr>
                <w:rFonts w:eastAsia="Times New Roman" w:cs="Times New Roman"/>
                <w:color w:val="000000"/>
                <w:lang w:val="en-CA" w:eastAsia="en-CA"/>
              </w:rPr>
              <w:t>ear-term forward rate</w:t>
            </w:r>
          </w:p>
        </w:tc>
        <w:tc>
          <w:tcPr>
            <w:tcW w:w="950" w:type="dxa"/>
            <w:tcBorders>
              <w:left w:val="nil"/>
              <w:bottom w:val="single" w:sz="4" w:space="0" w:color="auto"/>
              <w:right w:val="nil"/>
            </w:tcBorders>
            <w:shd w:val="clear" w:color="auto" w:fill="auto"/>
            <w:noWrap/>
            <w:vAlign w:val="center"/>
            <w:hideMark/>
          </w:tcPr>
          <w:p w14:paraId="57BDBC27"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10y-2y</w:t>
            </w:r>
          </w:p>
        </w:tc>
        <w:tc>
          <w:tcPr>
            <w:tcW w:w="1669" w:type="dxa"/>
            <w:tcBorders>
              <w:left w:val="nil"/>
              <w:bottom w:val="single" w:sz="4" w:space="0" w:color="auto"/>
              <w:right w:val="nil"/>
            </w:tcBorders>
            <w:shd w:val="clear" w:color="auto" w:fill="auto"/>
            <w:noWrap/>
            <w:vAlign w:val="center"/>
            <w:hideMark/>
          </w:tcPr>
          <w:p w14:paraId="24E8184F"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10y-3m</w:t>
            </w:r>
          </w:p>
        </w:tc>
      </w:tr>
      <w:tr w:rsidR="000F3B89" w:rsidRPr="006B5B91" w14:paraId="35D8B995" w14:textId="77777777" w:rsidTr="00DE57A5">
        <w:trPr>
          <w:gridBefore w:val="1"/>
          <w:wBefore w:w="216" w:type="dxa"/>
          <w:trHeight w:val="300"/>
        </w:trPr>
        <w:tc>
          <w:tcPr>
            <w:tcW w:w="2619" w:type="dxa"/>
            <w:tcBorders>
              <w:top w:val="single" w:sz="4" w:space="0" w:color="auto"/>
              <w:left w:val="nil"/>
              <w:right w:val="nil"/>
            </w:tcBorders>
            <w:shd w:val="clear" w:color="auto" w:fill="auto"/>
            <w:noWrap/>
            <w:vAlign w:val="center"/>
          </w:tcPr>
          <w:p w14:paraId="568BA611"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top w:val="single" w:sz="4" w:space="0" w:color="auto"/>
              <w:left w:val="nil"/>
              <w:right w:val="nil"/>
            </w:tcBorders>
            <w:shd w:val="clear" w:color="auto" w:fill="auto"/>
            <w:noWrap/>
            <w:vAlign w:val="center"/>
          </w:tcPr>
          <w:p w14:paraId="466EB8CF" w14:textId="77777777" w:rsidR="000F3B89" w:rsidRPr="00AA72C0" w:rsidRDefault="000F3B89" w:rsidP="00DE57A5">
            <w:pPr>
              <w:spacing w:line="240" w:lineRule="auto"/>
              <w:rPr>
                <w:rFonts w:eastAsia="Times New Roman" w:cs="Times New Roman"/>
                <w:color w:val="000000"/>
                <w:lang w:val="en-CA" w:eastAsia="en-CA"/>
              </w:rPr>
            </w:pPr>
          </w:p>
        </w:tc>
        <w:tc>
          <w:tcPr>
            <w:tcW w:w="2757" w:type="dxa"/>
            <w:gridSpan w:val="2"/>
            <w:tcBorders>
              <w:top w:val="single" w:sz="4" w:space="0" w:color="auto"/>
              <w:left w:val="nil"/>
              <w:right w:val="nil"/>
            </w:tcBorders>
            <w:shd w:val="clear" w:color="auto" w:fill="auto"/>
            <w:noWrap/>
            <w:vAlign w:val="center"/>
          </w:tcPr>
          <w:p w14:paraId="20B4C6DA" w14:textId="77777777" w:rsidR="000F3B89" w:rsidRPr="00AA72C0" w:rsidRDefault="000F3B89" w:rsidP="00DE57A5">
            <w:pPr>
              <w:spacing w:line="240" w:lineRule="auto"/>
              <w:jc w:val="center"/>
              <w:rPr>
                <w:rFonts w:eastAsia="Times New Roman" w:cs="Times New Roman"/>
                <w:color w:val="000000"/>
                <w:lang w:val="en-CA" w:eastAsia="en-CA"/>
              </w:rPr>
            </w:pPr>
          </w:p>
        </w:tc>
        <w:tc>
          <w:tcPr>
            <w:tcW w:w="950" w:type="dxa"/>
            <w:tcBorders>
              <w:top w:val="single" w:sz="4" w:space="0" w:color="auto"/>
              <w:left w:val="nil"/>
              <w:right w:val="nil"/>
            </w:tcBorders>
            <w:shd w:val="clear" w:color="auto" w:fill="auto"/>
            <w:noWrap/>
            <w:vAlign w:val="center"/>
          </w:tcPr>
          <w:p w14:paraId="523D5104" w14:textId="77777777" w:rsidR="000F3B89" w:rsidRPr="00AA72C0" w:rsidRDefault="000F3B89" w:rsidP="00DE57A5">
            <w:pPr>
              <w:spacing w:line="240" w:lineRule="auto"/>
              <w:jc w:val="center"/>
              <w:rPr>
                <w:rFonts w:eastAsia="Times New Roman" w:cs="Times New Roman"/>
                <w:color w:val="000000"/>
                <w:lang w:val="en-CA" w:eastAsia="en-CA"/>
              </w:rPr>
            </w:pPr>
          </w:p>
        </w:tc>
        <w:tc>
          <w:tcPr>
            <w:tcW w:w="1669" w:type="dxa"/>
            <w:tcBorders>
              <w:top w:val="single" w:sz="4" w:space="0" w:color="auto"/>
              <w:left w:val="nil"/>
              <w:right w:val="nil"/>
            </w:tcBorders>
            <w:shd w:val="clear" w:color="auto" w:fill="auto"/>
            <w:noWrap/>
            <w:vAlign w:val="center"/>
          </w:tcPr>
          <w:p w14:paraId="1559ECA9" w14:textId="77777777" w:rsidR="000F3B89" w:rsidRPr="00AA72C0" w:rsidRDefault="000F3B89" w:rsidP="00DE57A5">
            <w:pPr>
              <w:spacing w:line="240" w:lineRule="auto"/>
              <w:jc w:val="center"/>
              <w:rPr>
                <w:rFonts w:eastAsia="Times New Roman" w:cs="Times New Roman"/>
                <w:color w:val="000000"/>
                <w:lang w:val="en-CA" w:eastAsia="en-CA"/>
              </w:rPr>
            </w:pPr>
          </w:p>
        </w:tc>
      </w:tr>
      <w:tr w:rsidR="000F3B89" w:rsidRPr="006B5B91" w14:paraId="60212CDE" w14:textId="77777777" w:rsidTr="00DE57A5">
        <w:trPr>
          <w:gridBefore w:val="1"/>
          <w:wBefore w:w="216" w:type="dxa"/>
          <w:trHeight w:val="300"/>
        </w:trPr>
        <w:tc>
          <w:tcPr>
            <w:tcW w:w="2619" w:type="dxa"/>
            <w:vMerge w:val="restart"/>
            <w:tcBorders>
              <w:left w:val="nil"/>
              <w:bottom w:val="nil"/>
              <w:right w:val="nil"/>
            </w:tcBorders>
            <w:shd w:val="clear" w:color="auto" w:fill="auto"/>
            <w:noWrap/>
            <w:vAlign w:val="center"/>
            <w:hideMark/>
          </w:tcPr>
          <w:p w14:paraId="565446B8" w14:textId="77777777" w:rsidR="000F3B89" w:rsidRPr="00AA72C0" w:rsidRDefault="000F3B89" w:rsidP="00DE57A5">
            <w:pPr>
              <w:spacing w:line="240" w:lineRule="auto"/>
              <w:rPr>
                <w:rFonts w:eastAsia="Times New Roman" w:cs="Times New Roman"/>
                <w:color w:val="000000"/>
                <w:lang w:val="en-CA" w:eastAsia="en-CA"/>
              </w:rPr>
            </w:pPr>
            <w:r>
              <w:rPr>
                <w:rFonts w:eastAsia="Times New Roman" w:cs="Times New Roman"/>
                <w:color w:val="000000"/>
                <w:lang w:val="en-CA" w:eastAsia="en-CA"/>
              </w:rPr>
              <w:t>C.D.</w:t>
            </w:r>
            <w:r w:rsidRPr="00AA72C0">
              <w:rPr>
                <w:rFonts w:eastAsia="Times New Roman" w:cs="Times New Roman"/>
                <w:color w:val="000000"/>
                <w:lang w:val="en-CA" w:eastAsia="en-CA"/>
              </w:rPr>
              <w:t xml:space="preserve"> Howe Institute</w:t>
            </w:r>
          </w:p>
        </w:tc>
        <w:tc>
          <w:tcPr>
            <w:tcW w:w="1149" w:type="dxa"/>
            <w:gridSpan w:val="2"/>
            <w:tcBorders>
              <w:left w:val="nil"/>
              <w:bottom w:val="nil"/>
              <w:right w:val="nil"/>
            </w:tcBorders>
            <w:shd w:val="clear" w:color="auto" w:fill="auto"/>
            <w:noWrap/>
            <w:vAlign w:val="bottom"/>
            <w:hideMark/>
          </w:tcPr>
          <w:p w14:paraId="7A29E685"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12m</w:t>
            </w:r>
          </w:p>
        </w:tc>
        <w:tc>
          <w:tcPr>
            <w:tcW w:w="2757" w:type="dxa"/>
            <w:gridSpan w:val="2"/>
            <w:tcBorders>
              <w:left w:val="nil"/>
              <w:bottom w:val="nil"/>
              <w:right w:val="nil"/>
            </w:tcBorders>
            <w:shd w:val="clear" w:color="auto" w:fill="auto"/>
            <w:noWrap/>
            <w:vAlign w:val="center"/>
            <w:hideMark/>
          </w:tcPr>
          <w:p w14:paraId="347D68D0"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0.3307</w:t>
            </w:r>
          </w:p>
        </w:tc>
        <w:tc>
          <w:tcPr>
            <w:tcW w:w="950" w:type="dxa"/>
            <w:tcBorders>
              <w:left w:val="nil"/>
              <w:bottom w:val="nil"/>
              <w:right w:val="nil"/>
            </w:tcBorders>
            <w:shd w:val="clear" w:color="auto" w:fill="auto"/>
            <w:noWrap/>
            <w:vAlign w:val="center"/>
            <w:hideMark/>
          </w:tcPr>
          <w:p w14:paraId="4A2ACE00"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0.2089</w:t>
            </w:r>
          </w:p>
        </w:tc>
        <w:tc>
          <w:tcPr>
            <w:tcW w:w="1669" w:type="dxa"/>
            <w:tcBorders>
              <w:left w:val="nil"/>
              <w:bottom w:val="nil"/>
              <w:right w:val="nil"/>
            </w:tcBorders>
            <w:shd w:val="clear" w:color="auto" w:fill="auto"/>
            <w:noWrap/>
            <w:vAlign w:val="center"/>
            <w:hideMark/>
          </w:tcPr>
          <w:p w14:paraId="672DB90E"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0.3050</w:t>
            </w:r>
          </w:p>
        </w:tc>
      </w:tr>
      <w:tr w:rsidR="000F3B89" w:rsidRPr="006B5B91" w14:paraId="584D1887" w14:textId="77777777" w:rsidTr="00DE57A5">
        <w:trPr>
          <w:gridBefore w:val="1"/>
          <w:wBefore w:w="216" w:type="dxa"/>
          <w:trHeight w:val="300"/>
        </w:trPr>
        <w:tc>
          <w:tcPr>
            <w:tcW w:w="2619" w:type="dxa"/>
            <w:vMerge/>
            <w:tcBorders>
              <w:top w:val="nil"/>
              <w:left w:val="nil"/>
              <w:bottom w:val="nil"/>
              <w:right w:val="nil"/>
            </w:tcBorders>
            <w:vAlign w:val="center"/>
            <w:hideMark/>
          </w:tcPr>
          <w:p w14:paraId="73C3383B"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top w:val="nil"/>
              <w:left w:val="nil"/>
              <w:bottom w:val="nil"/>
              <w:right w:val="nil"/>
            </w:tcBorders>
            <w:shd w:val="clear" w:color="auto" w:fill="auto"/>
            <w:noWrap/>
            <w:vAlign w:val="bottom"/>
            <w:hideMark/>
          </w:tcPr>
          <w:p w14:paraId="23512BBE"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18m</w:t>
            </w:r>
          </w:p>
        </w:tc>
        <w:tc>
          <w:tcPr>
            <w:tcW w:w="2757" w:type="dxa"/>
            <w:gridSpan w:val="2"/>
            <w:tcBorders>
              <w:top w:val="nil"/>
              <w:left w:val="nil"/>
              <w:bottom w:val="nil"/>
              <w:right w:val="nil"/>
            </w:tcBorders>
            <w:shd w:val="clear" w:color="auto" w:fill="auto"/>
            <w:noWrap/>
            <w:vAlign w:val="center"/>
            <w:hideMark/>
          </w:tcPr>
          <w:p w14:paraId="7C07D8AF"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0.3553</w:t>
            </w:r>
          </w:p>
        </w:tc>
        <w:tc>
          <w:tcPr>
            <w:tcW w:w="950" w:type="dxa"/>
            <w:tcBorders>
              <w:top w:val="nil"/>
              <w:left w:val="nil"/>
              <w:bottom w:val="nil"/>
              <w:right w:val="nil"/>
            </w:tcBorders>
            <w:shd w:val="clear" w:color="auto" w:fill="auto"/>
            <w:noWrap/>
            <w:vAlign w:val="center"/>
            <w:hideMark/>
          </w:tcPr>
          <w:p w14:paraId="5410A869"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0.2981</w:t>
            </w:r>
          </w:p>
        </w:tc>
        <w:tc>
          <w:tcPr>
            <w:tcW w:w="1669" w:type="dxa"/>
            <w:tcBorders>
              <w:top w:val="nil"/>
              <w:left w:val="nil"/>
              <w:bottom w:val="nil"/>
              <w:right w:val="nil"/>
            </w:tcBorders>
            <w:shd w:val="clear" w:color="auto" w:fill="auto"/>
            <w:noWrap/>
            <w:vAlign w:val="center"/>
            <w:hideMark/>
          </w:tcPr>
          <w:p w14:paraId="1E19A148"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0.3597</w:t>
            </w:r>
          </w:p>
        </w:tc>
      </w:tr>
      <w:tr w:rsidR="000F3B89" w:rsidRPr="006B5B91" w14:paraId="7A7CB6B2" w14:textId="77777777" w:rsidTr="00DE57A5">
        <w:trPr>
          <w:gridBefore w:val="1"/>
          <w:wBefore w:w="216" w:type="dxa"/>
          <w:trHeight w:val="300"/>
        </w:trPr>
        <w:tc>
          <w:tcPr>
            <w:tcW w:w="2619" w:type="dxa"/>
            <w:vMerge/>
            <w:tcBorders>
              <w:top w:val="nil"/>
              <w:left w:val="nil"/>
              <w:bottom w:val="nil"/>
              <w:right w:val="nil"/>
            </w:tcBorders>
            <w:vAlign w:val="center"/>
            <w:hideMark/>
          </w:tcPr>
          <w:p w14:paraId="20B2D6ED"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top w:val="nil"/>
              <w:left w:val="nil"/>
              <w:bottom w:val="nil"/>
              <w:right w:val="nil"/>
            </w:tcBorders>
            <w:shd w:val="clear" w:color="auto" w:fill="auto"/>
            <w:noWrap/>
            <w:vAlign w:val="bottom"/>
            <w:hideMark/>
          </w:tcPr>
          <w:p w14:paraId="07EBFA73"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24m</w:t>
            </w:r>
          </w:p>
        </w:tc>
        <w:tc>
          <w:tcPr>
            <w:tcW w:w="2757" w:type="dxa"/>
            <w:gridSpan w:val="2"/>
            <w:tcBorders>
              <w:top w:val="nil"/>
              <w:left w:val="nil"/>
              <w:bottom w:val="nil"/>
              <w:right w:val="nil"/>
            </w:tcBorders>
            <w:shd w:val="clear" w:color="auto" w:fill="auto"/>
            <w:noWrap/>
            <w:vAlign w:val="center"/>
            <w:hideMark/>
          </w:tcPr>
          <w:p w14:paraId="02F3B1AC"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0.3471</w:t>
            </w:r>
          </w:p>
        </w:tc>
        <w:tc>
          <w:tcPr>
            <w:tcW w:w="950" w:type="dxa"/>
            <w:tcBorders>
              <w:top w:val="nil"/>
              <w:left w:val="nil"/>
              <w:bottom w:val="nil"/>
              <w:right w:val="nil"/>
            </w:tcBorders>
            <w:shd w:val="clear" w:color="auto" w:fill="auto"/>
            <w:noWrap/>
            <w:vAlign w:val="center"/>
            <w:hideMark/>
          </w:tcPr>
          <w:p w14:paraId="59F3C72F"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0.3114</w:t>
            </w:r>
          </w:p>
        </w:tc>
        <w:tc>
          <w:tcPr>
            <w:tcW w:w="1669" w:type="dxa"/>
            <w:tcBorders>
              <w:top w:val="nil"/>
              <w:left w:val="nil"/>
              <w:bottom w:val="nil"/>
              <w:right w:val="nil"/>
            </w:tcBorders>
            <w:shd w:val="clear" w:color="auto" w:fill="auto"/>
            <w:noWrap/>
            <w:vAlign w:val="center"/>
            <w:hideMark/>
          </w:tcPr>
          <w:p w14:paraId="782D3CA6"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0.3540</w:t>
            </w:r>
          </w:p>
        </w:tc>
      </w:tr>
      <w:tr w:rsidR="000F3B89" w:rsidRPr="006B5B91" w14:paraId="57C0B039" w14:textId="77777777" w:rsidTr="00DE57A5">
        <w:trPr>
          <w:gridBefore w:val="1"/>
          <w:wBefore w:w="216" w:type="dxa"/>
          <w:trHeight w:val="300"/>
        </w:trPr>
        <w:tc>
          <w:tcPr>
            <w:tcW w:w="2619" w:type="dxa"/>
            <w:tcBorders>
              <w:top w:val="nil"/>
              <w:left w:val="nil"/>
              <w:bottom w:val="nil"/>
              <w:right w:val="nil"/>
            </w:tcBorders>
            <w:shd w:val="clear" w:color="auto" w:fill="auto"/>
            <w:noWrap/>
            <w:vAlign w:val="bottom"/>
            <w:hideMark/>
          </w:tcPr>
          <w:p w14:paraId="1D79B763" w14:textId="77777777" w:rsidR="000F3B89" w:rsidRPr="00AA72C0" w:rsidRDefault="000F3B89" w:rsidP="00DE57A5">
            <w:pPr>
              <w:spacing w:line="240" w:lineRule="auto"/>
              <w:jc w:val="center"/>
              <w:rPr>
                <w:rFonts w:eastAsia="Times New Roman" w:cs="Times New Roman"/>
                <w:color w:val="000000"/>
                <w:lang w:val="en-CA" w:eastAsia="en-CA"/>
              </w:rPr>
            </w:pPr>
          </w:p>
        </w:tc>
        <w:tc>
          <w:tcPr>
            <w:tcW w:w="1149" w:type="dxa"/>
            <w:gridSpan w:val="2"/>
            <w:tcBorders>
              <w:top w:val="nil"/>
              <w:left w:val="nil"/>
              <w:bottom w:val="nil"/>
              <w:right w:val="nil"/>
            </w:tcBorders>
            <w:shd w:val="clear" w:color="auto" w:fill="auto"/>
            <w:noWrap/>
            <w:vAlign w:val="bottom"/>
            <w:hideMark/>
          </w:tcPr>
          <w:p w14:paraId="617D1A05" w14:textId="77777777" w:rsidR="000F3B89" w:rsidRPr="00AA72C0" w:rsidRDefault="000F3B89" w:rsidP="00DE57A5">
            <w:pPr>
              <w:spacing w:line="240" w:lineRule="auto"/>
              <w:rPr>
                <w:rFonts w:eastAsia="Times New Roman" w:cs="Times New Roman"/>
                <w:sz w:val="20"/>
                <w:szCs w:val="20"/>
                <w:lang w:val="en-CA" w:eastAsia="en-CA"/>
              </w:rPr>
            </w:pPr>
          </w:p>
        </w:tc>
        <w:tc>
          <w:tcPr>
            <w:tcW w:w="2757" w:type="dxa"/>
            <w:gridSpan w:val="2"/>
            <w:tcBorders>
              <w:top w:val="nil"/>
              <w:left w:val="nil"/>
              <w:bottom w:val="nil"/>
              <w:right w:val="nil"/>
            </w:tcBorders>
            <w:shd w:val="clear" w:color="auto" w:fill="auto"/>
            <w:noWrap/>
            <w:vAlign w:val="bottom"/>
            <w:hideMark/>
          </w:tcPr>
          <w:p w14:paraId="175C0F7B" w14:textId="77777777" w:rsidR="000F3B89" w:rsidRPr="00AA72C0" w:rsidRDefault="000F3B89" w:rsidP="00DE57A5">
            <w:pPr>
              <w:spacing w:line="240" w:lineRule="auto"/>
              <w:rPr>
                <w:rFonts w:eastAsia="Times New Roman" w:cs="Times New Roman"/>
                <w:sz w:val="20"/>
                <w:szCs w:val="20"/>
                <w:lang w:val="en-CA" w:eastAsia="en-CA"/>
              </w:rPr>
            </w:pPr>
          </w:p>
        </w:tc>
        <w:tc>
          <w:tcPr>
            <w:tcW w:w="950" w:type="dxa"/>
            <w:tcBorders>
              <w:top w:val="nil"/>
              <w:left w:val="nil"/>
              <w:bottom w:val="nil"/>
              <w:right w:val="nil"/>
            </w:tcBorders>
            <w:shd w:val="clear" w:color="auto" w:fill="auto"/>
            <w:noWrap/>
            <w:vAlign w:val="bottom"/>
            <w:hideMark/>
          </w:tcPr>
          <w:p w14:paraId="41CA971C" w14:textId="77777777" w:rsidR="000F3B89" w:rsidRPr="00AA72C0" w:rsidRDefault="000F3B89" w:rsidP="00DE57A5">
            <w:pPr>
              <w:spacing w:line="240" w:lineRule="auto"/>
              <w:rPr>
                <w:rFonts w:eastAsia="Times New Roman" w:cs="Times New Roman"/>
                <w:sz w:val="20"/>
                <w:szCs w:val="20"/>
                <w:lang w:val="en-CA" w:eastAsia="en-CA"/>
              </w:rPr>
            </w:pPr>
          </w:p>
        </w:tc>
        <w:tc>
          <w:tcPr>
            <w:tcW w:w="1669" w:type="dxa"/>
            <w:tcBorders>
              <w:top w:val="nil"/>
              <w:left w:val="nil"/>
              <w:bottom w:val="nil"/>
              <w:right w:val="nil"/>
            </w:tcBorders>
            <w:shd w:val="clear" w:color="auto" w:fill="auto"/>
            <w:noWrap/>
            <w:vAlign w:val="bottom"/>
            <w:hideMark/>
          </w:tcPr>
          <w:p w14:paraId="1413D435" w14:textId="77777777" w:rsidR="000F3B89" w:rsidRPr="00AA72C0" w:rsidRDefault="000F3B89" w:rsidP="00DE57A5">
            <w:pPr>
              <w:spacing w:line="240" w:lineRule="auto"/>
              <w:rPr>
                <w:rFonts w:eastAsia="Times New Roman" w:cs="Times New Roman"/>
                <w:sz w:val="20"/>
                <w:szCs w:val="20"/>
                <w:lang w:val="en-CA" w:eastAsia="en-CA"/>
              </w:rPr>
            </w:pPr>
          </w:p>
        </w:tc>
      </w:tr>
      <w:tr w:rsidR="000F3B89" w:rsidRPr="006B5B91" w14:paraId="07FD81F5" w14:textId="77777777" w:rsidTr="00DE57A5">
        <w:trPr>
          <w:gridBefore w:val="1"/>
          <w:wBefore w:w="216" w:type="dxa"/>
          <w:trHeight w:val="300"/>
        </w:trPr>
        <w:tc>
          <w:tcPr>
            <w:tcW w:w="2619" w:type="dxa"/>
            <w:vMerge w:val="restart"/>
            <w:tcBorders>
              <w:top w:val="nil"/>
              <w:left w:val="nil"/>
              <w:bottom w:val="nil"/>
              <w:right w:val="nil"/>
            </w:tcBorders>
            <w:shd w:val="clear" w:color="auto" w:fill="auto"/>
            <w:noWrap/>
            <w:vAlign w:val="center"/>
            <w:hideMark/>
          </w:tcPr>
          <w:p w14:paraId="163552AD"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OECD</w:t>
            </w:r>
          </w:p>
        </w:tc>
        <w:tc>
          <w:tcPr>
            <w:tcW w:w="1149" w:type="dxa"/>
            <w:gridSpan w:val="2"/>
            <w:tcBorders>
              <w:top w:val="nil"/>
              <w:left w:val="nil"/>
              <w:bottom w:val="nil"/>
              <w:right w:val="nil"/>
            </w:tcBorders>
            <w:shd w:val="clear" w:color="auto" w:fill="auto"/>
            <w:noWrap/>
            <w:vAlign w:val="center"/>
            <w:hideMark/>
          </w:tcPr>
          <w:p w14:paraId="16B173C4"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12m</w:t>
            </w:r>
          </w:p>
        </w:tc>
        <w:tc>
          <w:tcPr>
            <w:tcW w:w="2757" w:type="dxa"/>
            <w:gridSpan w:val="2"/>
            <w:tcBorders>
              <w:top w:val="nil"/>
              <w:left w:val="nil"/>
              <w:bottom w:val="nil"/>
              <w:right w:val="nil"/>
            </w:tcBorders>
            <w:shd w:val="clear" w:color="auto" w:fill="auto"/>
            <w:noWrap/>
            <w:vAlign w:val="center"/>
            <w:hideMark/>
          </w:tcPr>
          <w:p w14:paraId="30B2F388"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0.0252</w:t>
            </w:r>
          </w:p>
        </w:tc>
        <w:tc>
          <w:tcPr>
            <w:tcW w:w="950" w:type="dxa"/>
            <w:tcBorders>
              <w:top w:val="nil"/>
              <w:left w:val="nil"/>
              <w:bottom w:val="nil"/>
              <w:right w:val="nil"/>
            </w:tcBorders>
            <w:shd w:val="clear" w:color="auto" w:fill="auto"/>
            <w:noWrap/>
            <w:vAlign w:val="center"/>
            <w:hideMark/>
          </w:tcPr>
          <w:p w14:paraId="5C356D44"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0.0343</w:t>
            </w:r>
          </w:p>
        </w:tc>
        <w:tc>
          <w:tcPr>
            <w:tcW w:w="1669" w:type="dxa"/>
            <w:tcBorders>
              <w:top w:val="nil"/>
              <w:left w:val="nil"/>
              <w:bottom w:val="nil"/>
              <w:right w:val="nil"/>
            </w:tcBorders>
            <w:shd w:val="clear" w:color="auto" w:fill="auto"/>
            <w:noWrap/>
            <w:vAlign w:val="center"/>
            <w:hideMark/>
          </w:tcPr>
          <w:p w14:paraId="08ADA0C6"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0.0263</w:t>
            </w:r>
          </w:p>
        </w:tc>
      </w:tr>
      <w:tr w:rsidR="000F3B89" w:rsidRPr="006B5B91" w14:paraId="316F5270" w14:textId="77777777" w:rsidTr="00DE57A5">
        <w:trPr>
          <w:gridBefore w:val="1"/>
          <w:wBefore w:w="216" w:type="dxa"/>
          <w:trHeight w:val="300"/>
        </w:trPr>
        <w:tc>
          <w:tcPr>
            <w:tcW w:w="2619" w:type="dxa"/>
            <w:vMerge/>
            <w:tcBorders>
              <w:top w:val="nil"/>
              <w:left w:val="nil"/>
              <w:bottom w:val="nil"/>
              <w:right w:val="nil"/>
            </w:tcBorders>
            <w:vAlign w:val="center"/>
            <w:hideMark/>
          </w:tcPr>
          <w:p w14:paraId="236F460F"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top w:val="nil"/>
              <w:left w:val="nil"/>
              <w:bottom w:val="nil"/>
              <w:right w:val="nil"/>
            </w:tcBorders>
            <w:shd w:val="clear" w:color="auto" w:fill="auto"/>
            <w:noWrap/>
            <w:vAlign w:val="center"/>
            <w:hideMark/>
          </w:tcPr>
          <w:p w14:paraId="7EDF6DCF"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18m</w:t>
            </w:r>
          </w:p>
        </w:tc>
        <w:tc>
          <w:tcPr>
            <w:tcW w:w="2757" w:type="dxa"/>
            <w:gridSpan w:val="2"/>
            <w:tcBorders>
              <w:top w:val="nil"/>
              <w:left w:val="nil"/>
              <w:bottom w:val="nil"/>
              <w:right w:val="nil"/>
            </w:tcBorders>
            <w:shd w:val="clear" w:color="auto" w:fill="auto"/>
            <w:noWrap/>
            <w:vAlign w:val="center"/>
            <w:hideMark/>
          </w:tcPr>
          <w:p w14:paraId="5C849F86"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0.0485</w:t>
            </w:r>
          </w:p>
        </w:tc>
        <w:tc>
          <w:tcPr>
            <w:tcW w:w="950" w:type="dxa"/>
            <w:tcBorders>
              <w:top w:val="nil"/>
              <w:left w:val="nil"/>
              <w:bottom w:val="nil"/>
              <w:right w:val="nil"/>
            </w:tcBorders>
            <w:shd w:val="clear" w:color="auto" w:fill="auto"/>
            <w:noWrap/>
            <w:vAlign w:val="center"/>
            <w:hideMark/>
          </w:tcPr>
          <w:p w14:paraId="66E8C54C"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0.0514</w:t>
            </w:r>
          </w:p>
        </w:tc>
        <w:tc>
          <w:tcPr>
            <w:tcW w:w="1669" w:type="dxa"/>
            <w:tcBorders>
              <w:top w:val="nil"/>
              <w:left w:val="nil"/>
              <w:bottom w:val="nil"/>
              <w:right w:val="nil"/>
            </w:tcBorders>
            <w:shd w:val="clear" w:color="auto" w:fill="auto"/>
            <w:noWrap/>
            <w:vAlign w:val="center"/>
            <w:hideMark/>
          </w:tcPr>
          <w:p w14:paraId="0AE5EADA"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0.0487</w:t>
            </w:r>
          </w:p>
        </w:tc>
      </w:tr>
      <w:tr w:rsidR="000F3B89" w:rsidRPr="006B5B91" w14:paraId="6E349BB1" w14:textId="77777777" w:rsidTr="00DE57A5">
        <w:trPr>
          <w:gridBefore w:val="1"/>
          <w:wBefore w:w="216" w:type="dxa"/>
          <w:trHeight w:val="300"/>
        </w:trPr>
        <w:tc>
          <w:tcPr>
            <w:tcW w:w="2619" w:type="dxa"/>
            <w:vMerge/>
            <w:tcBorders>
              <w:top w:val="nil"/>
              <w:left w:val="nil"/>
              <w:bottom w:val="nil"/>
              <w:right w:val="nil"/>
            </w:tcBorders>
            <w:vAlign w:val="center"/>
            <w:hideMark/>
          </w:tcPr>
          <w:p w14:paraId="16BA50BB" w14:textId="77777777" w:rsidR="000F3B89" w:rsidRPr="00AA72C0" w:rsidRDefault="000F3B89" w:rsidP="00DE57A5">
            <w:pPr>
              <w:spacing w:line="240" w:lineRule="auto"/>
              <w:rPr>
                <w:rFonts w:eastAsia="Times New Roman" w:cs="Times New Roman"/>
                <w:color w:val="000000"/>
                <w:lang w:val="en-CA" w:eastAsia="en-CA"/>
              </w:rPr>
            </w:pPr>
          </w:p>
        </w:tc>
        <w:tc>
          <w:tcPr>
            <w:tcW w:w="1149" w:type="dxa"/>
            <w:gridSpan w:val="2"/>
            <w:tcBorders>
              <w:top w:val="nil"/>
              <w:left w:val="nil"/>
              <w:bottom w:val="nil"/>
              <w:right w:val="nil"/>
            </w:tcBorders>
            <w:shd w:val="clear" w:color="auto" w:fill="auto"/>
            <w:noWrap/>
            <w:vAlign w:val="center"/>
            <w:hideMark/>
          </w:tcPr>
          <w:p w14:paraId="04B7D8B3"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24m</w:t>
            </w:r>
          </w:p>
        </w:tc>
        <w:tc>
          <w:tcPr>
            <w:tcW w:w="2757" w:type="dxa"/>
            <w:gridSpan w:val="2"/>
            <w:tcBorders>
              <w:top w:val="nil"/>
              <w:left w:val="nil"/>
              <w:bottom w:val="nil"/>
              <w:right w:val="nil"/>
            </w:tcBorders>
            <w:shd w:val="clear" w:color="auto" w:fill="auto"/>
            <w:noWrap/>
            <w:vAlign w:val="center"/>
            <w:hideMark/>
          </w:tcPr>
          <w:p w14:paraId="1C00F870"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0.065</w:t>
            </w:r>
          </w:p>
        </w:tc>
        <w:tc>
          <w:tcPr>
            <w:tcW w:w="950" w:type="dxa"/>
            <w:tcBorders>
              <w:top w:val="nil"/>
              <w:left w:val="nil"/>
              <w:bottom w:val="nil"/>
              <w:right w:val="nil"/>
            </w:tcBorders>
            <w:shd w:val="clear" w:color="auto" w:fill="auto"/>
            <w:noWrap/>
            <w:vAlign w:val="center"/>
            <w:hideMark/>
          </w:tcPr>
          <w:p w14:paraId="6C479702"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0.12</w:t>
            </w:r>
          </w:p>
        </w:tc>
        <w:tc>
          <w:tcPr>
            <w:tcW w:w="1669" w:type="dxa"/>
            <w:tcBorders>
              <w:top w:val="nil"/>
              <w:left w:val="nil"/>
              <w:bottom w:val="nil"/>
              <w:right w:val="nil"/>
            </w:tcBorders>
            <w:shd w:val="clear" w:color="auto" w:fill="auto"/>
            <w:noWrap/>
            <w:vAlign w:val="center"/>
            <w:hideMark/>
          </w:tcPr>
          <w:p w14:paraId="11791C05"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0.0897</w:t>
            </w:r>
          </w:p>
        </w:tc>
      </w:tr>
      <w:tr w:rsidR="000F3B89" w:rsidRPr="006B5B91" w14:paraId="33047E2C" w14:textId="77777777" w:rsidTr="00DE57A5">
        <w:trPr>
          <w:gridBefore w:val="1"/>
          <w:wBefore w:w="216" w:type="dxa"/>
          <w:trHeight w:val="300"/>
        </w:trPr>
        <w:tc>
          <w:tcPr>
            <w:tcW w:w="2619" w:type="dxa"/>
            <w:tcBorders>
              <w:top w:val="nil"/>
              <w:left w:val="nil"/>
              <w:right w:val="nil"/>
            </w:tcBorders>
            <w:shd w:val="clear" w:color="auto" w:fill="auto"/>
            <w:noWrap/>
            <w:vAlign w:val="bottom"/>
            <w:hideMark/>
          </w:tcPr>
          <w:p w14:paraId="7345D81F" w14:textId="77777777" w:rsidR="000F3B89" w:rsidRPr="00AA72C0" w:rsidRDefault="000F3B89" w:rsidP="00DE57A5">
            <w:pPr>
              <w:spacing w:line="240" w:lineRule="auto"/>
              <w:jc w:val="center"/>
              <w:rPr>
                <w:rFonts w:eastAsia="Times New Roman" w:cs="Times New Roman"/>
                <w:color w:val="000000"/>
                <w:lang w:val="en-CA" w:eastAsia="en-CA"/>
              </w:rPr>
            </w:pPr>
          </w:p>
        </w:tc>
        <w:tc>
          <w:tcPr>
            <w:tcW w:w="1149" w:type="dxa"/>
            <w:gridSpan w:val="2"/>
            <w:tcBorders>
              <w:top w:val="nil"/>
              <w:left w:val="nil"/>
              <w:right w:val="nil"/>
            </w:tcBorders>
            <w:shd w:val="clear" w:color="auto" w:fill="auto"/>
            <w:noWrap/>
            <w:vAlign w:val="center"/>
            <w:hideMark/>
          </w:tcPr>
          <w:p w14:paraId="59812328" w14:textId="77777777" w:rsidR="000F3B89" w:rsidRPr="00AA72C0" w:rsidRDefault="000F3B89" w:rsidP="00DE57A5">
            <w:pPr>
              <w:spacing w:line="240" w:lineRule="auto"/>
              <w:rPr>
                <w:rFonts w:eastAsia="Times New Roman" w:cs="Times New Roman"/>
                <w:sz w:val="20"/>
                <w:szCs w:val="20"/>
                <w:lang w:val="en-CA" w:eastAsia="en-CA"/>
              </w:rPr>
            </w:pPr>
          </w:p>
        </w:tc>
        <w:tc>
          <w:tcPr>
            <w:tcW w:w="2757" w:type="dxa"/>
            <w:gridSpan w:val="2"/>
            <w:tcBorders>
              <w:top w:val="nil"/>
              <w:left w:val="nil"/>
              <w:bottom w:val="nil"/>
              <w:right w:val="nil"/>
            </w:tcBorders>
            <w:shd w:val="clear" w:color="auto" w:fill="auto"/>
            <w:noWrap/>
            <w:vAlign w:val="center"/>
            <w:hideMark/>
          </w:tcPr>
          <w:p w14:paraId="4A2EA626" w14:textId="77777777" w:rsidR="000F3B89" w:rsidRPr="00AA72C0" w:rsidRDefault="000F3B89" w:rsidP="00DE57A5">
            <w:pPr>
              <w:spacing w:line="240" w:lineRule="auto"/>
              <w:rPr>
                <w:rFonts w:eastAsia="Times New Roman" w:cs="Times New Roman"/>
                <w:sz w:val="20"/>
                <w:szCs w:val="20"/>
                <w:lang w:val="en-CA" w:eastAsia="en-CA"/>
              </w:rPr>
            </w:pPr>
          </w:p>
        </w:tc>
        <w:tc>
          <w:tcPr>
            <w:tcW w:w="950" w:type="dxa"/>
            <w:tcBorders>
              <w:top w:val="nil"/>
              <w:left w:val="nil"/>
              <w:bottom w:val="nil"/>
              <w:right w:val="nil"/>
            </w:tcBorders>
            <w:shd w:val="clear" w:color="auto" w:fill="auto"/>
            <w:noWrap/>
            <w:vAlign w:val="center"/>
            <w:hideMark/>
          </w:tcPr>
          <w:p w14:paraId="7AA8D9DE" w14:textId="77777777" w:rsidR="000F3B89" w:rsidRPr="00AA72C0" w:rsidRDefault="000F3B89" w:rsidP="00DE57A5">
            <w:pPr>
              <w:spacing w:line="240" w:lineRule="auto"/>
              <w:jc w:val="center"/>
              <w:rPr>
                <w:rFonts w:eastAsia="Times New Roman" w:cs="Times New Roman"/>
                <w:sz w:val="20"/>
                <w:szCs w:val="20"/>
                <w:lang w:val="en-CA" w:eastAsia="en-CA"/>
              </w:rPr>
            </w:pPr>
          </w:p>
        </w:tc>
        <w:tc>
          <w:tcPr>
            <w:tcW w:w="1669" w:type="dxa"/>
            <w:tcBorders>
              <w:top w:val="nil"/>
              <w:left w:val="nil"/>
              <w:bottom w:val="nil"/>
              <w:right w:val="nil"/>
            </w:tcBorders>
            <w:shd w:val="clear" w:color="auto" w:fill="auto"/>
            <w:noWrap/>
            <w:vAlign w:val="center"/>
            <w:hideMark/>
          </w:tcPr>
          <w:p w14:paraId="3ABB003A" w14:textId="77777777" w:rsidR="000F3B89" w:rsidRPr="00AA72C0" w:rsidRDefault="000F3B89" w:rsidP="00DE57A5">
            <w:pPr>
              <w:spacing w:line="240" w:lineRule="auto"/>
              <w:jc w:val="center"/>
              <w:rPr>
                <w:rFonts w:eastAsia="Times New Roman" w:cs="Times New Roman"/>
                <w:sz w:val="20"/>
                <w:szCs w:val="20"/>
                <w:lang w:val="en-CA" w:eastAsia="en-CA"/>
              </w:rPr>
            </w:pPr>
          </w:p>
        </w:tc>
      </w:tr>
      <w:tr w:rsidR="000F3B89" w:rsidRPr="006B5B91" w14:paraId="73674EBD" w14:textId="77777777" w:rsidTr="00DE57A5">
        <w:trPr>
          <w:gridBefore w:val="1"/>
          <w:wBefore w:w="216" w:type="dxa"/>
          <w:trHeight w:val="300"/>
        </w:trPr>
        <w:tc>
          <w:tcPr>
            <w:tcW w:w="2619" w:type="dxa"/>
            <w:vMerge w:val="restart"/>
            <w:tcBorders>
              <w:top w:val="nil"/>
              <w:left w:val="nil"/>
              <w:right w:val="nil"/>
            </w:tcBorders>
            <w:shd w:val="clear" w:color="auto" w:fill="auto"/>
            <w:noWrap/>
            <w:vAlign w:val="center"/>
            <w:hideMark/>
          </w:tcPr>
          <w:p w14:paraId="4E69344D"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ECRI</w:t>
            </w:r>
          </w:p>
        </w:tc>
        <w:tc>
          <w:tcPr>
            <w:tcW w:w="1149" w:type="dxa"/>
            <w:gridSpan w:val="2"/>
            <w:tcBorders>
              <w:top w:val="nil"/>
              <w:left w:val="nil"/>
              <w:right w:val="nil"/>
            </w:tcBorders>
            <w:shd w:val="clear" w:color="auto" w:fill="auto"/>
            <w:noWrap/>
            <w:vAlign w:val="center"/>
            <w:hideMark/>
          </w:tcPr>
          <w:p w14:paraId="35085167" w14:textId="77777777" w:rsidR="000F3B89" w:rsidRPr="00AA72C0" w:rsidRDefault="000F3B89" w:rsidP="00DE57A5">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12m</w:t>
            </w:r>
          </w:p>
        </w:tc>
        <w:tc>
          <w:tcPr>
            <w:tcW w:w="2757" w:type="dxa"/>
            <w:gridSpan w:val="2"/>
            <w:tcBorders>
              <w:top w:val="nil"/>
              <w:left w:val="nil"/>
              <w:bottom w:val="nil"/>
              <w:right w:val="nil"/>
            </w:tcBorders>
            <w:shd w:val="clear" w:color="auto" w:fill="auto"/>
            <w:noWrap/>
            <w:vAlign w:val="center"/>
            <w:hideMark/>
          </w:tcPr>
          <w:p w14:paraId="1B27B7AF"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0.4587</w:t>
            </w:r>
          </w:p>
        </w:tc>
        <w:tc>
          <w:tcPr>
            <w:tcW w:w="950" w:type="dxa"/>
            <w:tcBorders>
              <w:top w:val="nil"/>
              <w:left w:val="nil"/>
              <w:bottom w:val="nil"/>
              <w:right w:val="nil"/>
            </w:tcBorders>
            <w:shd w:val="clear" w:color="auto" w:fill="auto"/>
            <w:noWrap/>
            <w:vAlign w:val="center"/>
            <w:hideMark/>
          </w:tcPr>
          <w:p w14:paraId="5DBE7131"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0.4412</w:t>
            </w:r>
          </w:p>
        </w:tc>
        <w:tc>
          <w:tcPr>
            <w:tcW w:w="1669" w:type="dxa"/>
            <w:tcBorders>
              <w:top w:val="nil"/>
              <w:left w:val="nil"/>
              <w:bottom w:val="nil"/>
              <w:right w:val="nil"/>
            </w:tcBorders>
            <w:shd w:val="clear" w:color="auto" w:fill="auto"/>
            <w:noWrap/>
            <w:vAlign w:val="center"/>
            <w:hideMark/>
          </w:tcPr>
          <w:p w14:paraId="6E093C9D" w14:textId="77777777" w:rsidR="000F3B89" w:rsidRPr="00AA72C0" w:rsidRDefault="000F3B89" w:rsidP="00DE57A5">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0.5125</w:t>
            </w:r>
          </w:p>
        </w:tc>
      </w:tr>
      <w:tr w:rsidR="00BE0AAE" w:rsidRPr="006B5B91" w14:paraId="456577B6" w14:textId="77777777" w:rsidTr="00DE57A5">
        <w:trPr>
          <w:gridBefore w:val="1"/>
          <w:wBefore w:w="216" w:type="dxa"/>
          <w:trHeight w:val="300"/>
        </w:trPr>
        <w:tc>
          <w:tcPr>
            <w:tcW w:w="2619" w:type="dxa"/>
            <w:vMerge/>
            <w:tcBorders>
              <w:top w:val="nil"/>
              <w:left w:val="nil"/>
              <w:right w:val="nil"/>
            </w:tcBorders>
            <w:shd w:val="clear" w:color="auto" w:fill="auto"/>
            <w:noWrap/>
            <w:vAlign w:val="center"/>
          </w:tcPr>
          <w:p w14:paraId="63757F34" w14:textId="77777777" w:rsidR="00BE0AAE" w:rsidRPr="00AA72C0" w:rsidRDefault="00BE0AAE" w:rsidP="00BE0AAE">
            <w:pPr>
              <w:spacing w:line="240" w:lineRule="auto"/>
              <w:rPr>
                <w:rFonts w:eastAsia="Times New Roman" w:cs="Times New Roman"/>
                <w:color w:val="000000"/>
                <w:lang w:val="en-CA" w:eastAsia="en-CA"/>
              </w:rPr>
            </w:pPr>
          </w:p>
        </w:tc>
        <w:tc>
          <w:tcPr>
            <w:tcW w:w="1149" w:type="dxa"/>
            <w:gridSpan w:val="2"/>
            <w:tcBorders>
              <w:top w:val="nil"/>
              <w:left w:val="nil"/>
              <w:right w:val="nil"/>
            </w:tcBorders>
            <w:shd w:val="clear" w:color="auto" w:fill="auto"/>
            <w:noWrap/>
            <w:vAlign w:val="center"/>
          </w:tcPr>
          <w:p w14:paraId="2D9DD944" w14:textId="2D4550C2" w:rsidR="00BE0AAE" w:rsidRPr="00AA72C0" w:rsidRDefault="00BE0AAE" w:rsidP="00BE0AAE">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18m</w:t>
            </w:r>
          </w:p>
        </w:tc>
        <w:tc>
          <w:tcPr>
            <w:tcW w:w="2757" w:type="dxa"/>
            <w:gridSpan w:val="2"/>
            <w:tcBorders>
              <w:top w:val="nil"/>
              <w:left w:val="nil"/>
              <w:bottom w:val="nil"/>
              <w:right w:val="nil"/>
            </w:tcBorders>
            <w:shd w:val="clear" w:color="auto" w:fill="auto"/>
            <w:noWrap/>
            <w:vAlign w:val="center"/>
          </w:tcPr>
          <w:p w14:paraId="1BA4C459" w14:textId="5737E3BD"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0.5337</w:t>
            </w:r>
          </w:p>
        </w:tc>
        <w:tc>
          <w:tcPr>
            <w:tcW w:w="950" w:type="dxa"/>
            <w:tcBorders>
              <w:top w:val="nil"/>
              <w:left w:val="nil"/>
              <w:bottom w:val="nil"/>
              <w:right w:val="nil"/>
            </w:tcBorders>
            <w:shd w:val="clear" w:color="auto" w:fill="auto"/>
            <w:noWrap/>
            <w:vAlign w:val="center"/>
          </w:tcPr>
          <w:p w14:paraId="1B0D381E" w14:textId="1628AB85"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0.5394</w:t>
            </w:r>
          </w:p>
        </w:tc>
        <w:tc>
          <w:tcPr>
            <w:tcW w:w="1669" w:type="dxa"/>
            <w:tcBorders>
              <w:top w:val="nil"/>
              <w:left w:val="nil"/>
              <w:bottom w:val="nil"/>
              <w:right w:val="nil"/>
            </w:tcBorders>
            <w:shd w:val="clear" w:color="auto" w:fill="auto"/>
            <w:noWrap/>
            <w:vAlign w:val="center"/>
          </w:tcPr>
          <w:p w14:paraId="652E89B3" w14:textId="3148C956"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0.5986</w:t>
            </w:r>
          </w:p>
        </w:tc>
      </w:tr>
      <w:tr w:rsidR="00BE0AAE" w:rsidRPr="006B5B91" w14:paraId="3569AA15" w14:textId="77777777" w:rsidTr="00DE57A5">
        <w:trPr>
          <w:gridBefore w:val="1"/>
          <w:wBefore w:w="216" w:type="dxa"/>
          <w:trHeight w:val="300"/>
        </w:trPr>
        <w:tc>
          <w:tcPr>
            <w:tcW w:w="2619" w:type="dxa"/>
            <w:vMerge/>
            <w:tcBorders>
              <w:left w:val="nil"/>
              <w:bottom w:val="double" w:sz="6" w:space="0" w:color="000000"/>
              <w:right w:val="nil"/>
            </w:tcBorders>
            <w:vAlign w:val="center"/>
            <w:hideMark/>
          </w:tcPr>
          <w:p w14:paraId="5D44A4AA" w14:textId="77777777" w:rsidR="00BE0AAE" w:rsidRPr="00AA72C0" w:rsidRDefault="00BE0AAE" w:rsidP="00BE0AAE">
            <w:pPr>
              <w:spacing w:line="240" w:lineRule="auto"/>
              <w:rPr>
                <w:rFonts w:eastAsia="Times New Roman" w:cs="Times New Roman"/>
                <w:color w:val="000000"/>
                <w:lang w:val="en-CA" w:eastAsia="en-CA"/>
              </w:rPr>
            </w:pPr>
          </w:p>
        </w:tc>
        <w:tc>
          <w:tcPr>
            <w:tcW w:w="1149" w:type="dxa"/>
            <w:gridSpan w:val="2"/>
            <w:tcBorders>
              <w:left w:val="nil"/>
              <w:bottom w:val="nil"/>
              <w:right w:val="nil"/>
            </w:tcBorders>
            <w:shd w:val="clear" w:color="auto" w:fill="auto"/>
            <w:noWrap/>
            <w:vAlign w:val="center"/>
            <w:hideMark/>
          </w:tcPr>
          <w:p w14:paraId="2D6DFF47" w14:textId="1C2FFA16" w:rsidR="00BE0AAE" w:rsidRPr="00AA72C0" w:rsidRDefault="00BE0AAE" w:rsidP="00BE0AAE">
            <w:pPr>
              <w:spacing w:line="240" w:lineRule="auto"/>
              <w:rPr>
                <w:rFonts w:eastAsia="Times New Roman" w:cs="Times New Roman"/>
                <w:color w:val="000000"/>
                <w:lang w:val="en-CA" w:eastAsia="en-CA"/>
              </w:rPr>
            </w:pPr>
            <w:r w:rsidRPr="00AA72C0">
              <w:rPr>
                <w:rFonts w:eastAsia="Times New Roman" w:cs="Times New Roman"/>
                <w:color w:val="000000"/>
                <w:lang w:val="en-CA" w:eastAsia="en-CA"/>
              </w:rPr>
              <w:t>24m</w:t>
            </w:r>
          </w:p>
        </w:tc>
        <w:tc>
          <w:tcPr>
            <w:tcW w:w="2757" w:type="dxa"/>
            <w:gridSpan w:val="2"/>
            <w:tcBorders>
              <w:top w:val="nil"/>
              <w:left w:val="nil"/>
              <w:bottom w:val="nil"/>
              <w:right w:val="nil"/>
            </w:tcBorders>
            <w:shd w:val="clear" w:color="auto" w:fill="auto"/>
            <w:noWrap/>
            <w:vAlign w:val="center"/>
            <w:hideMark/>
          </w:tcPr>
          <w:p w14:paraId="6FE70162" w14:textId="65EB58E6"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0.4492</w:t>
            </w:r>
          </w:p>
        </w:tc>
        <w:tc>
          <w:tcPr>
            <w:tcW w:w="950" w:type="dxa"/>
            <w:tcBorders>
              <w:top w:val="nil"/>
              <w:left w:val="nil"/>
              <w:bottom w:val="nil"/>
              <w:right w:val="nil"/>
            </w:tcBorders>
            <w:shd w:val="clear" w:color="auto" w:fill="auto"/>
            <w:noWrap/>
            <w:vAlign w:val="center"/>
            <w:hideMark/>
          </w:tcPr>
          <w:p w14:paraId="0C2D0E75" w14:textId="70A4E741"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0.4806</w:t>
            </w:r>
          </w:p>
        </w:tc>
        <w:tc>
          <w:tcPr>
            <w:tcW w:w="1669" w:type="dxa"/>
            <w:tcBorders>
              <w:top w:val="nil"/>
              <w:left w:val="nil"/>
              <w:bottom w:val="nil"/>
              <w:right w:val="nil"/>
            </w:tcBorders>
            <w:shd w:val="clear" w:color="auto" w:fill="auto"/>
            <w:noWrap/>
            <w:vAlign w:val="center"/>
            <w:hideMark/>
          </w:tcPr>
          <w:p w14:paraId="379049BD" w14:textId="5B366F09" w:rsidR="00BE0AAE" w:rsidRPr="00AA72C0" w:rsidRDefault="00BE0AAE" w:rsidP="00BE0AAE">
            <w:pPr>
              <w:spacing w:line="240" w:lineRule="auto"/>
              <w:jc w:val="center"/>
              <w:rPr>
                <w:rFonts w:eastAsia="Times New Roman" w:cs="Times New Roman"/>
                <w:color w:val="000000"/>
                <w:lang w:val="en-CA" w:eastAsia="en-CA"/>
              </w:rPr>
            </w:pPr>
            <w:r w:rsidRPr="00AA72C0">
              <w:rPr>
                <w:rFonts w:eastAsia="Times New Roman" w:cs="Times New Roman"/>
                <w:color w:val="000000"/>
                <w:lang w:val="en-CA" w:eastAsia="en-CA"/>
              </w:rPr>
              <w:t>0.5016</w:t>
            </w:r>
          </w:p>
        </w:tc>
      </w:tr>
      <w:tr w:rsidR="00BE0AAE" w:rsidRPr="006B5B91" w14:paraId="61D70E74" w14:textId="77777777" w:rsidTr="00BE0AAE">
        <w:trPr>
          <w:gridBefore w:val="1"/>
          <w:wBefore w:w="216" w:type="dxa"/>
          <w:trHeight w:val="35"/>
        </w:trPr>
        <w:tc>
          <w:tcPr>
            <w:tcW w:w="2619" w:type="dxa"/>
            <w:vMerge/>
            <w:tcBorders>
              <w:top w:val="nil"/>
              <w:left w:val="nil"/>
              <w:bottom w:val="double" w:sz="6" w:space="0" w:color="000000"/>
              <w:right w:val="nil"/>
            </w:tcBorders>
            <w:vAlign w:val="center"/>
            <w:hideMark/>
          </w:tcPr>
          <w:p w14:paraId="31AEB9FA" w14:textId="77777777" w:rsidR="00BE0AAE" w:rsidRPr="00AA72C0" w:rsidRDefault="00BE0AAE" w:rsidP="00BE0AAE">
            <w:pPr>
              <w:spacing w:line="240" w:lineRule="auto"/>
              <w:rPr>
                <w:rFonts w:eastAsia="Times New Roman" w:cs="Times New Roman"/>
                <w:color w:val="000000"/>
                <w:lang w:val="en-CA" w:eastAsia="en-CA"/>
              </w:rPr>
            </w:pPr>
          </w:p>
        </w:tc>
        <w:tc>
          <w:tcPr>
            <w:tcW w:w="1149" w:type="dxa"/>
            <w:gridSpan w:val="2"/>
            <w:tcBorders>
              <w:top w:val="nil"/>
              <w:left w:val="nil"/>
              <w:bottom w:val="double" w:sz="6" w:space="0" w:color="auto"/>
              <w:right w:val="nil"/>
            </w:tcBorders>
            <w:shd w:val="clear" w:color="auto" w:fill="auto"/>
            <w:noWrap/>
            <w:vAlign w:val="center"/>
            <w:hideMark/>
          </w:tcPr>
          <w:p w14:paraId="17217733" w14:textId="1F545099" w:rsidR="00BE0AAE" w:rsidRPr="00AA72C0" w:rsidRDefault="00BE0AAE" w:rsidP="00BE0AAE">
            <w:pPr>
              <w:spacing w:line="240" w:lineRule="auto"/>
              <w:rPr>
                <w:rFonts w:eastAsia="Times New Roman" w:cs="Times New Roman"/>
                <w:color w:val="000000"/>
                <w:lang w:val="en-CA" w:eastAsia="en-CA"/>
              </w:rPr>
            </w:pPr>
          </w:p>
        </w:tc>
        <w:tc>
          <w:tcPr>
            <w:tcW w:w="2757" w:type="dxa"/>
            <w:gridSpan w:val="2"/>
            <w:tcBorders>
              <w:top w:val="nil"/>
              <w:left w:val="nil"/>
              <w:bottom w:val="double" w:sz="6" w:space="0" w:color="auto"/>
              <w:right w:val="nil"/>
            </w:tcBorders>
            <w:shd w:val="clear" w:color="auto" w:fill="auto"/>
            <w:noWrap/>
            <w:vAlign w:val="center"/>
            <w:hideMark/>
          </w:tcPr>
          <w:p w14:paraId="79E6AF06" w14:textId="7E8A0092" w:rsidR="00BE0AAE" w:rsidRPr="00AA72C0" w:rsidRDefault="00BE0AAE" w:rsidP="00BE0AAE">
            <w:pPr>
              <w:spacing w:line="240" w:lineRule="auto"/>
              <w:jc w:val="center"/>
              <w:rPr>
                <w:rFonts w:eastAsia="Times New Roman" w:cs="Times New Roman"/>
                <w:color w:val="000000"/>
                <w:lang w:val="en-CA" w:eastAsia="en-CA"/>
              </w:rPr>
            </w:pPr>
          </w:p>
        </w:tc>
        <w:tc>
          <w:tcPr>
            <w:tcW w:w="950" w:type="dxa"/>
            <w:tcBorders>
              <w:top w:val="nil"/>
              <w:left w:val="nil"/>
              <w:bottom w:val="double" w:sz="6" w:space="0" w:color="auto"/>
              <w:right w:val="nil"/>
            </w:tcBorders>
            <w:shd w:val="clear" w:color="auto" w:fill="auto"/>
            <w:noWrap/>
            <w:vAlign w:val="center"/>
            <w:hideMark/>
          </w:tcPr>
          <w:p w14:paraId="21D56EAB" w14:textId="0F44E930" w:rsidR="00BE0AAE" w:rsidRPr="00AA72C0" w:rsidRDefault="00BE0AAE" w:rsidP="00BE0AAE">
            <w:pPr>
              <w:spacing w:line="240" w:lineRule="auto"/>
              <w:jc w:val="center"/>
              <w:rPr>
                <w:rFonts w:eastAsia="Times New Roman" w:cs="Times New Roman"/>
                <w:color w:val="000000"/>
                <w:lang w:val="en-CA" w:eastAsia="en-CA"/>
              </w:rPr>
            </w:pPr>
          </w:p>
        </w:tc>
        <w:tc>
          <w:tcPr>
            <w:tcW w:w="1669" w:type="dxa"/>
            <w:tcBorders>
              <w:top w:val="nil"/>
              <w:left w:val="nil"/>
              <w:bottom w:val="double" w:sz="6" w:space="0" w:color="auto"/>
              <w:right w:val="nil"/>
            </w:tcBorders>
            <w:shd w:val="clear" w:color="auto" w:fill="auto"/>
            <w:noWrap/>
            <w:vAlign w:val="center"/>
            <w:hideMark/>
          </w:tcPr>
          <w:p w14:paraId="140368C5" w14:textId="61B28B8F" w:rsidR="00BE0AAE" w:rsidRPr="00AA72C0" w:rsidRDefault="00BE0AAE" w:rsidP="00BE0AAE">
            <w:pPr>
              <w:spacing w:line="240" w:lineRule="auto"/>
              <w:jc w:val="center"/>
              <w:rPr>
                <w:rFonts w:eastAsia="Times New Roman" w:cs="Times New Roman"/>
                <w:color w:val="000000"/>
                <w:lang w:val="en-CA" w:eastAsia="en-CA"/>
              </w:rPr>
            </w:pPr>
          </w:p>
        </w:tc>
      </w:tr>
    </w:tbl>
    <w:p w14:paraId="12525D86" w14:textId="77777777" w:rsidR="000F3B89" w:rsidRDefault="000F3B89" w:rsidP="000F3B89">
      <w:pPr>
        <w:pStyle w:val="Heading2"/>
        <w:rPr>
          <w:rFonts w:cs="Times New Roman"/>
        </w:rPr>
      </w:pPr>
    </w:p>
    <w:bookmarkEnd w:id="38"/>
    <w:p w14:paraId="2958C859" w14:textId="7C813606" w:rsidR="007E587B" w:rsidRDefault="007E587B" w:rsidP="00465597">
      <w:pPr>
        <w:rPr>
          <w:rFonts w:cs="Times New Roman"/>
          <w:lang w:val="en-CA"/>
        </w:rPr>
      </w:pPr>
    </w:p>
    <w:p w14:paraId="7440266B" w14:textId="41B98782" w:rsidR="000F3B89" w:rsidRDefault="000F3B89" w:rsidP="000F3B89">
      <w:pPr>
        <w:spacing w:line="480" w:lineRule="auto"/>
        <w:ind w:firstLine="720"/>
        <w:rPr>
          <w:rFonts w:cs="Times New Roman"/>
          <w:lang w:val="en-CA"/>
        </w:rPr>
      </w:pPr>
      <w:r w:rsidRPr="006B5B91">
        <w:rPr>
          <w:rFonts w:cs="Times New Roman"/>
          <w:lang w:val="en-CA"/>
        </w:rPr>
        <w:t xml:space="preserve">Table </w:t>
      </w:r>
      <w:r>
        <w:rPr>
          <w:rFonts w:cs="Times New Roman"/>
          <w:lang w:val="en-CA"/>
        </w:rPr>
        <w:t>8</w:t>
      </w:r>
      <w:r w:rsidRPr="006B5B91">
        <w:rPr>
          <w:rFonts w:cs="Times New Roman"/>
          <w:lang w:val="en-CA"/>
        </w:rPr>
        <w:t xml:space="preserve"> shows correlations between the near-term forward spread </w:t>
      </w:r>
      <w:r w:rsidR="003F1A4D">
        <w:rPr>
          <w:rFonts w:cs="Times New Roman"/>
          <w:lang w:val="en-CA"/>
        </w:rPr>
        <w:t>and</w:t>
      </w:r>
      <w:r w:rsidRPr="006B5B91">
        <w:rPr>
          <w:rFonts w:cs="Times New Roman"/>
          <w:lang w:val="en-CA"/>
        </w:rPr>
        <w:t xml:space="preserve"> the conventional long-term spreads. All spreads are highly correlated with one another. While the correlation </w:t>
      </w:r>
      <w:r w:rsidRPr="006B5B91">
        <w:rPr>
          <w:rFonts w:cs="Times New Roman"/>
          <w:lang w:val="en-CA"/>
        </w:rPr>
        <w:lastRenderedPageBreak/>
        <w:t xml:space="preserve">between the </w:t>
      </w:r>
      <w:r>
        <w:rPr>
          <w:rFonts w:cs="Times New Roman"/>
          <w:lang w:val="en-CA"/>
        </w:rPr>
        <w:t>near-term forward spread</w:t>
      </w:r>
      <w:r w:rsidRPr="006B5B91">
        <w:rPr>
          <w:rFonts w:cs="Times New Roman"/>
          <w:lang w:val="en-CA"/>
        </w:rPr>
        <w:t xml:space="preserve"> and the 10y-2y spread is moderately high at 0.7175, it is the correlation between the </w:t>
      </w:r>
      <w:r>
        <w:rPr>
          <w:rFonts w:cs="Times New Roman"/>
          <w:lang w:val="en-CA"/>
        </w:rPr>
        <w:t>near-term forward spread</w:t>
      </w:r>
      <w:r w:rsidRPr="006B5B91">
        <w:rPr>
          <w:rFonts w:cs="Times New Roman"/>
          <w:lang w:val="en-CA"/>
        </w:rPr>
        <w:t xml:space="preserve"> and the 10y-3m spread that is most notable. At 0.9441, the data indicates a very high correlation between the two measures. The correlation between the 10y-2y spread and the 10y-3m spread is also considerably high, at 0.8847.</w:t>
      </w:r>
    </w:p>
    <w:p w14:paraId="4BC31422" w14:textId="15E827F5" w:rsidR="000F3B89" w:rsidRDefault="000F3B89" w:rsidP="000F3B89">
      <w:pPr>
        <w:spacing w:line="480" w:lineRule="auto"/>
        <w:ind w:firstLine="720"/>
        <w:rPr>
          <w:rFonts w:cs="Times New Roman"/>
          <w:lang w:val="en-CA"/>
        </w:rPr>
      </w:pPr>
    </w:p>
    <w:p w14:paraId="3022615A" w14:textId="77777777" w:rsidR="000F3B89" w:rsidRPr="006B5B91" w:rsidRDefault="000F3B89" w:rsidP="000F3B89">
      <w:pPr>
        <w:rPr>
          <w:rFonts w:cs="Times New Roman"/>
          <w:lang w:val="en-CA"/>
        </w:rPr>
      </w:pPr>
    </w:p>
    <w:tbl>
      <w:tblPr>
        <w:tblW w:w="9214" w:type="dxa"/>
        <w:tblLook w:val="04A0" w:firstRow="1" w:lastRow="0" w:firstColumn="1" w:lastColumn="0" w:noHBand="0" w:noVBand="1"/>
      </w:tblPr>
      <w:tblGrid>
        <w:gridCol w:w="3402"/>
        <w:gridCol w:w="2268"/>
        <w:gridCol w:w="3544"/>
      </w:tblGrid>
      <w:tr w:rsidR="000F3B89" w:rsidRPr="006B5B91" w14:paraId="53E4A3A7" w14:textId="77777777" w:rsidTr="00DE57A5">
        <w:trPr>
          <w:trHeight w:val="315"/>
        </w:trPr>
        <w:tc>
          <w:tcPr>
            <w:tcW w:w="5670" w:type="dxa"/>
            <w:gridSpan w:val="2"/>
            <w:tcBorders>
              <w:top w:val="nil"/>
              <w:left w:val="nil"/>
              <w:bottom w:val="double" w:sz="6" w:space="0" w:color="auto"/>
              <w:right w:val="nil"/>
            </w:tcBorders>
            <w:shd w:val="clear" w:color="auto" w:fill="auto"/>
            <w:noWrap/>
            <w:vAlign w:val="center"/>
            <w:hideMark/>
          </w:tcPr>
          <w:p w14:paraId="10F82678" w14:textId="35DAFD8E" w:rsidR="00B35925" w:rsidRDefault="00B35925" w:rsidP="00AD1ECB">
            <w:bookmarkStart w:id="39" w:name="_Toc37261614"/>
            <w:r>
              <w:t xml:space="preserve">Table </w:t>
            </w:r>
            <w:r w:rsidR="009C4B5A">
              <w:fldChar w:fldCharType="begin"/>
            </w:r>
            <w:r w:rsidR="009C4B5A">
              <w:instrText xml:space="preserve"> SEQ Table \* ARABIC </w:instrText>
            </w:r>
            <w:r w:rsidR="009C4B5A">
              <w:fldChar w:fldCharType="separate"/>
            </w:r>
            <w:r w:rsidR="00AC0696">
              <w:rPr>
                <w:noProof/>
              </w:rPr>
              <w:t>8</w:t>
            </w:r>
            <w:bookmarkEnd w:id="39"/>
            <w:r w:rsidR="009C4B5A">
              <w:rPr>
                <w:noProof/>
              </w:rPr>
              <w:fldChar w:fldCharType="end"/>
            </w:r>
          </w:p>
          <w:p w14:paraId="559685AF" w14:textId="77777777" w:rsidR="000F3B89" w:rsidRPr="00B43DDB" w:rsidRDefault="000F3B89" w:rsidP="00DE57A5">
            <w:pPr>
              <w:spacing w:line="240" w:lineRule="auto"/>
              <w:rPr>
                <w:rFonts w:eastAsia="Times New Roman" w:cs="Times New Roman"/>
                <w:i/>
                <w:iCs/>
                <w:color w:val="000000"/>
                <w:lang w:val="en-CA" w:eastAsia="en-CA"/>
              </w:rPr>
            </w:pPr>
            <w:r w:rsidRPr="00B43DDB">
              <w:rPr>
                <w:rFonts w:eastAsia="Times New Roman" w:cs="Times New Roman"/>
                <w:i/>
                <w:iCs/>
                <w:color w:val="000000"/>
                <w:lang w:val="en-CA" w:eastAsia="en-CA"/>
              </w:rPr>
              <w:t xml:space="preserve">Correlation </w:t>
            </w:r>
            <w:r>
              <w:rPr>
                <w:rFonts w:eastAsia="Times New Roman" w:cs="Times New Roman"/>
                <w:i/>
                <w:iCs/>
                <w:color w:val="000000"/>
                <w:lang w:val="en-CA" w:eastAsia="en-CA"/>
              </w:rPr>
              <w:t>A</w:t>
            </w:r>
            <w:r w:rsidRPr="00B43DDB">
              <w:rPr>
                <w:rFonts w:eastAsia="Times New Roman" w:cs="Times New Roman"/>
                <w:i/>
                <w:iCs/>
                <w:color w:val="000000"/>
                <w:lang w:val="en-CA" w:eastAsia="en-CA"/>
              </w:rPr>
              <w:t xml:space="preserve">mong </w:t>
            </w:r>
            <w:r>
              <w:rPr>
                <w:rFonts w:eastAsia="Times New Roman" w:cs="Times New Roman"/>
                <w:i/>
                <w:iCs/>
                <w:color w:val="000000"/>
                <w:lang w:val="en-CA" w:eastAsia="en-CA"/>
              </w:rPr>
              <w:t>S</w:t>
            </w:r>
            <w:r w:rsidRPr="00B43DDB">
              <w:rPr>
                <w:rFonts w:eastAsia="Times New Roman" w:cs="Times New Roman"/>
                <w:i/>
                <w:iCs/>
                <w:color w:val="000000"/>
                <w:lang w:val="en-CA" w:eastAsia="en-CA"/>
              </w:rPr>
              <w:t>preads</w:t>
            </w:r>
          </w:p>
        </w:tc>
        <w:tc>
          <w:tcPr>
            <w:tcW w:w="3544" w:type="dxa"/>
            <w:tcBorders>
              <w:top w:val="nil"/>
              <w:left w:val="nil"/>
              <w:bottom w:val="double" w:sz="6" w:space="0" w:color="auto"/>
              <w:right w:val="nil"/>
            </w:tcBorders>
            <w:shd w:val="clear" w:color="auto" w:fill="auto"/>
            <w:noWrap/>
            <w:vAlign w:val="center"/>
            <w:hideMark/>
          </w:tcPr>
          <w:p w14:paraId="0A93670A" w14:textId="77777777" w:rsidR="000F3B89" w:rsidRPr="006B5B91" w:rsidRDefault="000F3B89" w:rsidP="00DE57A5">
            <w:pPr>
              <w:spacing w:line="240" w:lineRule="auto"/>
              <w:rPr>
                <w:rFonts w:eastAsia="Times New Roman" w:cs="Times New Roman"/>
                <w:color w:val="000000"/>
                <w:lang w:val="en-CA" w:eastAsia="en-CA"/>
              </w:rPr>
            </w:pPr>
            <w:r w:rsidRPr="006B5B91">
              <w:rPr>
                <w:rFonts w:eastAsia="Times New Roman" w:cs="Times New Roman"/>
                <w:color w:val="000000"/>
                <w:lang w:val="en-CA" w:eastAsia="en-CA"/>
              </w:rPr>
              <w:t> </w:t>
            </w:r>
          </w:p>
        </w:tc>
      </w:tr>
      <w:tr w:rsidR="000F3B89" w:rsidRPr="006B5B91" w14:paraId="7594E8DC" w14:textId="77777777" w:rsidTr="00DE57A5">
        <w:trPr>
          <w:trHeight w:val="330"/>
        </w:trPr>
        <w:tc>
          <w:tcPr>
            <w:tcW w:w="3402" w:type="dxa"/>
            <w:tcBorders>
              <w:top w:val="nil"/>
              <w:left w:val="nil"/>
              <w:right w:val="nil"/>
            </w:tcBorders>
            <w:shd w:val="clear" w:color="auto" w:fill="auto"/>
            <w:noWrap/>
            <w:vAlign w:val="center"/>
            <w:hideMark/>
          </w:tcPr>
          <w:p w14:paraId="05672047" w14:textId="77777777" w:rsidR="000F3B89" w:rsidRPr="00B43DDB" w:rsidRDefault="000F3B89" w:rsidP="00DE57A5">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 xml:space="preserve"> </w:t>
            </w:r>
          </w:p>
        </w:tc>
        <w:tc>
          <w:tcPr>
            <w:tcW w:w="2268" w:type="dxa"/>
            <w:tcBorders>
              <w:top w:val="nil"/>
              <w:left w:val="nil"/>
              <w:right w:val="nil"/>
            </w:tcBorders>
            <w:shd w:val="clear" w:color="auto" w:fill="auto"/>
            <w:noWrap/>
            <w:vAlign w:val="center"/>
            <w:hideMark/>
          </w:tcPr>
          <w:p w14:paraId="604DF8C4" w14:textId="77777777" w:rsidR="000F3B89" w:rsidRPr="00B43DDB" w:rsidRDefault="000F3B89" w:rsidP="00DE57A5">
            <w:pPr>
              <w:spacing w:line="240" w:lineRule="auto"/>
              <w:rPr>
                <w:rFonts w:eastAsia="Times New Roman" w:cs="Times New Roman"/>
                <w:color w:val="000000"/>
                <w:lang w:val="en-CA" w:eastAsia="en-CA"/>
              </w:rPr>
            </w:pPr>
          </w:p>
        </w:tc>
        <w:tc>
          <w:tcPr>
            <w:tcW w:w="3544" w:type="dxa"/>
            <w:tcBorders>
              <w:top w:val="nil"/>
              <w:left w:val="nil"/>
              <w:right w:val="nil"/>
            </w:tcBorders>
            <w:shd w:val="clear" w:color="auto" w:fill="auto"/>
            <w:noWrap/>
            <w:vAlign w:val="center"/>
            <w:hideMark/>
          </w:tcPr>
          <w:p w14:paraId="2A4D6127" w14:textId="77777777" w:rsidR="000F3B89" w:rsidRPr="006B5B91" w:rsidRDefault="000F3B89" w:rsidP="00DE57A5">
            <w:pPr>
              <w:spacing w:line="240" w:lineRule="auto"/>
              <w:rPr>
                <w:rFonts w:eastAsia="Times New Roman" w:cs="Times New Roman"/>
                <w:lang w:val="en-CA" w:eastAsia="en-CA"/>
              </w:rPr>
            </w:pPr>
          </w:p>
        </w:tc>
      </w:tr>
      <w:tr w:rsidR="000F3B89" w:rsidRPr="006B5B91" w14:paraId="7CD320F1" w14:textId="77777777" w:rsidTr="00DE57A5">
        <w:trPr>
          <w:trHeight w:val="300"/>
        </w:trPr>
        <w:tc>
          <w:tcPr>
            <w:tcW w:w="3402" w:type="dxa"/>
            <w:tcBorders>
              <w:top w:val="nil"/>
              <w:left w:val="nil"/>
              <w:bottom w:val="single" w:sz="4" w:space="0" w:color="auto"/>
              <w:right w:val="nil"/>
            </w:tcBorders>
            <w:shd w:val="clear" w:color="auto" w:fill="auto"/>
            <w:noWrap/>
            <w:vAlign w:val="center"/>
            <w:hideMark/>
          </w:tcPr>
          <w:p w14:paraId="6CB63C00" w14:textId="77777777" w:rsidR="000F3B89" w:rsidRPr="00B43DDB" w:rsidRDefault="000F3B89" w:rsidP="00DE57A5">
            <w:pPr>
              <w:spacing w:line="240" w:lineRule="auto"/>
              <w:rPr>
                <w:rFonts w:eastAsia="Times New Roman" w:cs="Times New Roman"/>
                <w:lang w:val="en-CA" w:eastAsia="en-CA"/>
              </w:rPr>
            </w:pPr>
            <w:r w:rsidRPr="00B43DDB">
              <w:rPr>
                <w:rFonts w:eastAsia="Times New Roman" w:cs="Times New Roman"/>
                <w:lang w:val="en-CA" w:eastAsia="en-CA"/>
              </w:rPr>
              <w:t>Explanatory Variables</w:t>
            </w:r>
          </w:p>
        </w:tc>
        <w:tc>
          <w:tcPr>
            <w:tcW w:w="2268" w:type="dxa"/>
            <w:tcBorders>
              <w:top w:val="nil"/>
              <w:left w:val="nil"/>
              <w:bottom w:val="single" w:sz="4" w:space="0" w:color="auto"/>
              <w:right w:val="nil"/>
            </w:tcBorders>
            <w:shd w:val="clear" w:color="auto" w:fill="auto"/>
            <w:noWrap/>
            <w:vAlign w:val="center"/>
            <w:hideMark/>
          </w:tcPr>
          <w:p w14:paraId="2628C469" w14:textId="77777777" w:rsidR="000F3B89" w:rsidRPr="00B43DDB" w:rsidRDefault="000F3B89" w:rsidP="00DE57A5">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10y-2y spread</w:t>
            </w:r>
          </w:p>
        </w:tc>
        <w:tc>
          <w:tcPr>
            <w:tcW w:w="3544" w:type="dxa"/>
            <w:tcBorders>
              <w:top w:val="nil"/>
              <w:left w:val="nil"/>
              <w:bottom w:val="single" w:sz="4" w:space="0" w:color="auto"/>
              <w:right w:val="nil"/>
            </w:tcBorders>
            <w:shd w:val="clear" w:color="auto" w:fill="auto"/>
            <w:noWrap/>
            <w:vAlign w:val="center"/>
            <w:hideMark/>
          </w:tcPr>
          <w:p w14:paraId="0503C617" w14:textId="77777777" w:rsidR="000F3B89" w:rsidRPr="00B43DDB" w:rsidRDefault="000F3B89" w:rsidP="00DE57A5">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10y-3m spread</w:t>
            </w:r>
          </w:p>
        </w:tc>
      </w:tr>
      <w:tr w:rsidR="000F3B89" w:rsidRPr="006B5B91" w14:paraId="48FBD60F" w14:textId="77777777" w:rsidTr="00DE57A5">
        <w:trPr>
          <w:trHeight w:val="300"/>
        </w:trPr>
        <w:tc>
          <w:tcPr>
            <w:tcW w:w="3402" w:type="dxa"/>
            <w:tcBorders>
              <w:top w:val="single" w:sz="4" w:space="0" w:color="auto"/>
              <w:left w:val="nil"/>
              <w:bottom w:val="nil"/>
              <w:right w:val="nil"/>
            </w:tcBorders>
            <w:shd w:val="clear" w:color="auto" w:fill="auto"/>
            <w:noWrap/>
            <w:vAlign w:val="center"/>
            <w:hideMark/>
          </w:tcPr>
          <w:p w14:paraId="4AA3AD6B" w14:textId="77777777" w:rsidR="000F3B89" w:rsidRPr="00B43DDB" w:rsidRDefault="000F3B89" w:rsidP="00DE57A5">
            <w:pPr>
              <w:spacing w:line="240" w:lineRule="auto"/>
              <w:jc w:val="center"/>
              <w:rPr>
                <w:rFonts w:eastAsia="Times New Roman" w:cs="Times New Roman"/>
                <w:color w:val="000000"/>
                <w:lang w:val="en-CA" w:eastAsia="en-CA"/>
              </w:rPr>
            </w:pPr>
          </w:p>
        </w:tc>
        <w:tc>
          <w:tcPr>
            <w:tcW w:w="2268" w:type="dxa"/>
            <w:tcBorders>
              <w:top w:val="single" w:sz="4" w:space="0" w:color="auto"/>
              <w:left w:val="nil"/>
              <w:bottom w:val="nil"/>
              <w:right w:val="nil"/>
            </w:tcBorders>
            <w:shd w:val="clear" w:color="auto" w:fill="auto"/>
            <w:noWrap/>
            <w:vAlign w:val="center"/>
            <w:hideMark/>
          </w:tcPr>
          <w:p w14:paraId="0440C30F" w14:textId="77777777" w:rsidR="000F3B89" w:rsidRPr="00B43DDB" w:rsidRDefault="000F3B89" w:rsidP="00DE57A5">
            <w:pPr>
              <w:spacing w:line="240" w:lineRule="auto"/>
              <w:rPr>
                <w:rFonts w:eastAsia="Times New Roman" w:cs="Times New Roman"/>
                <w:lang w:val="en-CA" w:eastAsia="en-CA"/>
              </w:rPr>
            </w:pPr>
          </w:p>
        </w:tc>
        <w:tc>
          <w:tcPr>
            <w:tcW w:w="3544" w:type="dxa"/>
            <w:tcBorders>
              <w:top w:val="single" w:sz="4" w:space="0" w:color="auto"/>
              <w:left w:val="nil"/>
              <w:bottom w:val="nil"/>
              <w:right w:val="nil"/>
            </w:tcBorders>
            <w:shd w:val="clear" w:color="auto" w:fill="auto"/>
            <w:noWrap/>
            <w:vAlign w:val="center"/>
            <w:hideMark/>
          </w:tcPr>
          <w:p w14:paraId="4387BA1D" w14:textId="77777777" w:rsidR="000F3B89" w:rsidRPr="006B5B91" w:rsidRDefault="000F3B89" w:rsidP="00DE57A5">
            <w:pPr>
              <w:spacing w:line="240" w:lineRule="auto"/>
              <w:jc w:val="center"/>
              <w:rPr>
                <w:rFonts w:eastAsia="Times New Roman" w:cs="Times New Roman"/>
                <w:lang w:val="en-CA" w:eastAsia="en-CA"/>
              </w:rPr>
            </w:pPr>
          </w:p>
        </w:tc>
      </w:tr>
      <w:tr w:rsidR="000F3B89" w:rsidRPr="006B5B91" w14:paraId="5A28DA86" w14:textId="77777777" w:rsidTr="00DE57A5">
        <w:trPr>
          <w:trHeight w:val="300"/>
        </w:trPr>
        <w:tc>
          <w:tcPr>
            <w:tcW w:w="3402" w:type="dxa"/>
            <w:tcBorders>
              <w:top w:val="nil"/>
              <w:left w:val="nil"/>
              <w:bottom w:val="nil"/>
              <w:right w:val="nil"/>
            </w:tcBorders>
            <w:shd w:val="clear" w:color="auto" w:fill="auto"/>
            <w:noWrap/>
            <w:vAlign w:val="center"/>
            <w:hideMark/>
          </w:tcPr>
          <w:p w14:paraId="004FCA08" w14:textId="77777777" w:rsidR="000F3B89" w:rsidRPr="00B43DDB" w:rsidRDefault="000F3B89" w:rsidP="00DE57A5">
            <w:pPr>
              <w:spacing w:line="240" w:lineRule="auto"/>
              <w:rPr>
                <w:rFonts w:eastAsia="Times New Roman" w:cs="Times New Roman"/>
                <w:color w:val="000000"/>
                <w:lang w:val="en-CA" w:eastAsia="en-CA"/>
              </w:rPr>
            </w:pPr>
            <w:r>
              <w:rPr>
                <w:rFonts w:eastAsia="Times New Roman" w:cs="Times New Roman"/>
                <w:color w:val="000000"/>
                <w:lang w:val="en-CA" w:eastAsia="en-CA"/>
              </w:rPr>
              <w:t>Near-term forward spread</w:t>
            </w:r>
          </w:p>
        </w:tc>
        <w:tc>
          <w:tcPr>
            <w:tcW w:w="2268" w:type="dxa"/>
            <w:tcBorders>
              <w:top w:val="nil"/>
              <w:left w:val="nil"/>
              <w:bottom w:val="nil"/>
              <w:right w:val="nil"/>
            </w:tcBorders>
            <w:shd w:val="clear" w:color="auto" w:fill="auto"/>
            <w:noWrap/>
            <w:vAlign w:val="center"/>
            <w:hideMark/>
          </w:tcPr>
          <w:p w14:paraId="10063A73" w14:textId="77777777" w:rsidR="000F3B89" w:rsidRPr="00B43DDB" w:rsidRDefault="000F3B89" w:rsidP="00DE57A5">
            <w:pPr>
              <w:spacing w:line="240" w:lineRule="auto"/>
              <w:jc w:val="center"/>
              <w:rPr>
                <w:rFonts w:eastAsia="Times New Roman" w:cs="Times New Roman"/>
                <w:color w:val="000000"/>
                <w:vertAlign w:val="superscript"/>
                <w:lang w:val="en-CA" w:eastAsia="en-CA"/>
              </w:rPr>
            </w:pPr>
            <w:r w:rsidRPr="00B43DDB">
              <w:rPr>
                <w:rFonts w:eastAsia="Times New Roman" w:cs="Times New Roman"/>
                <w:color w:val="000000"/>
                <w:lang w:val="en-CA" w:eastAsia="en-CA"/>
              </w:rPr>
              <w:t>0.7175</w:t>
            </w:r>
            <w:r w:rsidRPr="00B43DDB">
              <w:rPr>
                <w:rFonts w:eastAsia="Times New Roman" w:cs="Times New Roman"/>
                <w:color w:val="000000"/>
                <w:vertAlign w:val="superscript"/>
                <w:lang w:val="en-CA" w:eastAsia="en-CA"/>
              </w:rPr>
              <w:t>***</w:t>
            </w:r>
          </w:p>
        </w:tc>
        <w:tc>
          <w:tcPr>
            <w:tcW w:w="3544" w:type="dxa"/>
            <w:tcBorders>
              <w:top w:val="nil"/>
              <w:left w:val="nil"/>
              <w:bottom w:val="nil"/>
              <w:right w:val="nil"/>
            </w:tcBorders>
            <w:shd w:val="clear" w:color="auto" w:fill="auto"/>
            <w:noWrap/>
            <w:vAlign w:val="center"/>
            <w:hideMark/>
          </w:tcPr>
          <w:p w14:paraId="59FD0154" w14:textId="77777777" w:rsidR="000F3B89" w:rsidRPr="006B5B91" w:rsidRDefault="000F3B89" w:rsidP="00DE57A5">
            <w:pPr>
              <w:spacing w:line="240" w:lineRule="auto"/>
              <w:jc w:val="center"/>
              <w:rPr>
                <w:rFonts w:eastAsia="Times New Roman" w:cs="Times New Roman"/>
                <w:color w:val="000000"/>
                <w:vertAlign w:val="superscript"/>
                <w:lang w:val="en-CA" w:eastAsia="en-CA"/>
              </w:rPr>
            </w:pPr>
            <w:r w:rsidRPr="006B5B91">
              <w:rPr>
                <w:rFonts w:eastAsia="Times New Roman" w:cs="Times New Roman"/>
                <w:color w:val="000000"/>
                <w:lang w:val="en-CA" w:eastAsia="en-CA"/>
              </w:rPr>
              <w:t>0.9441</w:t>
            </w:r>
            <w:r w:rsidRPr="006B5B91">
              <w:rPr>
                <w:rFonts w:eastAsia="Times New Roman" w:cs="Times New Roman"/>
                <w:color w:val="000000"/>
                <w:vertAlign w:val="superscript"/>
                <w:lang w:val="en-CA" w:eastAsia="en-CA"/>
              </w:rPr>
              <w:t>***</w:t>
            </w:r>
          </w:p>
        </w:tc>
      </w:tr>
      <w:tr w:rsidR="000F3B89" w:rsidRPr="006B5B91" w14:paraId="74E841F5" w14:textId="77777777" w:rsidTr="00DE57A5">
        <w:trPr>
          <w:trHeight w:val="300"/>
        </w:trPr>
        <w:tc>
          <w:tcPr>
            <w:tcW w:w="3402" w:type="dxa"/>
            <w:tcBorders>
              <w:top w:val="nil"/>
              <w:left w:val="nil"/>
              <w:bottom w:val="nil"/>
              <w:right w:val="nil"/>
            </w:tcBorders>
            <w:shd w:val="clear" w:color="auto" w:fill="auto"/>
            <w:noWrap/>
            <w:vAlign w:val="center"/>
            <w:hideMark/>
          </w:tcPr>
          <w:p w14:paraId="6C541F05" w14:textId="77777777" w:rsidR="000F3B89" w:rsidRPr="00B43DDB" w:rsidRDefault="000F3B89" w:rsidP="00DE57A5">
            <w:pPr>
              <w:spacing w:line="240" w:lineRule="auto"/>
              <w:jc w:val="center"/>
              <w:rPr>
                <w:rFonts w:eastAsia="Times New Roman" w:cs="Times New Roman"/>
                <w:color w:val="000000"/>
                <w:lang w:val="en-CA" w:eastAsia="en-CA"/>
              </w:rPr>
            </w:pPr>
          </w:p>
        </w:tc>
        <w:tc>
          <w:tcPr>
            <w:tcW w:w="2268" w:type="dxa"/>
            <w:tcBorders>
              <w:top w:val="nil"/>
              <w:left w:val="nil"/>
              <w:bottom w:val="nil"/>
              <w:right w:val="nil"/>
            </w:tcBorders>
            <w:shd w:val="clear" w:color="auto" w:fill="auto"/>
            <w:noWrap/>
            <w:vAlign w:val="center"/>
            <w:hideMark/>
          </w:tcPr>
          <w:p w14:paraId="7236E292" w14:textId="77777777" w:rsidR="000F3B89" w:rsidRPr="00B43DDB" w:rsidRDefault="000F3B89" w:rsidP="00DE57A5">
            <w:pPr>
              <w:spacing w:line="240" w:lineRule="auto"/>
              <w:rPr>
                <w:rFonts w:eastAsia="Times New Roman" w:cs="Times New Roman"/>
                <w:lang w:val="en-CA" w:eastAsia="en-CA"/>
              </w:rPr>
            </w:pPr>
          </w:p>
        </w:tc>
        <w:tc>
          <w:tcPr>
            <w:tcW w:w="3544" w:type="dxa"/>
            <w:tcBorders>
              <w:top w:val="nil"/>
              <w:left w:val="nil"/>
              <w:bottom w:val="nil"/>
              <w:right w:val="nil"/>
            </w:tcBorders>
            <w:shd w:val="clear" w:color="auto" w:fill="auto"/>
            <w:noWrap/>
            <w:vAlign w:val="center"/>
            <w:hideMark/>
          </w:tcPr>
          <w:p w14:paraId="3E9F00A3" w14:textId="77777777" w:rsidR="000F3B89" w:rsidRPr="006B5B91" w:rsidRDefault="000F3B89" w:rsidP="00DE57A5">
            <w:pPr>
              <w:spacing w:line="240" w:lineRule="auto"/>
              <w:jc w:val="center"/>
              <w:rPr>
                <w:rFonts w:eastAsia="Times New Roman" w:cs="Times New Roman"/>
                <w:lang w:val="en-CA" w:eastAsia="en-CA"/>
              </w:rPr>
            </w:pPr>
          </w:p>
        </w:tc>
      </w:tr>
      <w:tr w:rsidR="000F3B89" w:rsidRPr="006B5B91" w14:paraId="592091D1" w14:textId="77777777" w:rsidTr="00DE57A5">
        <w:trPr>
          <w:trHeight w:val="315"/>
        </w:trPr>
        <w:tc>
          <w:tcPr>
            <w:tcW w:w="3402" w:type="dxa"/>
            <w:tcBorders>
              <w:top w:val="nil"/>
              <w:left w:val="nil"/>
              <w:bottom w:val="double" w:sz="6" w:space="0" w:color="auto"/>
              <w:right w:val="nil"/>
            </w:tcBorders>
            <w:shd w:val="clear" w:color="auto" w:fill="auto"/>
            <w:noWrap/>
            <w:vAlign w:val="center"/>
            <w:hideMark/>
          </w:tcPr>
          <w:p w14:paraId="0D373E8E" w14:textId="77777777" w:rsidR="000F3B89" w:rsidRPr="00B43DDB" w:rsidRDefault="000F3B89" w:rsidP="00DE57A5">
            <w:pPr>
              <w:spacing w:line="240" w:lineRule="auto"/>
              <w:rPr>
                <w:rFonts w:eastAsia="Times New Roman" w:cs="Times New Roman"/>
                <w:color w:val="000000"/>
                <w:lang w:val="en-CA" w:eastAsia="en-CA"/>
              </w:rPr>
            </w:pPr>
            <w:r w:rsidRPr="00B43DDB">
              <w:rPr>
                <w:rFonts w:eastAsia="Times New Roman" w:cs="Times New Roman"/>
                <w:color w:val="000000"/>
                <w:lang w:val="en-CA" w:eastAsia="en-CA"/>
              </w:rPr>
              <w:t>10y</w:t>
            </w:r>
            <w:r>
              <w:rPr>
                <w:rFonts w:eastAsia="Times New Roman" w:cs="Times New Roman"/>
                <w:color w:val="000000"/>
                <w:lang w:val="en-CA" w:eastAsia="en-CA"/>
              </w:rPr>
              <w:t>-</w:t>
            </w:r>
            <w:r w:rsidRPr="00B43DDB">
              <w:rPr>
                <w:rFonts w:eastAsia="Times New Roman" w:cs="Times New Roman"/>
                <w:color w:val="000000"/>
                <w:lang w:val="en-CA" w:eastAsia="en-CA"/>
              </w:rPr>
              <w:t>2y spread</w:t>
            </w:r>
          </w:p>
        </w:tc>
        <w:tc>
          <w:tcPr>
            <w:tcW w:w="2268" w:type="dxa"/>
            <w:tcBorders>
              <w:top w:val="nil"/>
              <w:left w:val="nil"/>
              <w:bottom w:val="double" w:sz="6" w:space="0" w:color="auto"/>
              <w:right w:val="nil"/>
            </w:tcBorders>
            <w:shd w:val="clear" w:color="auto" w:fill="auto"/>
            <w:noWrap/>
            <w:vAlign w:val="center"/>
            <w:hideMark/>
          </w:tcPr>
          <w:p w14:paraId="1B678C74" w14:textId="77777777" w:rsidR="000F3B89" w:rsidRPr="00B43DDB" w:rsidRDefault="000F3B89" w:rsidP="00DE57A5">
            <w:pPr>
              <w:spacing w:line="240" w:lineRule="auto"/>
              <w:jc w:val="center"/>
              <w:rPr>
                <w:rFonts w:eastAsia="Times New Roman" w:cs="Times New Roman"/>
                <w:color w:val="000000"/>
                <w:lang w:val="en-CA" w:eastAsia="en-CA"/>
              </w:rPr>
            </w:pPr>
            <w:r w:rsidRPr="00B43DDB">
              <w:rPr>
                <w:rFonts w:eastAsia="Times New Roman" w:cs="Times New Roman"/>
                <w:color w:val="000000"/>
                <w:lang w:val="en-CA" w:eastAsia="en-CA"/>
              </w:rPr>
              <w:t> </w:t>
            </w:r>
          </w:p>
        </w:tc>
        <w:tc>
          <w:tcPr>
            <w:tcW w:w="3544" w:type="dxa"/>
            <w:tcBorders>
              <w:top w:val="nil"/>
              <w:left w:val="nil"/>
              <w:bottom w:val="double" w:sz="6" w:space="0" w:color="auto"/>
              <w:right w:val="nil"/>
            </w:tcBorders>
            <w:shd w:val="clear" w:color="auto" w:fill="auto"/>
            <w:noWrap/>
            <w:vAlign w:val="center"/>
            <w:hideMark/>
          </w:tcPr>
          <w:p w14:paraId="6E8400D3" w14:textId="77777777" w:rsidR="000F3B89" w:rsidRPr="006B5B91" w:rsidRDefault="000F3B89" w:rsidP="00DE57A5">
            <w:pPr>
              <w:spacing w:line="240" w:lineRule="auto"/>
              <w:jc w:val="center"/>
              <w:rPr>
                <w:rFonts w:eastAsia="Times New Roman" w:cs="Times New Roman"/>
                <w:color w:val="000000"/>
                <w:vertAlign w:val="superscript"/>
                <w:lang w:val="en-CA" w:eastAsia="en-CA"/>
              </w:rPr>
            </w:pPr>
            <w:r w:rsidRPr="006B5B91">
              <w:rPr>
                <w:rFonts w:eastAsia="Times New Roman" w:cs="Times New Roman"/>
                <w:color w:val="000000"/>
                <w:lang w:val="en-CA" w:eastAsia="en-CA"/>
              </w:rPr>
              <w:t>0.8847</w:t>
            </w:r>
            <w:r w:rsidRPr="006B5B91">
              <w:rPr>
                <w:rFonts w:eastAsia="Times New Roman" w:cs="Times New Roman"/>
                <w:color w:val="000000"/>
                <w:vertAlign w:val="superscript"/>
                <w:lang w:val="en-CA" w:eastAsia="en-CA"/>
              </w:rPr>
              <w:t>***</w:t>
            </w:r>
          </w:p>
        </w:tc>
      </w:tr>
      <w:tr w:rsidR="000F3B89" w:rsidRPr="006B5B91" w14:paraId="56BA0A7D" w14:textId="77777777" w:rsidTr="00DE57A5">
        <w:trPr>
          <w:trHeight w:val="315"/>
        </w:trPr>
        <w:tc>
          <w:tcPr>
            <w:tcW w:w="9214" w:type="dxa"/>
            <w:gridSpan w:val="3"/>
            <w:tcBorders>
              <w:top w:val="nil"/>
              <w:left w:val="nil"/>
              <w:bottom w:val="nil"/>
            </w:tcBorders>
            <w:shd w:val="clear" w:color="auto" w:fill="auto"/>
            <w:noWrap/>
            <w:vAlign w:val="center"/>
            <w:hideMark/>
          </w:tcPr>
          <w:p w14:paraId="5186DFCF" w14:textId="77777777" w:rsidR="000F3B89" w:rsidRDefault="000F3B89" w:rsidP="000F3B89">
            <w:pPr>
              <w:spacing w:line="240" w:lineRule="auto"/>
              <w:rPr>
                <w:rFonts w:cs="Times New Roman"/>
                <w:color w:val="000000"/>
              </w:rPr>
            </w:pPr>
            <w:r w:rsidRPr="00B43DDB">
              <w:rPr>
                <w:rFonts w:eastAsia="Times New Roman" w:cs="Times New Roman"/>
                <w:color w:val="000000"/>
                <w:lang w:val="en-CA" w:eastAsia="en-CA"/>
              </w:rPr>
              <w:t xml:space="preserve">*Notes: </w:t>
            </w:r>
            <w:r w:rsidRPr="00B43DDB">
              <w:rPr>
                <w:rFonts w:cs="Times New Roman"/>
                <w:color w:val="000000"/>
              </w:rPr>
              <w:t>The level of significance is indicated by the number of stars: * significant at 10%; ** significant at 5%; *** significant at 1%.</w:t>
            </w:r>
          </w:p>
          <w:p w14:paraId="3E44DCB8" w14:textId="77777777" w:rsidR="000F3B89" w:rsidRPr="00B43DDB" w:rsidRDefault="000F3B89" w:rsidP="00DE57A5">
            <w:pPr>
              <w:rPr>
                <w:rFonts w:cs="Times New Roman"/>
                <w:color w:val="000000"/>
              </w:rPr>
            </w:pPr>
          </w:p>
          <w:p w14:paraId="72D4547C" w14:textId="77777777" w:rsidR="000F3B89" w:rsidRPr="00B43DDB" w:rsidRDefault="000F3B89" w:rsidP="00DE57A5">
            <w:pPr>
              <w:spacing w:line="240" w:lineRule="auto"/>
              <w:jc w:val="center"/>
              <w:rPr>
                <w:rFonts w:eastAsia="Times New Roman" w:cs="Times New Roman"/>
                <w:sz w:val="20"/>
                <w:szCs w:val="20"/>
                <w:lang w:val="en-CA" w:eastAsia="en-CA"/>
              </w:rPr>
            </w:pPr>
          </w:p>
        </w:tc>
      </w:tr>
    </w:tbl>
    <w:p w14:paraId="70259DAD" w14:textId="77777777" w:rsidR="003D4253" w:rsidRDefault="003D4253" w:rsidP="009250E2">
      <w:pPr>
        <w:pStyle w:val="Heading2"/>
        <w:rPr>
          <w:rFonts w:cs="Times New Roman"/>
        </w:rPr>
      </w:pPr>
    </w:p>
    <w:p w14:paraId="1E0693D2" w14:textId="16475BEC" w:rsidR="00FE1C2F" w:rsidRPr="006B5B91" w:rsidRDefault="005E1A84" w:rsidP="009250E2">
      <w:pPr>
        <w:pStyle w:val="Heading2"/>
        <w:rPr>
          <w:rFonts w:cs="Times New Roman"/>
        </w:rPr>
      </w:pPr>
      <w:bookmarkStart w:id="40" w:name="_Toc37338055"/>
      <w:r>
        <w:rPr>
          <w:rFonts w:cs="Times New Roman"/>
        </w:rPr>
        <w:t>5.2</w:t>
      </w:r>
      <w:r w:rsidR="00CB44C9">
        <w:rPr>
          <w:rFonts w:cs="Times New Roman"/>
        </w:rPr>
        <w:t xml:space="preserve">.  </w:t>
      </w:r>
      <w:r w:rsidR="00CF7629" w:rsidRPr="006B5B91">
        <w:rPr>
          <w:rFonts w:cs="Times New Roman"/>
        </w:rPr>
        <w:t>Real GDP Forecasting</w:t>
      </w:r>
      <w:bookmarkEnd w:id="40"/>
    </w:p>
    <w:p w14:paraId="7F94D4C4" w14:textId="18AB7E31" w:rsidR="003D4253" w:rsidRPr="00FC232D" w:rsidRDefault="00E35E2B" w:rsidP="00FC232D">
      <w:pPr>
        <w:spacing w:line="480" w:lineRule="auto"/>
        <w:ind w:firstLine="720"/>
        <w:rPr>
          <w:rFonts w:cs="Times New Roman"/>
        </w:rPr>
      </w:pPr>
      <w:r w:rsidRPr="006B5B91">
        <w:rPr>
          <w:rFonts w:cs="Times New Roman"/>
          <w:lang w:val="en-CA"/>
        </w:rPr>
        <w:t xml:space="preserve">Table </w:t>
      </w:r>
      <w:r w:rsidR="0038549B">
        <w:rPr>
          <w:rFonts w:cs="Times New Roman"/>
          <w:lang w:val="en-CA"/>
        </w:rPr>
        <w:t>9</w:t>
      </w:r>
      <w:r w:rsidRPr="006B5B91">
        <w:rPr>
          <w:rFonts w:cs="Times New Roman"/>
          <w:lang w:val="en-CA"/>
        </w:rPr>
        <w:t xml:space="preserve"> shows the regression results for the linear model forecasting real GDP</w:t>
      </w:r>
      <w:r w:rsidR="00BA5D23" w:rsidRPr="006B5B91">
        <w:rPr>
          <w:rFonts w:cs="Times New Roman"/>
          <w:lang w:val="en-CA"/>
        </w:rPr>
        <w:t xml:space="preserve"> </w:t>
      </w:r>
      <w:r w:rsidR="00F15BA4">
        <w:rPr>
          <w:rFonts w:cs="Times New Roman"/>
          <w:lang w:val="en-CA"/>
        </w:rPr>
        <w:t>12-</w:t>
      </w:r>
      <w:r w:rsidR="00BA5D23" w:rsidRPr="006B5B91">
        <w:rPr>
          <w:rFonts w:cs="Times New Roman"/>
          <w:lang w:val="en-CA"/>
        </w:rPr>
        <w:t xml:space="preserve">months ahead. </w:t>
      </w:r>
      <w:r w:rsidR="00BA5D23" w:rsidRPr="006B5B91">
        <w:rPr>
          <w:rFonts w:cs="Times New Roman"/>
        </w:rPr>
        <w:t xml:space="preserve">The results of the empirical analysis show that a </w:t>
      </w:r>
      <w:r w:rsidR="00C01F55" w:rsidRPr="006B5B91">
        <w:rPr>
          <w:rFonts w:cs="Times New Roman"/>
        </w:rPr>
        <w:t>one</w:t>
      </w:r>
      <w:r w:rsidR="003F1A4D">
        <w:rPr>
          <w:rFonts w:cs="Times New Roman"/>
        </w:rPr>
        <w:t>-</w:t>
      </w:r>
      <w:r w:rsidR="00C01F55" w:rsidRPr="006B5B91">
        <w:rPr>
          <w:rFonts w:cs="Times New Roman"/>
        </w:rPr>
        <w:t>percentage</w:t>
      </w:r>
      <w:r w:rsidR="003F1A4D">
        <w:rPr>
          <w:rFonts w:cs="Times New Roman"/>
        </w:rPr>
        <w:t>-</w:t>
      </w:r>
      <w:r w:rsidR="00C01F55" w:rsidRPr="006B5B91">
        <w:rPr>
          <w:rFonts w:cs="Times New Roman"/>
        </w:rPr>
        <w:t>point increase</w:t>
      </w:r>
      <w:r w:rsidR="00BA5D23" w:rsidRPr="006B5B91">
        <w:rPr>
          <w:rFonts w:cs="Times New Roman"/>
        </w:rPr>
        <w:t xml:space="preserve"> in the near-term forward spread </w:t>
      </w:r>
      <w:r w:rsidR="00C01F55" w:rsidRPr="006B5B91">
        <w:rPr>
          <w:rFonts w:cs="Times New Roman"/>
        </w:rPr>
        <w:t>is, on average, associated with an increase in real GDP by 35.21 percentage points</w:t>
      </w:r>
      <w:r w:rsidR="00BA5D23" w:rsidRPr="006B5B91">
        <w:rPr>
          <w:rFonts w:cs="Times New Roman"/>
        </w:rPr>
        <w:t xml:space="preserve">. The results </w:t>
      </w:r>
      <w:r w:rsidR="00914A57">
        <w:rPr>
          <w:rFonts w:cs="Times New Roman"/>
        </w:rPr>
        <w:t>are</w:t>
      </w:r>
      <w:r w:rsidR="00BA5D23" w:rsidRPr="006B5B91">
        <w:rPr>
          <w:rFonts w:cs="Times New Roman"/>
        </w:rPr>
        <w:t xml:space="preserve"> statistically significant at the 1% level of significance (p-value = 0.000).</w:t>
      </w:r>
      <w:r w:rsidR="004C08CF" w:rsidRPr="006B5B91">
        <w:rPr>
          <w:rFonts w:cs="Times New Roman"/>
        </w:rPr>
        <w:t xml:space="preserve"> </w:t>
      </w:r>
      <w:r w:rsidR="00C01354" w:rsidRPr="006B5B91">
        <w:rPr>
          <w:rFonts w:cs="Times New Roman"/>
        </w:rPr>
        <w:t>Results for the two</w:t>
      </w:r>
      <w:r w:rsidR="003F1A4D">
        <w:rPr>
          <w:rFonts w:cs="Times New Roman"/>
        </w:rPr>
        <w:t xml:space="preserve"> </w:t>
      </w:r>
      <w:r w:rsidR="00C01354" w:rsidRPr="006B5B91">
        <w:rPr>
          <w:rFonts w:cs="Times New Roman"/>
        </w:rPr>
        <w:t>long</w:t>
      </w:r>
      <w:r w:rsidR="003F1A4D">
        <w:rPr>
          <w:rFonts w:cs="Times New Roman"/>
        </w:rPr>
        <w:t>-</w:t>
      </w:r>
      <w:r w:rsidR="00C01354" w:rsidRPr="006B5B91">
        <w:rPr>
          <w:rFonts w:cs="Times New Roman"/>
        </w:rPr>
        <w:t xml:space="preserve">term spreads </w:t>
      </w:r>
      <w:r w:rsidR="00914A57">
        <w:rPr>
          <w:rFonts w:cs="Times New Roman"/>
        </w:rPr>
        <w:t>are</w:t>
      </w:r>
      <w:r w:rsidR="00C01354" w:rsidRPr="006B5B91">
        <w:rPr>
          <w:rFonts w:cs="Times New Roman"/>
        </w:rPr>
        <w:t xml:space="preserve"> similar. The results show that a one</w:t>
      </w:r>
      <w:r w:rsidR="003F1A4D">
        <w:rPr>
          <w:rFonts w:cs="Times New Roman"/>
        </w:rPr>
        <w:t>-</w:t>
      </w:r>
      <w:r w:rsidR="00C01354" w:rsidRPr="006B5B91">
        <w:rPr>
          <w:rFonts w:cs="Times New Roman"/>
        </w:rPr>
        <w:t>percentage</w:t>
      </w:r>
      <w:r w:rsidR="003F1A4D">
        <w:rPr>
          <w:rFonts w:cs="Times New Roman"/>
        </w:rPr>
        <w:t>-</w:t>
      </w:r>
      <w:r w:rsidR="00C01354" w:rsidRPr="006B5B91">
        <w:rPr>
          <w:rFonts w:cs="Times New Roman"/>
        </w:rPr>
        <w:t>point increase in the 10y-2y spread is, on average, associated with an increase in real GDP by 39.05 percentage points, and that a one</w:t>
      </w:r>
      <w:r w:rsidR="003F1A4D">
        <w:rPr>
          <w:rFonts w:cs="Times New Roman"/>
        </w:rPr>
        <w:t>-</w:t>
      </w:r>
      <w:r w:rsidR="00C01354" w:rsidRPr="006B5B91">
        <w:rPr>
          <w:rFonts w:cs="Times New Roman"/>
        </w:rPr>
        <w:t>percentag</w:t>
      </w:r>
      <w:r w:rsidR="003F1A4D">
        <w:rPr>
          <w:rFonts w:cs="Times New Roman"/>
        </w:rPr>
        <w:t>e-</w:t>
      </w:r>
      <w:r w:rsidR="00C01354" w:rsidRPr="006B5B91">
        <w:rPr>
          <w:rFonts w:cs="Times New Roman"/>
        </w:rPr>
        <w:t xml:space="preserve">point increase in the 10y-3m spread is, on average, associated with an increase in real GDP by 28.60 percentage points. Both results </w:t>
      </w:r>
      <w:r w:rsidR="00914A57">
        <w:rPr>
          <w:rFonts w:cs="Times New Roman"/>
        </w:rPr>
        <w:t>are</w:t>
      </w:r>
      <w:r w:rsidR="00C01354" w:rsidRPr="006B5B91">
        <w:rPr>
          <w:rFonts w:cs="Times New Roman"/>
        </w:rPr>
        <w:t xml:space="preserve"> statistically significant at the 1% level of significance (p-value = 0.000).</w:t>
      </w:r>
    </w:p>
    <w:tbl>
      <w:tblPr>
        <w:tblW w:w="9498" w:type="dxa"/>
        <w:tblLook w:val="04A0" w:firstRow="1" w:lastRow="0" w:firstColumn="1" w:lastColumn="0" w:noHBand="0" w:noVBand="1"/>
      </w:tblPr>
      <w:tblGrid>
        <w:gridCol w:w="3215"/>
        <w:gridCol w:w="2098"/>
        <w:gridCol w:w="1316"/>
        <w:gridCol w:w="2869"/>
      </w:tblGrid>
      <w:tr w:rsidR="00B86D3A" w:rsidRPr="006B5B91" w14:paraId="271CFD50" w14:textId="77777777" w:rsidTr="00AC6D2B">
        <w:trPr>
          <w:trHeight w:val="315"/>
        </w:trPr>
        <w:tc>
          <w:tcPr>
            <w:tcW w:w="6629" w:type="dxa"/>
            <w:gridSpan w:val="3"/>
            <w:tcBorders>
              <w:top w:val="nil"/>
              <w:left w:val="nil"/>
              <w:bottom w:val="double" w:sz="6" w:space="0" w:color="auto"/>
              <w:right w:val="nil"/>
            </w:tcBorders>
            <w:shd w:val="clear" w:color="auto" w:fill="auto"/>
            <w:noWrap/>
            <w:vAlign w:val="center"/>
            <w:hideMark/>
          </w:tcPr>
          <w:p w14:paraId="09F08769" w14:textId="0DD401E4" w:rsidR="00936D4A" w:rsidRDefault="00936D4A" w:rsidP="00AD1ECB">
            <w:r>
              <w:lastRenderedPageBreak/>
              <w:t xml:space="preserve">Table </w:t>
            </w:r>
            <w:r w:rsidR="009C4B5A">
              <w:fldChar w:fldCharType="begin"/>
            </w:r>
            <w:r w:rsidR="009C4B5A">
              <w:instrText xml:space="preserve"> SEQ Table \* ARABIC </w:instrText>
            </w:r>
            <w:r w:rsidR="009C4B5A">
              <w:fldChar w:fldCharType="separate"/>
            </w:r>
            <w:r w:rsidR="00AC0696">
              <w:rPr>
                <w:noProof/>
              </w:rPr>
              <w:t>9</w:t>
            </w:r>
            <w:r w:rsidR="009C4B5A">
              <w:rPr>
                <w:noProof/>
              </w:rPr>
              <w:fldChar w:fldCharType="end"/>
            </w:r>
          </w:p>
          <w:p w14:paraId="799B690B" w14:textId="54621AD0" w:rsidR="00B86D3A" w:rsidRPr="003C0FD3" w:rsidRDefault="00B86D3A" w:rsidP="00AD1ECB">
            <w:pPr>
              <w:spacing w:line="240" w:lineRule="auto"/>
              <w:rPr>
                <w:rFonts w:eastAsia="Times New Roman" w:cs="Times New Roman"/>
                <w:color w:val="000000"/>
                <w:lang w:val="en-CA" w:eastAsia="en-CA"/>
              </w:rPr>
            </w:pPr>
            <w:r>
              <w:rPr>
                <w:rFonts w:eastAsia="Times New Roman" w:cs="Times New Roman"/>
                <w:i/>
                <w:iCs/>
                <w:color w:val="000000"/>
                <w:lang w:val="en-CA" w:eastAsia="en-CA"/>
              </w:rPr>
              <w:t xml:space="preserve">Regression Results of </w:t>
            </w:r>
            <w:r w:rsidRPr="003C0FD3">
              <w:rPr>
                <w:rFonts w:eastAsia="Times New Roman" w:cs="Times New Roman"/>
                <w:i/>
                <w:iCs/>
                <w:color w:val="000000"/>
                <w:lang w:val="en-CA" w:eastAsia="en-CA"/>
              </w:rPr>
              <w:t>Real GDP</w:t>
            </w:r>
            <w:r>
              <w:rPr>
                <w:rFonts w:eastAsia="Times New Roman" w:cs="Times New Roman"/>
                <w:i/>
                <w:iCs/>
                <w:color w:val="000000"/>
                <w:lang w:val="en-CA" w:eastAsia="en-CA"/>
              </w:rPr>
              <w:t xml:space="preserve"> Growth</w:t>
            </w:r>
            <w:r w:rsidRPr="003C0FD3">
              <w:rPr>
                <w:rFonts w:eastAsia="Times New Roman" w:cs="Times New Roman"/>
                <w:i/>
                <w:iCs/>
                <w:color w:val="000000"/>
                <w:lang w:val="en-CA" w:eastAsia="en-CA"/>
              </w:rPr>
              <w:t xml:space="preserve"> Forecasting</w:t>
            </w:r>
            <w:r w:rsidRPr="003C0FD3">
              <w:rPr>
                <w:rFonts w:eastAsia="Times New Roman" w:cs="Times New Roman"/>
                <w:color w:val="000000"/>
                <w:lang w:val="en-CA" w:eastAsia="en-CA"/>
              </w:rPr>
              <w:t> </w:t>
            </w:r>
          </w:p>
        </w:tc>
        <w:tc>
          <w:tcPr>
            <w:tcW w:w="2869" w:type="dxa"/>
            <w:tcBorders>
              <w:top w:val="nil"/>
              <w:left w:val="nil"/>
              <w:bottom w:val="double" w:sz="6" w:space="0" w:color="auto"/>
              <w:right w:val="nil"/>
            </w:tcBorders>
            <w:shd w:val="clear" w:color="auto" w:fill="auto"/>
            <w:noWrap/>
            <w:vAlign w:val="center"/>
            <w:hideMark/>
          </w:tcPr>
          <w:p w14:paraId="5A19B40B" w14:textId="77777777" w:rsidR="00B86D3A" w:rsidRPr="003C0FD3" w:rsidRDefault="00B86D3A" w:rsidP="00AD04D1">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r>
      <w:tr w:rsidR="003C0FD3" w:rsidRPr="006B5B91" w14:paraId="71F373DD" w14:textId="77777777" w:rsidTr="00777877">
        <w:trPr>
          <w:trHeight w:val="660"/>
        </w:trPr>
        <w:tc>
          <w:tcPr>
            <w:tcW w:w="9498" w:type="dxa"/>
            <w:gridSpan w:val="4"/>
            <w:tcBorders>
              <w:top w:val="nil"/>
              <w:left w:val="nil"/>
              <w:right w:val="nil"/>
            </w:tcBorders>
            <w:shd w:val="clear" w:color="auto" w:fill="auto"/>
            <w:noWrap/>
            <w:vAlign w:val="center"/>
            <w:hideMark/>
          </w:tcPr>
          <w:p w14:paraId="5E7963B8" w14:textId="1A9432AB" w:rsidR="003C0FD3" w:rsidRPr="003C0FD3" w:rsidRDefault="009C4B5A" w:rsidP="00AD04D1">
            <w:pPr>
              <w:spacing w:line="240" w:lineRule="auto"/>
              <w:jc w:val="center"/>
              <w:rPr>
                <w:rFonts w:eastAsia="Times New Roman" w:cs="Times New Roman"/>
                <w:color w:val="000000"/>
                <w:lang w:val="en-CA" w:eastAsia="en-CA"/>
              </w:rPr>
            </w:pPr>
            <m:oMathPara>
              <m:oMath>
                <m:sSub>
                  <m:sSubPr>
                    <m:ctrlPr>
                      <w:rPr>
                        <w:rFonts w:ascii="Cambria Math" w:hAnsi="Cambria Math" w:cs="Times New Roman"/>
                        <w:i/>
                      </w:rPr>
                    </m:ctrlPr>
                  </m:sSubPr>
                  <m:e>
                    <m:r>
                      <w:rPr>
                        <w:rFonts w:ascii="Cambria Math" w:hAnsi="Cambria Math" w:cs="Times New Roman"/>
                      </w:rPr>
                      <m:t>g</m:t>
                    </m:r>
                  </m:e>
                  <m:sub>
                    <m:r>
                      <w:rPr>
                        <w:rFonts w:ascii="Cambria Math" w:hAnsi="Cambria Math" w:cs="Times New Roman"/>
                      </w:rPr>
                      <m:t>t →t+q</m:t>
                    </m:r>
                  </m:sub>
                </m:sSub>
                <m:r>
                  <w:rPr>
                    <w:rFonts w:ascii="Cambria Math" w:hAnsi="Cambria Math" w:cs="Times New Roman"/>
                  </w:rPr>
                  <m:t>=α+β*</m:t>
                </m:r>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t</m:t>
                    </m:r>
                  </m:sub>
                </m:sSub>
              </m:oMath>
            </m:oMathPara>
          </w:p>
        </w:tc>
      </w:tr>
      <w:tr w:rsidR="00AD04D1" w:rsidRPr="006B5B91" w14:paraId="65B6D636" w14:textId="77777777" w:rsidTr="00777877">
        <w:trPr>
          <w:trHeight w:val="300"/>
        </w:trPr>
        <w:tc>
          <w:tcPr>
            <w:tcW w:w="3215" w:type="dxa"/>
            <w:tcBorders>
              <w:top w:val="nil"/>
              <w:left w:val="nil"/>
              <w:bottom w:val="single" w:sz="4" w:space="0" w:color="auto"/>
              <w:right w:val="nil"/>
            </w:tcBorders>
            <w:shd w:val="clear" w:color="auto" w:fill="auto"/>
            <w:noWrap/>
            <w:vAlign w:val="center"/>
            <w:hideMark/>
          </w:tcPr>
          <w:p w14:paraId="23B0E650" w14:textId="77777777" w:rsidR="00AD04D1" w:rsidRPr="003C0FD3" w:rsidRDefault="00AD04D1" w:rsidP="00AD04D1">
            <w:pPr>
              <w:spacing w:line="240" w:lineRule="auto"/>
              <w:rPr>
                <w:rFonts w:eastAsia="Times New Roman" w:cs="Times New Roman"/>
                <w:sz w:val="20"/>
                <w:szCs w:val="20"/>
                <w:lang w:val="en-CA" w:eastAsia="en-CA"/>
              </w:rPr>
            </w:pPr>
          </w:p>
        </w:tc>
        <w:tc>
          <w:tcPr>
            <w:tcW w:w="2098" w:type="dxa"/>
            <w:tcBorders>
              <w:top w:val="nil"/>
              <w:left w:val="nil"/>
              <w:bottom w:val="single" w:sz="4" w:space="0" w:color="auto"/>
              <w:right w:val="nil"/>
            </w:tcBorders>
            <w:shd w:val="clear" w:color="auto" w:fill="auto"/>
            <w:noWrap/>
            <w:vAlign w:val="center"/>
            <w:hideMark/>
          </w:tcPr>
          <w:p w14:paraId="54805CCF" w14:textId="77777777" w:rsidR="00AD04D1" w:rsidRPr="003C0FD3" w:rsidRDefault="00AD04D1" w:rsidP="00AD04D1">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α</w:t>
            </w:r>
          </w:p>
        </w:tc>
        <w:tc>
          <w:tcPr>
            <w:tcW w:w="1316" w:type="dxa"/>
            <w:tcBorders>
              <w:top w:val="nil"/>
              <w:left w:val="nil"/>
              <w:bottom w:val="single" w:sz="4" w:space="0" w:color="auto"/>
              <w:right w:val="nil"/>
            </w:tcBorders>
            <w:shd w:val="clear" w:color="auto" w:fill="auto"/>
            <w:noWrap/>
            <w:vAlign w:val="center"/>
            <w:hideMark/>
          </w:tcPr>
          <w:p w14:paraId="5B75518E" w14:textId="77777777" w:rsidR="00AD04D1" w:rsidRPr="003C0FD3" w:rsidRDefault="00AD04D1" w:rsidP="00AD04D1">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β</w:t>
            </w:r>
          </w:p>
        </w:tc>
        <w:tc>
          <w:tcPr>
            <w:tcW w:w="2869" w:type="dxa"/>
            <w:tcBorders>
              <w:top w:val="nil"/>
              <w:left w:val="nil"/>
              <w:bottom w:val="single" w:sz="4" w:space="0" w:color="auto"/>
              <w:right w:val="nil"/>
            </w:tcBorders>
            <w:shd w:val="clear" w:color="auto" w:fill="auto"/>
            <w:noWrap/>
            <w:vAlign w:val="center"/>
            <w:hideMark/>
          </w:tcPr>
          <w:p w14:paraId="3EC6A50E" w14:textId="77777777" w:rsidR="00AD04D1" w:rsidRPr="003C0FD3" w:rsidRDefault="00AD04D1" w:rsidP="00AD04D1">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R</w:t>
            </w:r>
            <w:r w:rsidRPr="00AD1ECB">
              <w:rPr>
                <w:rFonts w:eastAsia="Times New Roman" w:cs="Times New Roman"/>
                <w:color w:val="000000"/>
                <w:vertAlign w:val="superscript"/>
                <w:lang w:val="en-CA" w:eastAsia="en-CA"/>
              </w:rPr>
              <w:t>2</w:t>
            </w:r>
          </w:p>
        </w:tc>
      </w:tr>
      <w:tr w:rsidR="00AD04D1" w:rsidRPr="006B5B91" w14:paraId="2E0B2F8A" w14:textId="77777777" w:rsidTr="00777877">
        <w:trPr>
          <w:trHeight w:val="300"/>
        </w:trPr>
        <w:tc>
          <w:tcPr>
            <w:tcW w:w="3215" w:type="dxa"/>
            <w:tcBorders>
              <w:top w:val="single" w:sz="4" w:space="0" w:color="auto"/>
              <w:left w:val="nil"/>
              <w:bottom w:val="nil"/>
              <w:right w:val="nil"/>
            </w:tcBorders>
            <w:shd w:val="clear" w:color="auto" w:fill="auto"/>
            <w:noWrap/>
            <w:vAlign w:val="center"/>
            <w:hideMark/>
          </w:tcPr>
          <w:p w14:paraId="3244C470" w14:textId="77777777" w:rsidR="00AD04D1" w:rsidRPr="003C0FD3" w:rsidRDefault="00AD04D1" w:rsidP="00AD04D1">
            <w:pPr>
              <w:spacing w:line="240" w:lineRule="auto"/>
              <w:jc w:val="center"/>
              <w:rPr>
                <w:rFonts w:eastAsia="Times New Roman" w:cs="Times New Roman"/>
                <w:color w:val="000000"/>
                <w:lang w:val="en-CA" w:eastAsia="en-CA"/>
              </w:rPr>
            </w:pPr>
          </w:p>
        </w:tc>
        <w:tc>
          <w:tcPr>
            <w:tcW w:w="2098" w:type="dxa"/>
            <w:tcBorders>
              <w:top w:val="single" w:sz="4" w:space="0" w:color="auto"/>
              <w:left w:val="nil"/>
              <w:bottom w:val="nil"/>
              <w:right w:val="nil"/>
            </w:tcBorders>
            <w:shd w:val="clear" w:color="auto" w:fill="auto"/>
            <w:noWrap/>
            <w:vAlign w:val="center"/>
            <w:hideMark/>
          </w:tcPr>
          <w:p w14:paraId="1330C8F8" w14:textId="77777777" w:rsidR="00AD04D1" w:rsidRPr="003C0FD3" w:rsidRDefault="00AD04D1" w:rsidP="00AD04D1">
            <w:pPr>
              <w:spacing w:line="240" w:lineRule="auto"/>
              <w:jc w:val="center"/>
              <w:rPr>
                <w:rFonts w:eastAsia="Times New Roman" w:cs="Times New Roman"/>
                <w:sz w:val="20"/>
                <w:szCs w:val="20"/>
                <w:lang w:val="en-CA" w:eastAsia="en-CA"/>
              </w:rPr>
            </w:pPr>
          </w:p>
        </w:tc>
        <w:tc>
          <w:tcPr>
            <w:tcW w:w="1316" w:type="dxa"/>
            <w:tcBorders>
              <w:top w:val="single" w:sz="4" w:space="0" w:color="auto"/>
              <w:left w:val="nil"/>
              <w:bottom w:val="nil"/>
              <w:right w:val="nil"/>
            </w:tcBorders>
            <w:shd w:val="clear" w:color="auto" w:fill="auto"/>
            <w:noWrap/>
            <w:vAlign w:val="center"/>
            <w:hideMark/>
          </w:tcPr>
          <w:p w14:paraId="519A821F" w14:textId="77777777" w:rsidR="00AD04D1" w:rsidRPr="003C0FD3" w:rsidRDefault="00AD04D1" w:rsidP="00AD04D1">
            <w:pPr>
              <w:spacing w:line="240" w:lineRule="auto"/>
              <w:jc w:val="center"/>
              <w:rPr>
                <w:rFonts w:eastAsia="Times New Roman" w:cs="Times New Roman"/>
                <w:sz w:val="20"/>
                <w:szCs w:val="20"/>
                <w:lang w:val="en-CA" w:eastAsia="en-CA"/>
              </w:rPr>
            </w:pPr>
          </w:p>
        </w:tc>
        <w:tc>
          <w:tcPr>
            <w:tcW w:w="2869" w:type="dxa"/>
            <w:tcBorders>
              <w:top w:val="single" w:sz="4" w:space="0" w:color="auto"/>
              <w:left w:val="nil"/>
              <w:bottom w:val="nil"/>
              <w:right w:val="nil"/>
            </w:tcBorders>
            <w:shd w:val="clear" w:color="auto" w:fill="auto"/>
            <w:noWrap/>
            <w:vAlign w:val="bottom"/>
            <w:hideMark/>
          </w:tcPr>
          <w:p w14:paraId="2F7EC9A9" w14:textId="77777777" w:rsidR="00AD04D1" w:rsidRPr="003C0FD3" w:rsidRDefault="00AD04D1" w:rsidP="00AD04D1">
            <w:pPr>
              <w:spacing w:line="240" w:lineRule="auto"/>
              <w:jc w:val="center"/>
              <w:rPr>
                <w:rFonts w:eastAsia="Times New Roman" w:cs="Times New Roman"/>
                <w:sz w:val="20"/>
                <w:szCs w:val="20"/>
                <w:lang w:val="en-CA" w:eastAsia="en-CA"/>
              </w:rPr>
            </w:pPr>
          </w:p>
        </w:tc>
      </w:tr>
      <w:tr w:rsidR="00741D67" w:rsidRPr="006B5B91" w14:paraId="574A87CF" w14:textId="77777777" w:rsidTr="00777877">
        <w:trPr>
          <w:trHeight w:val="300"/>
        </w:trPr>
        <w:tc>
          <w:tcPr>
            <w:tcW w:w="3215" w:type="dxa"/>
            <w:tcBorders>
              <w:top w:val="nil"/>
              <w:left w:val="nil"/>
              <w:bottom w:val="nil"/>
              <w:right w:val="nil"/>
            </w:tcBorders>
            <w:shd w:val="clear" w:color="auto" w:fill="auto"/>
            <w:noWrap/>
            <w:vAlign w:val="center"/>
            <w:hideMark/>
          </w:tcPr>
          <w:p w14:paraId="7E2B7E1F" w14:textId="70057430" w:rsidR="00741D67" w:rsidRPr="003C0FD3" w:rsidRDefault="00741D67" w:rsidP="00741D67">
            <w:pPr>
              <w:spacing w:line="240" w:lineRule="auto"/>
              <w:rPr>
                <w:rFonts w:eastAsia="Times New Roman" w:cs="Times New Roman"/>
                <w:color w:val="000000"/>
                <w:lang w:val="en-CA" w:eastAsia="en-CA"/>
              </w:rPr>
            </w:pPr>
            <w:r>
              <w:rPr>
                <w:rFonts w:eastAsia="Times New Roman" w:cs="Times New Roman"/>
                <w:color w:val="000000"/>
                <w:lang w:val="en-CA" w:eastAsia="en-CA"/>
              </w:rPr>
              <w:t>Near-term forward rate</w:t>
            </w:r>
          </w:p>
        </w:tc>
        <w:tc>
          <w:tcPr>
            <w:tcW w:w="2098" w:type="dxa"/>
            <w:tcBorders>
              <w:top w:val="nil"/>
              <w:left w:val="nil"/>
              <w:bottom w:val="nil"/>
              <w:right w:val="nil"/>
            </w:tcBorders>
            <w:shd w:val="clear" w:color="auto" w:fill="auto"/>
            <w:noWrap/>
            <w:vAlign w:val="center"/>
            <w:hideMark/>
          </w:tcPr>
          <w:p w14:paraId="659265EB"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0.7839</w:t>
            </w:r>
          </w:p>
        </w:tc>
        <w:tc>
          <w:tcPr>
            <w:tcW w:w="1316" w:type="dxa"/>
            <w:tcBorders>
              <w:top w:val="nil"/>
              <w:left w:val="nil"/>
              <w:bottom w:val="nil"/>
              <w:right w:val="nil"/>
            </w:tcBorders>
            <w:shd w:val="clear" w:color="auto" w:fill="auto"/>
            <w:noWrap/>
            <w:vAlign w:val="center"/>
            <w:hideMark/>
          </w:tcPr>
          <w:p w14:paraId="3C5CCF8C"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0.3521</w:t>
            </w:r>
            <w:r w:rsidRPr="003C0FD3">
              <w:rPr>
                <w:rFonts w:eastAsia="Times New Roman" w:cs="Times New Roman"/>
                <w:color w:val="000000"/>
                <w:vertAlign w:val="superscript"/>
                <w:lang w:val="en-CA" w:eastAsia="en-CA"/>
              </w:rPr>
              <w:t>***</w:t>
            </w:r>
          </w:p>
        </w:tc>
        <w:tc>
          <w:tcPr>
            <w:tcW w:w="2869" w:type="dxa"/>
            <w:tcBorders>
              <w:top w:val="nil"/>
              <w:left w:val="nil"/>
              <w:bottom w:val="nil"/>
              <w:right w:val="nil"/>
            </w:tcBorders>
            <w:shd w:val="clear" w:color="auto" w:fill="auto"/>
            <w:noWrap/>
            <w:vAlign w:val="center"/>
            <w:hideMark/>
          </w:tcPr>
          <w:p w14:paraId="4F930C45"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0.2450</w:t>
            </w:r>
          </w:p>
        </w:tc>
      </w:tr>
      <w:tr w:rsidR="00741D67" w:rsidRPr="006B5B91" w14:paraId="5F610239" w14:textId="77777777" w:rsidTr="00777877">
        <w:trPr>
          <w:trHeight w:val="300"/>
        </w:trPr>
        <w:tc>
          <w:tcPr>
            <w:tcW w:w="3215" w:type="dxa"/>
            <w:tcBorders>
              <w:top w:val="nil"/>
              <w:left w:val="nil"/>
              <w:bottom w:val="nil"/>
              <w:right w:val="nil"/>
            </w:tcBorders>
            <w:shd w:val="clear" w:color="auto" w:fill="auto"/>
            <w:noWrap/>
            <w:vAlign w:val="center"/>
            <w:hideMark/>
          </w:tcPr>
          <w:p w14:paraId="6148FABF" w14:textId="77777777" w:rsidR="00741D67" w:rsidRPr="003C0FD3" w:rsidRDefault="00741D67" w:rsidP="00741D67">
            <w:pPr>
              <w:spacing w:line="240" w:lineRule="auto"/>
              <w:jc w:val="center"/>
              <w:rPr>
                <w:rFonts w:eastAsia="Times New Roman" w:cs="Times New Roman"/>
                <w:color w:val="000000"/>
                <w:lang w:val="en-CA" w:eastAsia="en-CA"/>
              </w:rPr>
            </w:pPr>
          </w:p>
        </w:tc>
        <w:tc>
          <w:tcPr>
            <w:tcW w:w="2098" w:type="dxa"/>
            <w:tcBorders>
              <w:top w:val="nil"/>
              <w:left w:val="nil"/>
              <w:bottom w:val="nil"/>
              <w:right w:val="nil"/>
            </w:tcBorders>
            <w:shd w:val="clear" w:color="auto" w:fill="auto"/>
            <w:noWrap/>
            <w:vAlign w:val="center"/>
            <w:hideMark/>
          </w:tcPr>
          <w:p w14:paraId="47C85677"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(0.0706)</w:t>
            </w:r>
          </w:p>
        </w:tc>
        <w:tc>
          <w:tcPr>
            <w:tcW w:w="1316" w:type="dxa"/>
            <w:tcBorders>
              <w:top w:val="nil"/>
              <w:left w:val="nil"/>
              <w:bottom w:val="nil"/>
              <w:right w:val="nil"/>
            </w:tcBorders>
            <w:shd w:val="clear" w:color="auto" w:fill="auto"/>
            <w:noWrap/>
            <w:vAlign w:val="center"/>
            <w:hideMark/>
          </w:tcPr>
          <w:p w14:paraId="6BA9EE57"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(0.0544)</w:t>
            </w:r>
          </w:p>
        </w:tc>
        <w:tc>
          <w:tcPr>
            <w:tcW w:w="2869" w:type="dxa"/>
            <w:tcBorders>
              <w:top w:val="nil"/>
              <w:left w:val="nil"/>
              <w:bottom w:val="nil"/>
              <w:right w:val="nil"/>
            </w:tcBorders>
            <w:shd w:val="clear" w:color="auto" w:fill="auto"/>
            <w:noWrap/>
            <w:vAlign w:val="center"/>
            <w:hideMark/>
          </w:tcPr>
          <w:p w14:paraId="71297B02"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6B5B91" w14:paraId="551AC3DA" w14:textId="77777777" w:rsidTr="00777877">
        <w:trPr>
          <w:trHeight w:val="315"/>
        </w:trPr>
        <w:tc>
          <w:tcPr>
            <w:tcW w:w="3215" w:type="dxa"/>
            <w:tcBorders>
              <w:top w:val="nil"/>
              <w:left w:val="nil"/>
              <w:bottom w:val="nil"/>
              <w:right w:val="nil"/>
            </w:tcBorders>
            <w:shd w:val="clear" w:color="auto" w:fill="auto"/>
            <w:noWrap/>
            <w:vAlign w:val="center"/>
            <w:hideMark/>
          </w:tcPr>
          <w:p w14:paraId="279F2059"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xml:space="preserve"> </w:t>
            </w:r>
          </w:p>
        </w:tc>
        <w:tc>
          <w:tcPr>
            <w:tcW w:w="2098" w:type="dxa"/>
            <w:tcBorders>
              <w:top w:val="nil"/>
              <w:left w:val="nil"/>
              <w:bottom w:val="nil"/>
              <w:right w:val="nil"/>
            </w:tcBorders>
            <w:shd w:val="clear" w:color="auto" w:fill="auto"/>
            <w:noWrap/>
            <w:vAlign w:val="center"/>
            <w:hideMark/>
          </w:tcPr>
          <w:p w14:paraId="1EA8AF6E" w14:textId="77777777" w:rsidR="00741D67" w:rsidRPr="003C0FD3" w:rsidRDefault="00741D67" w:rsidP="00741D67">
            <w:pPr>
              <w:spacing w:line="240" w:lineRule="auto"/>
              <w:rPr>
                <w:rFonts w:eastAsia="Times New Roman" w:cs="Times New Roman"/>
                <w:color w:val="000000"/>
                <w:lang w:val="en-CA" w:eastAsia="en-CA"/>
              </w:rPr>
            </w:pPr>
          </w:p>
        </w:tc>
        <w:tc>
          <w:tcPr>
            <w:tcW w:w="1316" w:type="dxa"/>
            <w:tcBorders>
              <w:top w:val="nil"/>
              <w:left w:val="nil"/>
              <w:bottom w:val="nil"/>
              <w:right w:val="nil"/>
            </w:tcBorders>
            <w:shd w:val="clear" w:color="auto" w:fill="auto"/>
            <w:noWrap/>
            <w:vAlign w:val="center"/>
            <w:hideMark/>
          </w:tcPr>
          <w:p w14:paraId="485ED22C"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869" w:type="dxa"/>
            <w:tcBorders>
              <w:top w:val="nil"/>
              <w:left w:val="nil"/>
              <w:bottom w:val="nil"/>
              <w:right w:val="nil"/>
            </w:tcBorders>
            <w:shd w:val="clear" w:color="auto" w:fill="auto"/>
            <w:noWrap/>
            <w:vAlign w:val="center"/>
            <w:hideMark/>
          </w:tcPr>
          <w:p w14:paraId="78B1B933" w14:textId="77777777" w:rsidR="00741D67" w:rsidRPr="003C0FD3" w:rsidRDefault="00741D67" w:rsidP="00741D67">
            <w:pPr>
              <w:spacing w:line="240" w:lineRule="auto"/>
              <w:jc w:val="center"/>
              <w:rPr>
                <w:rFonts w:eastAsia="Times New Roman" w:cs="Times New Roman"/>
                <w:sz w:val="20"/>
                <w:szCs w:val="20"/>
                <w:lang w:val="en-CA" w:eastAsia="en-CA"/>
              </w:rPr>
            </w:pPr>
          </w:p>
        </w:tc>
      </w:tr>
      <w:tr w:rsidR="00741D67" w:rsidRPr="006B5B91" w14:paraId="25C03599" w14:textId="77777777" w:rsidTr="00777877">
        <w:trPr>
          <w:trHeight w:val="300"/>
        </w:trPr>
        <w:tc>
          <w:tcPr>
            <w:tcW w:w="3215" w:type="dxa"/>
            <w:tcBorders>
              <w:top w:val="nil"/>
              <w:left w:val="nil"/>
              <w:bottom w:val="nil"/>
              <w:right w:val="nil"/>
            </w:tcBorders>
            <w:shd w:val="clear" w:color="auto" w:fill="auto"/>
            <w:noWrap/>
            <w:vAlign w:val="center"/>
            <w:hideMark/>
          </w:tcPr>
          <w:p w14:paraId="7ED85271"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10y to 2y spread</w:t>
            </w:r>
          </w:p>
        </w:tc>
        <w:tc>
          <w:tcPr>
            <w:tcW w:w="2098" w:type="dxa"/>
            <w:tcBorders>
              <w:top w:val="nil"/>
              <w:left w:val="nil"/>
              <w:bottom w:val="nil"/>
              <w:right w:val="nil"/>
            </w:tcBorders>
            <w:shd w:val="clear" w:color="auto" w:fill="auto"/>
            <w:noWrap/>
            <w:vAlign w:val="bottom"/>
            <w:hideMark/>
          </w:tcPr>
          <w:p w14:paraId="4BDFA77F"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0.6717</w:t>
            </w:r>
          </w:p>
        </w:tc>
        <w:tc>
          <w:tcPr>
            <w:tcW w:w="1316" w:type="dxa"/>
            <w:tcBorders>
              <w:top w:val="nil"/>
              <w:left w:val="nil"/>
              <w:bottom w:val="nil"/>
              <w:right w:val="nil"/>
            </w:tcBorders>
            <w:shd w:val="clear" w:color="auto" w:fill="auto"/>
            <w:noWrap/>
            <w:vAlign w:val="center"/>
            <w:hideMark/>
          </w:tcPr>
          <w:p w14:paraId="5E298315"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0.3905</w:t>
            </w:r>
            <w:r w:rsidRPr="003C0FD3">
              <w:rPr>
                <w:rFonts w:eastAsia="Times New Roman" w:cs="Times New Roman"/>
                <w:color w:val="000000"/>
                <w:vertAlign w:val="superscript"/>
                <w:lang w:val="en-CA" w:eastAsia="en-CA"/>
              </w:rPr>
              <w:t>***</w:t>
            </w:r>
          </w:p>
        </w:tc>
        <w:tc>
          <w:tcPr>
            <w:tcW w:w="2869" w:type="dxa"/>
            <w:tcBorders>
              <w:top w:val="nil"/>
              <w:left w:val="nil"/>
              <w:bottom w:val="nil"/>
              <w:right w:val="nil"/>
            </w:tcBorders>
            <w:shd w:val="clear" w:color="auto" w:fill="auto"/>
            <w:noWrap/>
            <w:vAlign w:val="center"/>
            <w:hideMark/>
          </w:tcPr>
          <w:p w14:paraId="7996B58F"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0.1239</w:t>
            </w:r>
          </w:p>
        </w:tc>
      </w:tr>
      <w:tr w:rsidR="00741D67" w:rsidRPr="006B5B91" w14:paraId="3F659195" w14:textId="77777777" w:rsidTr="00777877">
        <w:trPr>
          <w:trHeight w:val="300"/>
        </w:trPr>
        <w:tc>
          <w:tcPr>
            <w:tcW w:w="3215" w:type="dxa"/>
            <w:tcBorders>
              <w:top w:val="nil"/>
              <w:left w:val="nil"/>
              <w:bottom w:val="nil"/>
              <w:right w:val="nil"/>
            </w:tcBorders>
            <w:shd w:val="clear" w:color="auto" w:fill="auto"/>
            <w:noWrap/>
            <w:vAlign w:val="center"/>
            <w:hideMark/>
          </w:tcPr>
          <w:p w14:paraId="59D4F1CB" w14:textId="77777777" w:rsidR="00741D67" w:rsidRPr="003C0FD3" w:rsidRDefault="00741D67" w:rsidP="00741D67">
            <w:pPr>
              <w:spacing w:line="240" w:lineRule="auto"/>
              <w:jc w:val="center"/>
              <w:rPr>
                <w:rFonts w:eastAsia="Times New Roman" w:cs="Times New Roman"/>
                <w:color w:val="000000"/>
                <w:lang w:val="en-CA" w:eastAsia="en-CA"/>
              </w:rPr>
            </w:pPr>
          </w:p>
        </w:tc>
        <w:tc>
          <w:tcPr>
            <w:tcW w:w="2098" w:type="dxa"/>
            <w:tcBorders>
              <w:top w:val="nil"/>
              <w:left w:val="nil"/>
              <w:bottom w:val="nil"/>
              <w:right w:val="nil"/>
            </w:tcBorders>
            <w:shd w:val="clear" w:color="auto" w:fill="auto"/>
            <w:noWrap/>
            <w:vAlign w:val="bottom"/>
            <w:hideMark/>
          </w:tcPr>
          <w:p w14:paraId="594CCFF6"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(0.1019)</w:t>
            </w:r>
          </w:p>
        </w:tc>
        <w:tc>
          <w:tcPr>
            <w:tcW w:w="1316" w:type="dxa"/>
            <w:tcBorders>
              <w:top w:val="nil"/>
              <w:left w:val="nil"/>
              <w:bottom w:val="nil"/>
              <w:right w:val="nil"/>
            </w:tcBorders>
            <w:shd w:val="clear" w:color="auto" w:fill="auto"/>
            <w:noWrap/>
            <w:vAlign w:val="center"/>
            <w:hideMark/>
          </w:tcPr>
          <w:p w14:paraId="72D2FAB0"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(0.0914)</w:t>
            </w:r>
          </w:p>
        </w:tc>
        <w:tc>
          <w:tcPr>
            <w:tcW w:w="2869" w:type="dxa"/>
            <w:tcBorders>
              <w:top w:val="nil"/>
              <w:left w:val="nil"/>
              <w:bottom w:val="nil"/>
              <w:right w:val="nil"/>
            </w:tcBorders>
            <w:shd w:val="clear" w:color="auto" w:fill="auto"/>
            <w:noWrap/>
            <w:vAlign w:val="center"/>
            <w:hideMark/>
          </w:tcPr>
          <w:p w14:paraId="22E8287A"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6B5B91" w14:paraId="0548DFBA" w14:textId="77777777" w:rsidTr="00777877">
        <w:trPr>
          <w:trHeight w:val="300"/>
        </w:trPr>
        <w:tc>
          <w:tcPr>
            <w:tcW w:w="3215" w:type="dxa"/>
            <w:tcBorders>
              <w:top w:val="nil"/>
              <w:left w:val="nil"/>
              <w:bottom w:val="nil"/>
              <w:right w:val="nil"/>
            </w:tcBorders>
            <w:shd w:val="clear" w:color="auto" w:fill="auto"/>
            <w:noWrap/>
            <w:vAlign w:val="center"/>
            <w:hideMark/>
          </w:tcPr>
          <w:p w14:paraId="368EE2FC"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098" w:type="dxa"/>
            <w:tcBorders>
              <w:top w:val="nil"/>
              <w:left w:val="nil"/>
              <w:bottom w:val="nil"/>
              <w:right w:val="nil"/>
            </w:tcBorders>
            <w:shd w:val="clear" w:color="auto" w:fill="auto"/>
            <w:noWrap/>
            <w:vAlign w:val="center"/>
            <w:hideMark/>
          </w:tcPr>
          <w:p w14:paraId="22A6BFEE" w14:textId="77777777" w:rsidR="00741D67" w:rsidRPr="003C0FD3" w:rsidRDefault="00741D67" w:rsidP="00741D67">
            <w:pPr>
              <w:spacing w:line="240" w:lineRule="auto"/>
              <w:rPr>
                <w:rFonts w:eastAsia="Times New Roman" w:cs="Times New Roman"/>
                <w:sz w:val="20"/>
                <w:szCs w:val="20"/>
                <w:lang w:val="en-CA" w:eastAsia="en-CA"/>
              </w:rPr>
            </w:pPr>
          </w:p>
        </w:tc>
        <w:tc>
          <w:tcPr>
            <w:tcW w:w="1316" w:type="dxa"/>
            <w:tcBorders>
              <w:top w:val="nil"/>
              <w:left w:val="nil"/>
              <w:bottom w:val="nil"/>
              <w:right w:val="nil"/>
            </w:tcBorders>
            <w:shd w:val="clear" w:color="auto" w:fill="auto"/>
            <w:noWrap/>
            <w:vAlign w:val="center"/>
            <w:hideMark/>
          </w:tcPr>
          <w:p w14:paraId="721DD3E4"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869" w:type="dxa"/>
            <w:tcBorders>
              <w:top w:val="nil"/>
              <w:left w:val="nil"/>
              <w:bottom w:val="nil"/>
              <w:right w:val="nil"/>
            </w:tcBorders>
            <w:shd w:val="clear" w:color="auto" w:fill="auto"/>
            <w:noWrap/>
            <w:vAlign w:val="center"/>
            <w:hideMark/>
          </w:tcPr>
          <w:p w14:paraId="7D56C823" w14:textId="77777777" w:rsidR="00741D67" w:rsidRPr="003C0FD3" w:rsidRDefault="00741D67" w:rsidP="00741D67">
            <w:pPr>
              <w:spacing w:line="240" w:lineRule="auto"/>
              <w:jc w:val="center"/>
              <w:rPr>
                <w:rFonts w:eastAsia="Times New Roman" w:cs="Times New Roman"/>
                <w:sz w:val="20"/>
                <w:szCs w:val="20"/>
                <w:lang w:val="en-CA" w:eastAsia="en-CA"/>
              </w:rPr>
            </w:pPr>
          </w:p>
        </w:tc>
      </w:tr>
      <w:tr w:rsidR="00741D67" w:rsidRPr="006B5B91" w14:paraId="4A7010EA" w14:textId="77777777" w:rsidTr="00777877">
        <w:trPr>
          <w:trHeight w:val="300"/>
        </w:trPr>
        <w:tc>
          <w:tcPr>
            <w:tcW w:w="3215" w:type="dxa"/>
            <w:tcBorders>
              <w:top w:val="nil"/>
              <w:left w:val="nil"/>
              <w:bottom w:val="nil"/>
              <w:right w:val="nil"/>
            </w:tcBorders>
            <w:shd w:val="clear" w:color="auto" w:fill="auto"/>
            <w:noWrap/>
            <w:vAlign w:val="center"/>
            <w:hideMark/>
          </w:tcPr>
          <w:p w14:paraId="57BBA388"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10y to 3m spread</w:t>
            </w:r>
          </w:p>
        </w:tc>
        <w:tc>
          <w:tcPr>
            <w:tcW w:w="2098" w:type="dxa"/>
            <w:tcBorders>
              <w:top w:val="nil"/>
              <w:left w:val="nil"/>
              <w:bottom w:val="nil"/>
              <w:right w:val="nil"/>
            </w:tcBorders>
            <w:shd w:val="clear" w:color="auto" w:fill="auto"/>
            <w:noWrap/>
            <w:vAlign w:val="center"/>
            <w:hideMark/>
          </w:tcPr>
          <w:p w14:paraId="547D84C0"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0.6495</w:t>
            </w:r>
          </w:p>
        </w:tc>
        <w:tc>
          <w:tcPr>
            <w:tcW w:w="1316" w:type="dxa"/>
            <w:tcBorders>
              <w:top w:val="nil"/>
              <w:left w:val="nil"/>
              <w:bottom w:val="nil"/>
              <w:right w:val="nil"/>
            </w:tcBorders>
            <w:shd w:val="clear" w:color="auto" w:fill="auto"/>
            <w:noWrap/>
            <w:vAlign w:val="center"/>
            <w:hideMark/>
          </w:tcPr>
          <w:p w14:paraId="6E5AAC9D"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0.2860</w:t>
            </w:r>
            <w:r w:rsidRPr="003C0FD3">
              <w:rPr>
                <w:rFonts w:eastAsia="Times New Roman" w:cs="Times New Roman"/>
                <w:color w:val="000000"/>
                <w:vertAlign w:val="superscript"/>
                <w:lang w:val="en-CA" w:eastAsia="en-CA"/>
              </w:rPr>
              <w:t>***</w:t>
            </w:r>
          </w:p>
        </w:tc>
        <w:tc>
          <w:tcPr>
            <w:tcW w:w="2869" w:type="dxa"/>
            <w:tcBorders>
              <w:top w:val="nil"/>
              <w:left w:val="nil"/>
              <w:bottom w:val="nil"/>
              <w:right w:val="nil"/>
            </w:tcBorders>
            <w:shd w:val="clear" w:color="auto" w:fill="auto"/>
            <w:noWrap/>
            <w:vAlign w:val="center"/>
            <w:hideMark/>
          </w:tcPr>
          <w:p w14:paraId="279CEE56"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6B5B91" w14:paraId="43DD7E1C" w14:textId="77777777" w:rsidTr="00777877">
        <w:trPr>
          <w:trHeight w:val="300"/>
        </w:trPr>
        <w:tc>
          <w:tcPr>
            <w:tcW w:w="3215" w:type="dxa"/>
            <w:tcBorders>
              <w:top w:val="nil"/>
              <w:left w:val="nil"/>
              <w:bottom w:val="nil"/>
              <w:right w:val="nil"/>
            </w:tcBorders>
            <w:shd w:val="clear" w:color="auto" w:fill="auto"/>
            <w:noWrap/>
            <w:vAlign w:val="center"/>
            <w:hideMark/>
          </w:tcPr>
          <w:p w14:paraId="4845B946"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098" w:type="dxa"/>
            <w:tcBorders>
              <w:top w:val="nil"/>
              <w:left w:val="nil"/>
              <w:bottom w:val="nil"/>
              <w:right w:val="nil"/>
            </w:tcBorders>
            <w:shd w:val="clear" w:color="auto" w:fill="auto"/>
            <w:noWrap/>
            <w:vAlign w:val="center"/>
            <w:hideMark/>
          </w:tcPr>
          <w:p w14:paraId="35E18B38"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(0.0877)</w:t>
            </w:r>
          </w:p>
        </w:tc>
        <w:tc>
          <w:tcPr>
            <w:tcW w:w="1316" w:type="dxa"/>
            <w:tcBorders>
              <w:top w:val="nil"/>
              <w:left w:val="nil"/>
              <w:bottom w:val="nil"/>
              <w:right w:val="nil"/>
            </w:tcBorders>
            <w:shd w:val="clear" w:color="auto" w:fill="auto"/>
            <w:noWrap/>
            <w:vAlign w:val="center"/>
            <w:hideMark/>
          </w:tcPr>
          <w:p w14:paraId="28A6C68D"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(0.0492)</w:t>
            </w:r>
          </w:p>
        </w:tc>
        <w:tc>
          <w:tcPr>
            <w:tcW w:w="2869" w:type="dxa"/>
            <w:tcBorders>
              <w:top w:val="nil"/>
              <w:left w:val="nil"/>
              <w:bottom w:val="nil"/>
              <w:right w:val="nil"/>
            </w:tcBorders>
            <w:shd w:val="clear" w:color="auto" w:fill="auto"/>
            <w:noWrap/>
            <w:vAlign w:val="center"/>
            <w:hideMark/>
          </w:tcPr>
          <w:p w14:paraId="211BD595"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0.2079</w:t>
            </w:r>
          </w:p>
        </w:tc>
      </w:tr>
      <w:tr w:rsidR="00741D67" w:rsidRPr="006B5B91" w14:paraId="6926A2A6" w14:textId="77777777" w:rsidTr="00777877">
        <w:trPr>
          <w:trHeight w:val="315"/>
        </w:trPr>
        <w:tc>
          <w:tcPr>
            <w:tcW w:w="3215" w:type="dxa"/>
            <w:tcBorders>
              <w:top w:val="nil"/>
              <w:left w:val="nil"/>
              <w:bottom w:val="double" w:sz="6" w:space="0" w:color="auto"/>
              <w:right w:val="nil"/>
            </w:tcBorders>
            <w:shd w:val="clear" w:color="auto" w:fill="auto"/>
            <w:noWrap/>
            <w:vAlign w:val="center"/>
            <w:hideMark/>
          </w:tcPr>
          <w:p w14:paraId="233BCEDE"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c>
          <w:tcPr>
            <w:tcW w:w="2098" w:type="dxa"/>
            <w:tcBorders>
              <w:top w:val="nil"/>
              <w:left w:val="nil"/>
              <w:bottom w:val="double" w:sz="6" w:space="0" w:color="auto"/>
              <w:right w:val="nil"/>
            </w:tcBorders>
            <w:shd w:val="clear" w:color="auto" w:fill="auto"/>
            <w:noWrap/>
            <w:vAlign w:val="center"/>
            <w:hideMark/>
          </w:tcPr>
          <w:p w14:paraId="487BD431"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c>
          <w:tcPr>
            <w:tcW w:w="1316" w:type="dxa"/>
            <w:tcBorders>
              <w:top w:val="nil"/>
              <w:left w:val="nil"/>
              <w:bottom w:val="double" w:sz="6" w:space="0" w:color="auto"/>
              <w:right w:val="nil"/>
            </w:tcBorders>
            <w:shd w:val="clear" w:color="auto" w:fill="auto"/>
            <w:noWrap/>
            <w:vAlign w:val="center"/>
            <w:hideMark/>
          </w:tcPr>
          <w:p w14:paraId="518848D2"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 </w:t>
            </w:r>
          </w:p>
        </w:tc>
        <w:tc>
          <w:tcPr>
            <w:tcW w:w="2869" w:type="dxa"/>
            <w:tcBorders>
              <w:top w:val="nil"/>
              <w:left w:val="nil"/>
              <w:bottom w:val="double" w:sz="6" w:space="0" w:color="auto"/>
              <w:right w:val="nil"/>
            </w:tcBorders>
            <w:shd w:val="clear" w:color="auto" w:fill="auto"/>
            <w:noWrap/>
            <w:vAlign w:val="bottom"/>
            <w:hideMark/>
          </w:tcPr>
          <w:p w14:paraId="745E8524"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r>
      <w:tr w:rsidR="00741D67" w:rsidRPr="006B5B91" w14:paraId="4DDB5FC6" w14:textId="77777777" w:rsidTr="00777877">
        <w:trPr>
          <w:trHeight w:val="315"/>
        </w:trPr>
        <w:tc>
          <w:tcPr>
            <w:tcW w:w="9498" w:type="dxa"/>
            <w:gridSpan w:val="4"/>
            <w:tcBorders>
              <w:top w:val="nil"/>
              <w:left w:val="nil"/>
              <w:bottom w:val="nil"/>
            </w:tcBorders>
            <w:shd w:val="clear" w:color="auto" w:fill="auto"/>
            <w:noWrap/>
            <w:vAlign w:val="bottom"/>
            <w:hideMark/>
          </w:tcPr>
          <w:p w14:paraId="0A3A9BCA" w14:textId="7FA36364" w:rsidR="00741D67" w:rsidRPr="003C0FD3" w:rsidRDefault="00741D67" w:rsidP="00741D67">
            <w:pPr>
              <w:spacing w:line="240" w:lineRule="auto"/>
              <w:rPr>
                <w:rFonts w:cs="Times New Roman"/>
                <w:color w:val="000000"/>
              </w:rPr>
            </w:pPr>
            <w:r w:rsidRPr="003C0FD3">
              <w:rPr>
                <w:rFonts w:cs="Times New Roman"/>
                <w:color w:val="000000"/>
              </w:rPr>
              <w:t xml:space="preserve">*Notes: Standard errors are in </w:t>
            </w:r>
            <w:r w:rsidR="00CD5B25">
              <w:rPr>
                <w:rFonts w:cs="Times New Roman"/>
                <w:color w:val="000000"/>
              </w:rPr>
              <w:t>parentheses</w:t>
            </w:r>
            <w:r w:rsidRPr="003C0FD3">
              <w:rPr>
                <w:rFonts w:cs="Times New Roman"/>
                <w:color w:val="000000"/>
              </w:rPr>
              <w:t>. The level of significance is indicated by the number of stars: * significant at 10%; ** significant at 5%; *** significant at 1%. Number of observations: 131.</w:t>
            </w:r>
          </w:p>
          <w:p w14:paraId="057753ED" w14:textId="77777777" w:rsidR="00741D67" w:rsidRPr="003C0FD3" w:rsidRDefault="00741D67" w:rsidP="00741D67">
            <w:pPr>
              <w:spacing w:line="240" w:lineRule="auto"/>
              <w:rPr>
                <w:rFonts w:eastAsia="Times New Roman" w:cs="Times New Roman"/>
                <w:sz w:val="20"/>
                <w:szCs w:val="20"/>
                <w:lang w:val="en-CA" w:eastAsia="en-CA"/>
              </w:rPr>
            </w:pPr>
          </w:p>
        </w:tc>
      </w:tr>
    </w:tbl>
    <w:p w14:paraId="73F5FD01" w14:textId="77777777" w:rsidR="00FE1C2F" w:rsidRPr="006B5B91" w:rsidRDefault="00FE1C2F" w:rsidP="00907239">
      <w:pPr>
        <w:rPr>
          <w:rFonts w:cs="Times New Roman"/>
          <w:lang w:val="en-CA"/>
        </w:rPr>
      </w:pPr>
    </w:p>
    <w:p w14:paraId="02742FC8" w14:textId="77777777" w:rsidR="003D4253" w:rsidRDefault="003D4253" w:rsidP="00FD0B8D">
      <w:pPr>
        <w:spacing w:line="480" w:lineRule="auto"/>
        <w:ind w:firstLine="720"/>
        <w:rPr>
          <w:rFonts w:cs="Times New Roman"/>
          <w:lang w:val="en-CA"/>
        </w:rPr>
      </w:pPr>
    </w:p>
    <w:p w14:paraId="3EF7F38B" w14:textId="119E70ED" w:rsidR="00C01F55" w:rsidRPr="006B5B91" w:rsidRDefault="00C01F55" w:rsidP="00FD0B8D">
      <w:pPr>
        <w:spacing w:line="480" w:lineRule="auto"/>
        <w:ind w:firstLine="720"/>
        <w:rPr>
          <w:rFonts w:cs="Times New Roman"/>
          <w:lang w:val="en-CA"/>
        </w:rPr>
      </w:pPr>
      <w:r w:rsidRPr="00475E29">
        <w:rPr>
          <w:rFonts w:cs="Times New Roman"/>
          <w:lang w:val="en-CA"/>
        </w:rPr>
        <w:t>These results indicate that yield spreads, including the near-term forward spread, are useful for signal</w:t>
      </w:r>
      <w:r w:rsidR="00562AD7" w:rsidRPr="00475E29">
        <w:rPr>
          <w:rFonts w:cs="Times New Roman"/>
          <w:lang w:val="en-CA"/>
        </w:rPr>
        <w:t>l</w:t>
      </w:r>
      <w:r w:rsidRPr="00475E29">
        <w:rPr>
          <w:rFonts w:cs="Times New Roman"/>
          <w:lang w:val="en-CA"/>
        </w:rPr>
        <w:t xml:space="preserve">ing future real GDP changes. </w:t>
      </w:r>
      <w:r w:rsidR="004518ED" w:rsidRPr="00475E29">
        <w:rPr>
          <w:rFonts w:cs="Times New Roman"/>
          <w:lang w:val="en-CA"/>
        </w:rPr>
        <w:t>Although t</w:t>
      </w:r>
      <w:r w:rsidRPr="00475E29">
        <w:rPr>
          <w:rFonts w:cs="Times New Roman"/>
          <w:lang w:val="en-CA"/>
        </w:rPr>
        <w:t xml:space="preserve">he </w:t>
      </w:r>
      <w:r w:rsidR="004518ED" w:rsidRPr="00475E29">
        <w:rPr>
          <w:rFonts w:cs="Times New Roman"/>
          <w:lang w:val="en-CA"/>
        </w:rPr>
        <w:t>estimated coefficient of the 10y-2y</w:t>
      </w:r>
      <w:r w:rsidR="00F4552E" w:rsidRPr="00475E29">
        <w:rPr>
          <w:rFonts w:cs="Times New Roman"/>
          <w:lang w:val="en-CA"/>
        </w:rPr>
        <w:t xml:space="preserve"> yield</w:t>
      </w:r>
      <w:r w:rsidR="004518ED" w:rsidRPr="00475E29">
        <w:rPr>
          <w:rFonts w:cs="Times New Roman"/>
          <w:lang w:val="en-CA"/>
        </w:rPr>
        <w:t xml:space="preserve"> spread is higher than the </w:t>
      </w:r>
      <w:r w:rsidRPr="00475E29">
        <w:rPr>
          <w:rFonts w:cs="Times New Roman"/>
          <w:lang w:val="en-CA"/>
        </w:rPr>
        <w:t>near-term forward spread</w:t>
      </w:r>
      <w:r w:rsidR="004518ED" w:rsidRPr="00475E29">
        <w:rPr>
          <w:rFonts w:cs="Times New Roman"/>
          <w:lang w:val="en-CA"/>
        </w:rPr>
        <w:t>, t</w:t>
      </w:r>
      <w:r w:rsidR="009B08D8" w:rsidRPr="00475E29">
        <w:rPr>
          <w:rFonts w:cs="Times New Roman"/>
          <w:lang w:val="en-CA"/>
        </w:rPr>
        <w:t>he R</w:t>
      </w:r>
      <w:r w:rsidR="0023613D" w:rsidRPr="00475E29">
        <w:rPr>
          <w:rFonts w:cs="Times New Roman"/>
          <w:vertAlign w:val="superscript"/>
          <w:lang w:val="en-CA"/>
        </w:rPr>
        <w:t>2</w:t>
      </w:r>
      <w:r w:rsidR="009B08D8" w:rsidRPr="00475E29">
        <w:rPr>
          <w:rFonts w:cs="Times New Roman"/>
          <w:lang w:val="en-CA"/>
        </w:rPr>
        <w:t xml:space="preserve"> values show that the </w:t>
      </w:r>
      <w:r w:rsidR="0061111C" w:rsidRPr="00475E29">
        <w:rPr>
          <w:rFonts w:cs="Times New Roman"/>
          <w:lang w:val="en-CA"/>
        </w:rPr>
        <w:t xml:space="preserve">near-term forward </w:t>
      </w:r>
      <w:r w:rsidR="0023613D" w:rsidRPr="00475E29">
        <w:rPr>
          <w:rFonts w:cs="Times New Roman"/>
          <w:lang w:val="en-CA"/>
        </w:rPr>
        <w:t>spread</w:t>
      </w:r>
      <w:r w:rsidR="009B08D8" w:rsidRPr="00475E29">
        <w:rPr>
          <w:rFonts w:cs="Times New Roman"/>
          <w:lang w:val="en-CA"/>
        </w:rPr>
        <w:t xml:space="preserve"> dominate</w:t>
      </w:r>
      <w:r w:rsidR="004518ED" w:rsidRPr="00475E29">
        <w:rPr>
          <w:rFonts w:cs="Times New Roman"/>
          <w:lang w:val="en-CA"/>
        </w:rPr>
        <w:t>s</w:t>
      </w:r>
      <w:r w:rsidR="009B08D8" w:rsidRPr="00475E29">
        <w:rPr>
          <w:rFonts w:cs="Times New Roman"/>
          <w:lang w:val="en-CA"/>
        </w:rPr>
        <w:t xml:space="preserve"> both long-term spreads in explanatory power</w:t>
      </w:r>
      <w:r w:rsidR="009B08D8" w:rsidRPr="006B5B91">
        <w:rPr>
          <w:rFonts w:cs="Times New Roman"/>
          <w:lang w:val="en-CA"/>
        </w:rPr>
        <w:t>.</w:t>
      </w:r>
    </w:p>
    <w:p w14:paraId="6150A898" w14:textId="77777777" w:rsidR="00574631" w:rsidRPr="006B5B91" w:rsidRDefault="00574631" w:rsidP="009021B5">
      <w:pPr>
        <w:spacing w:line="480" w:lineRule="auto"/>
        <w:rPr>
          <w:rFonts w:cs="Times New Roman"/>
          <w:lang w:val="en-CA"/>
        </w:rPr>
      </w:pPr>
    </w:p>
    <w:p w14:paraId="5B120240" w14:textId="386FABBE" w:rsidR="00CF7629" w:rsidRPr="006B5B91" w:rsidRDefault="005E1A84" w:rsidP="009250E2">
      <w:pPr>
        <w:pStyle w:val="Heading2"/>
        <w:rPr>
          <w:rFonts w:cs="Times New Roman"/>
        </w:rPr>
      </w:pPr>
      <w:bookmarkStart w:id="41" w:name="_Toc37338056"/>
      <w:r>
        <w:rPr>
          <w:rFonts w:cs="Times New Roman"/>
        </w:rPr>
        <w:t>5.3</w:t>
      </w:r>
      <w:r w:rsidR="00CB44C9">
        <w:rPr>
          <w:rFonts w:cs="Times New Roman"/>
        </w:rPr>
        <w:t xml:space="preserve">.  </w:t>
      </w:r>
      <w:r w:rsidR="00CF7629" w:rsidRPr="006B5B91">
        <w:rPr>
          <w:rFonts w:cs="Times New Roman"/>
        </w:rPr>
        <w:t>Inflation Forecasting</w:t>
      </w:r>
      <w:bookmarkEnd w:id="41"/>
    </w:p>
    <w:p w14:paraId="1A7B0F7E" w14:textId="5B26F8D3" w:rsidR="00FE1C2F" w:rsidRPr="006B5B91" w:rsidRDefault="00825BB2" w:rsidP="00FD0B8D">
      <w:pPr>
        <w:spacing w:line="480" w:lineRule="auto"/>
        <w:ind w:firstLine="720"/>
        <w:rPr>
          <w:rFonts w:cs="Times New Roman"/>
          <w:lang w:val="en-CA"/>
        </w:rPr>
      </w:pPr>
      <w:r w:rsidRPr="006B5B91">
        <w:rPr>
          <w:rFonts w:cs="Times New Roman"/>
          <w:lang w:val="en-CA"/>
        </w:rPr>
        <w:t xml:space="preserve">Table </w:t>
      </w:r>
      <w:r w:rsidR="003C0FD3">
        <w:rPr>
          <w:rFonts w:cs="Times New Roman"/>
          <w:lang w:val="en-CA"/>
        </w:rPr>
        <w:t>10</w:t>
      </w:r>
      <w:r w:rsidRPr="006B5B91">
        <w:rPr>
          <w:rFonts w:cs="Times New Roman"/>
          <w:lang w:val="en-CA"/>
        </w:rPr>
        <w:t xml:space="preserve"> shows the results for the linear model forecasting inflation </w:t>
      </w:r>
      <w:r w:rsidR="00F15BA4">
        <w:rPr>
          <w:rFonts w:cs="Times New Roman"/>
          <w:lang w:val="en-CA"/>
        </w:rPr>
        <w:t>12-</w:t>
      </w:r>
      <w:r w:rsidR="008B6F8B" w:rsidRPr="006B5B91">
        <w:rPr>
          <w:rFonts w:cs="Times New Roman"/>
          <w:lang w:val="en-CA"/>
        </w:rPr>
        <w:t>months ahead. The empirical results show that a one</w:t>
      </w:r>
      <w:r w:rsidR="006443D3">
        <w:rPr>
          <w:rFonts w:cs="Times New Roman"/>
          <w:lang w:val="en-CA"/>
        </w:rPr>
        <w:t>-</w:t>
      </w:r>
      <w:r w:rsidR="008B6F8B" w:rsidRPr="006B5B91">
        <w:rPr>
          <w:rFonts w:cs="Times New Roman"/>
          <w:lang w:val="en-CA"/>
        </w:rPr>
        <w:t>percentage</w:t>
      </w:r>
      <w:r w:rsidR="006443D3">
        <w:rPr>
          <w:rFonts w:cs="Times New Roman"/>
          <w:lang w:val="en-CA"/>
        </w:rPr>
        <w:t>-</w:t>
      </w:r>
      <w:r w:rsidR="008B6F8B" w:rsidRPr="006B5B91">
        <w:rPr>
          <w:rFonts w:cs="Times New Roman"/>
          <w:lang w:val="en-CA"/>
        </w:rPr>
        <w:t>point increase in the near-term forward spread is, on average, associated with an increase in inflation by 7.40 percentage points. However, the result is not</w:t>
      </w:r>
      <w:r w:rsidR="00D25062" w:rsidRPr="006B5B91">
        <w:rPr>
          <w:rFonts w:cs="Times New Roman"/>
          <w:lang w:val="en-CA"/>
        </w:rPr>
        <w:t xml:space="preserve"> statistically</w:t>
      </w:r>
      <w:r w:rsidR="008B6F8B" w:rsidRPr="006B5B91">
        <w:rPr>
          <w:rFonts w:cs="Times New Roman"/>
          <w:lang w:val="en-CA"/>
        </w:rPr>
        <w:t xml:space="preserve"> significant. </w:t>
      </w:r>
      <w:r w:rsidR="00D25062" w:rsidRPr="006B5B91">
        <w:rPr>
          <w:rFonts w:cs="Times New Roman"/>
          <w:lang w:val="en-CA"/>
        </w:rPr>
        <w:t xml:space="preserve">Results for the 10y-2y spread and the 10y-3m spread both show </w:t>
      </w:r>
      <w:r w:rsidR="00F15BA4">
        <w:rPr>
          <w:rFonts w:cs="Times New Roman"/>
          <w:lang w:val="en-CA"/>
        </w:rPr>
        <w:t xml:space="preserve">a </w:t>
      </w:r>
      <w:r w:rsidR="00D25062" w:rsidRPr="006B5B91">
        <w:rPr>
          <w:rFonts w:cs="Times New Roman"/>
          <w:lang w:val="en-CA"/>
        </w:rPr>
        <w:t>negative effect</w:t>
      </w:r>
      <w:r w:rsidR="00F15BA4">
        <w:rPr>
          <w:rFonts w:cs="Times New Roman"/>
          <w:lang w:val="en-CA"/>
        </w:rPr>
        <w:t>. A</w:t>
      </w:r>
      <w:r w:rsidR="00D25062" w:rsidRPr="006B5B91">
        <w:rPr>
          <w:rFonts w:cs="Times New Roman"/>
          <w:lang w:val="en-CA"/>
        </w:rPr>
        <w:t xml:space="preserve"> one</w:t>
      </w:r>
      <w:r w:rsidR="006443D3">
        <w:rPr>
          <w:rFonts w:cs="Times New Roman"/>
          <w:lang w:val="en-CA"/>
        </w:rPr>
        <w:t>-</w:t>
      </w:r>
      <w:r w:rsidR="00D25062" w:rsidRPr="006B5B91">
        <w:rPr>
          <w:rFonts w:cs="Times New Roman"/>
          <w:lang w:val="en-CA"/>
        </w:rPr>
        <w:t>percentage</w:t>
      </w:r>
      <w:r w:rsidR="006443D3">
        <w:rPr>
          <w:rFonts w:cs="Times New Roman"/>
          <w:lang w:val="en-CA"/>
        </w:rPr>
        <w:t>-</w:t>
      </w:r>
      <w:r w:rsidR="00D25062" w:rsidRPr="006B5B91">
        <w:rPr>
          <w:rFonts w:cs="Times New Roman"/>
          <w:lang w:val="en-CA"/>
        </w:rPr>
        <w:t xml:space="preserve">point increase in the </w:t>
      </w:r>
      <w:r w:rsidR="00F15BA4">
        <w:rPr>
          <w:rFonts w:cs="Times New Roman"/>
          <w:lang w:val="en-CA"/>
        </w:rPr>
        <w:t xml:space="preserve">10y-2y </w:t>
      </w:r>
      <w:r w:rsidR="00D25062" w:rsidRPr="006B5B91">
        <w:rPr>
          <w:rFonts w:cs="Times New Roman"/>
          <w:lang w:val="en-CA"/>
        </w:rPr>
        <w:t>spread is, on average, associated with a decrease in inflation by 15.85 percentage points</w:t>
      </w:r>
      <w:r w:rsidR="00F15BA4">
        <w:rPr>
          <w:rFonts w:cs="Times New Roman"/>
          <w:lang w:val="en-CA"/>
        </w:rPr>
        <w:t>. Similarly, a one-percentage-</w:t>
      </w:r>
      <w:r w:rsidR="00F15BA4">
        <w:rPr>
          <w:rFonts w:cs="Times New Roman"/>
          <w:lang w:val="en-CA"/>
        </w:rPr>
        <w:lastRenderedPageBreak/>
        <w:t xml:space="preserve">point increase in the 10y-3m spread is, on average, associated with a decrease in inflation by </w:t>
      </w:r>
      <w:r w:rsidR="00D25062" w:rsidRPr="006B5B91">
        <w:rPr>
          <w:rFonts w:cs="Times New Roman"/>
          <w:lang w:val="en-CA"/>
        </w:rPr>
        <w:t>2.17 percentage points</w:t>
      </w:r>
      <w:r w:rsidR="00F15BA4">
        <w:rPr>
          <w:rFonts w:cs="Times New Roman"/>
          <w:lang w:val="en-CA"/>
        </w:rPr>
        <w:t xml:space="preserve">. </w:t>
      </w:r>
      <w:r w:rsidR="00D25062" w:rsidRPr="006B5B91">
        <w:rPr>
          <w:rFonts w:cs="Times New Roman"/>
          <w:lang w:val="en-CA"/>
        </w:rPr>
        <w:t xml:space="preserve">However, only the 10y-2y spread result </w:t>
      </w:r>
      <w:r w:rsidR="00F15BA4">
        <w:rPr>
          <w:rFonts w:cs="Times New Roman"/>
          <w:lang w:val="en-CA"/>
        </w:rPr>
        <w:t>is</w:t>
      </w:r>
      <w:r w:rsidR="00D25062" w:rsidRPr="006B5B91">
        <w:rPr>
          <w:rFonts w:cs="Times New Roman"/>
          <w:lang w:val="en-CA"/>
        </w:rPr>
        <w:t xml:space="preserve"> statistically significant, and at the 5% level of significance.</w:t>
      </w:r>
      <w:r w:rsidR="002C0714" w:rsidRPr="006B5B91">
        <w:rPr>
          <w:rFonts w:cs="Times New Roman"/>
          <w:lang w:val="en-CA"/>
        </w:rPr>
        <w:t xml:space="preserve"> None of the yield spreads </w:t>
      </w:r>
      <w:r w:rsidR="009B5FD6">
        <w:rPr>
          <w:rFonts w:cs="Times New Roman"/>
          <w:lang w:val="en-CA"/>
        </w:rPr>
        <w:t>show</w:t>
      </w:r>
      <w:r w:rsidR="002C0714" w:rsidRPr="006B5B91">
        <w:rPr>
          <w:rFonts w:cs="Times New Roman"/>
          <w:lang w:val="en-CA"/>
        </w:rPr>
        <w:t xml:space="preserve"> strong explanatory power, with R</w:t>
      </w:r>
      <w:r w:rsidR="002C0714" w:rsidRPr="003C0FD3">
        <w:rPr>
          <w:rFonts w:cs="Times New Roman"/>
          <w:vertAlign w:val="superscript"/>
          <w:lang w:val="en-CA"/>
        </w:rPr>
        <w:t>2</w:t>
      </w:r>
      <w:r w:rsidR="003C0FD3" w:rsidRPr="003C0FD3">
        <w:rPr>
          <w:rFonts w:cs="Times New Roman"/>
          <w:lang w:val="en-CA"/>
        </w:rPr>
        <w:t xml:space="preserve"> </w:t>
      </w:r>
      <w:r w:rsidR="003C0FD3">
        <w:rPr>
          <w:rFonts w:cs="Times New Roman"/>
          <w:lang w:val="en-CA"/>
        </w:rPr>
        <w:t xml:space="preserve">values </w:t>
      </w:r>
      <w:r w:rsidR="002C0714" w:rsidRPr="006B5B91">
        <w:rPr>
          <w:rFonts w:cs="Times New Roman"/>
          <w:lang w:val="en-CA"/>
        </w:rPr>
        <w:t>at 5% or below.</w:t>
      </w:r>
    </w:p>
    <w:p w14:paraId="48350C15" w14:textId="77777777" w:rsidR="00D413EC" w:rsidRPr="006B5B91" w:rsidRDefault="00D413EC" w:rsidP="00465597">
      <w:pPr>
        <w:rPr>
          <w:rFonts w:cs="Times New Roman"/>
          <w:lang w:val="en-CA"/>
        </w:rPr>
      </w:pPr>
    </w:p>
    <w:tbl>
      <w:tblPr>
        <w:tblW w:w="9356" w:type="dxa"/>
        <w:tblLook w:val="04A0" w:firstRow="1" w:lastRow="0" w:firstColumn="1" w:lastColumn="0" w:noHBand="0" w:noVBand="1"/>
      </w:tblPr>
      <w:tblGrid>
        <w:gridCol w:w="3136"/>
        <w:gridCol w:w="2784"/>
        <w:gridCol w:w="1297"/>
        <w:gridCol w:w="2139"/>
      </w:tblGrid>
      <w:tr w:rsidR="00B66D60" w:rsidRPr="003C0FD3" w14:paraId="682A3D35" w14:textId="77777777" w:rsidTr="00777877">
        <w:trPr>
          <w:trHeight w:val="315"/>
        </w:trPr>
        <w:tc>
          <w:tcPr>
            <w:tcW w:w="5920" w:type="dxa"/>
            <w:gridSpan w:val="2"/>
            <w:tcBorders>
              <w:top w:val="nil"/>
              <w:left w:val="nil"/>
              <w:bottom w:val="double" w:sz="6" w:space="0" w:color="auto"/>
              <w:right w:val="nil"/>
            </w:tcBorders>
            <w:shd w:val="clear" w:color="auto" w:fill="auto"/>
            <w:noWrap/>
            <w:vAlign w:val="center"/>
            <w:hideMark/>
          </w:tcPr>
          <w:p w14:paraId="10FFC67C" w14:textId="33A4CE6E" w:rsidR="00B66D60" w:rsidRPr="00AD1ECB" w:rsidRDefault="00B35925" w:rsidP="00AD1ECB">
            <w:bookmarkStart w:id="42" w:name="_Toc37261616"/>
            <w:r>
              <w:t xml:space="preserve">Table </w:t>
            </w:r>
            <w:r w:rsidR="009C4B5A">
              <w:fldChar w:fldCharType="begin"/>
            </w:r>
            <w:r w:rsidR="009C4B5A">
              <w:instrText xml:space="preserve"> SEQ Table \* ARABIC </w:instrText>
            </w:r>
            <w:r w:rsidR="009C4B5A">
              <w:fldChar w:fldCharType="separate"/>
            </w:r>
            <w:r w:rsidR="00AC0696">
              <w:rPr>
                <w:noProof/>
              </w:rPr>
              <w:t>10</w:t>
            </w:r>
            <w:bookmarkEnd w:id="42"/>
            <w:r w:rsidR="009C4B5A">
              <w:rPr>
                <w:noProof/>
              </w:rPr>
              <w:fldChar w:fldCharType="end"/>
            </w:r>
          </w:p>
          <w:p w14:paraId="6F3924FC" w14:textId="74574C4C" w:rsidR="00B66D60" w:rsidRPr="00B66D60" w:rsidRDefault="00B86D3A" w:rsidP="00DA6535">
            <w:pPr>
              <w:spacing w:line="240" w:lineRule="auto"/>
              <w:rPr>
                <w:rFonts w:eastAsia="Times New Roman" w:cs="Times New Roman"/>
                <w:i/>
                <w:iCs/>
                <w:color w:val="000000"/>
                <w:lang w:val="en-CA" w:eastAsia="en-CA"/>
              </w:rPr>
            </w:pPr>
            <w:r>
              <w:rPr>
                <w:rFonts w:eastAsia="Times New Roman" w:cs="Times New Roman"/>
                <w:i/>
                <w:iCs/>
                <w:color w:val="000000"/>
                <w:lang w:val="en-CA" w:eastAsia="en-CA"/>
              </w:rPr>
              <w:t xml:space="preserve">Regression Results of </w:t>
            </w:r>
            <w:r w:rsidR="00B66D60" w:rsidRPr="00B66D60">
              <w:rPr>
                <w:rFonts w:eastAsia="Times New Roman" w:cs="Times New Roman"/>
                <w:i/>
                <w:iCs/>
                <w:color w:val="000000"/>
                <w:lang w:val="en-CA" w:eastAsia="en-CA"/>
              </w:rPr>
              <w:t>Inflation Forecasting</w:t>
            </w:r>
          </w:p>
        </w:tc>
        <w:tc>
          <w:tcPr>
            <w:tcW w:w="1297" w:type="dxa"/>
            <w:tcBorders>
              <w:top w:val="nil"/>
              <w:left w:val="nil"/>
              <w:bottom w:val="double" w:sz="6" w:space="0" w:color="auto"/>
              <w:right w:val="nil"/>
            </w:tcBorders>
            <w:shd w:val="clear" w:color="auto" w:fill="auto"/>
            <w:noWrap/>
            <w:vAlign w:val="center"/>
            <w:hideMark/>
          </w:tcPr>
          <w:p w14:paraId="7E4CCC6E" w14:textId="77777777" w:rsidR="00B66D60" w:rsidRPr="003C0FD3" w:rsidRDefault="00B66D60" w:rsidP="00DA6535">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 </w:t>
            </w:r>
          </w:p>
        </w:tc>
        <w:tc>
          <w:tcPr>
            <w:tcW w:w="2139" w:type="dxa"/>
            <w:tcBorders>
              <w:top w:val="nil"/>
              <w:left w:val="nil"/>
              <w:bottom w:val="double" w:sz="6" w:space="0" w:color="auto"/>
              <w:right w:val="nil"/>
            </w:tcBorders>
            <w:shd w:val="clear" w:color="auto" w:fill="auto"/>
            <w:noWrap/>
            <w:vAlign w:val="center"/>
            <w:hideMark/>
          </w:tcPr>
          <w:p w14:paraId="634BA5F3" w14:textId="77777777" w:rsidR="00B66D60" w:rsidRPr="003C0FD3" w:rsidRDefault="00B66D60" w:rsidP="00DA6535">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r>
      <w:tr w:rsidR="00777877" w:rsidRPr="003C0FD3" w14:paraId="5F99288C" w14:textId="77777777" w:rsidTr="00777877">
        <w:trPr>
          <w:trHeight w:val="814"/>
        </w:trPr>
        <w:tc>
          <w:tcPr>
            <w:tcW w:w="9356" w:type="dxa"/>
            <w:gridSpan w:val="4"/>
            <w:tcBorders>
              <w:top w:val="nil"/>
              <w:left w:val="nil"/>
              <w:right w:val="nil"/>
            </w:tcBorders>
            <w:shd w:val="clear" w:color="auto" w:fill="auto"/>
            <w:noWrap/>
            <w:vAlign w:val="bottom"/>
            <w:hideMark/>
          </w:tcPr>
          <w:p w14:paraId="39D3D6E0" w14:textId="0C7CCF7F" w:rsidR="00777877" w:rsidRPr="00777877" w:rsidRDefault="009C4B5A" w:rsidP="00777877">
            <w:pPr>
              <w:spacing w:line="480" w:lineRule="auto"/>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t+m-12→t+m</m:t>
                    </m:r>
                  </m:sub>
                </m:sSub>
                <m:r>
                  <w:rPr>
                    <w:rFonts w:ascii="Cambria Math" w:hAnsi="Cambria Math" w:cs="Times New Roman"/>
                  </w:rPr>
                  <m:t>=α+β*</m:t>
                </m:r>
                <m:sSub>
                  <m:sSubPr>
                    <m:ctrlPr>
                      <w:rPr>
                        <w:rFonts w:ascii="Cambria Math" w:hAnsi="Cambria Math" w:cs="Times New Roman"/>
                        <w:i/>
                      </w:rPr>
                    </m:ctrlPr>
                  </m:sSubPr>
                  <m:e>
                    <m:r>
                      <w:rPr>
                        <w:rFonts w:ascii="Cambria Math" w:hAnsi="Cambria Math" w:cs="Times New Roman"/>
                      </w:rPr>
                      <m:t>SPREAD</m:t>
                    </m:r>
                  </m:e>
                  <m:sub>
                    <m:r>
                      <w:rPr>
                        <w:rFonts w:ascii="Cambria Math" w:hAnsi="Cambria Math" w:cs="Times New Roman"/>
                      </w:rPr>
                      <m:t>t</m:t>
                    </m:r>
                  </m:sub>
                </m:sSub>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inflation</m:t>
                    </m:r>
                  </m:e>
                  <m:sub>
                    <m:r>
                      <w:rPr>
                        <w:rFonts w:ascii="Cambria Math" w:hAnsi="Cambria Math" w:cs="Times New Roman"/>
                      </w:rPr>
                      <m:t>t-12→t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t</m:t>
                    </m:r>
                  </m:sub>
                </m:sSub>
              </m:oMath>
            </m:oMathPara>
          </w:p>
          <w:p w14:paraId="61B10852" w14:textId="77777777" w:rsidR="00777877" w:rsidRPr="003C0FD3" w:rsidRDefault="00777877" w:rsidP="00DA6535">
            <w:pPr>
              <w:spacing w:line="240" w:lineRule="auto"/>
              <w:jc w:val="center"/>
              <w:rPr>
                <w:rFonts w:eastAsia="Times New Roman" w:cs="Times New Roman"/>
                <w:sz w:val="20"/>
                <w:szCs w:val="20"/>
                <w:lang w:val="en-CA" w:eastAsia="en-CA"/>
              </w:rPr>
            </w:pPr>
          </w:p>
        </w:tc>
      </w:tr>
      <w:tr w:rsidR="00DA6535" w:rsidRPr="003C0FD3" w14:paraId="353A96AF" w14:textId="77777777" w:rsidTr="00777877">
        <w:trPr>
          <w:trHeight w:val="300"/>
        </w:trPr>
        <w:tc>
          <w:tcPr>
            <w:tcW w:w="3136" w:type="dxa"/>
            <w:tcBorders>
              <w:top w:val="nil"/>
              <w:left w:val="nil"/>
              <w:bottom w:val="single" w:sz="4" w:space="0" w:color="auto"/>
              <w:right w:val="nil"/>
            </w:tcBorders>
            <w:shd w:val="clear" w:color="auto" w:fill="auto"/>
            <w:noWrap/>
            <w:vAlign w:val="center"/>
            <w:hideMark/>
          </w:tcPr>
          <w:p w14:paraId="11B57F3E" w14:textId="6D69D0AC" w:rsidR="00DA6535" w:rsidRPr="00777877" w:rsidRDefault="00777877" w:rsidP="00DA6535">
            <w:pPr>
              <w:spacing w:line="240" w:lineRule="auto"/>
              <w:rPr>
                <w:rFonts w:eastAsia="Times New Roman" w:cs="Times New Roman"/>
                <w:lang w:val="en-CA" w:eastAsia="en-CA"/>
              </w:rPr>
            </w:pPr>
            <w:r w:rsidRPr="00777877">
              <w:rPr>
                <w:rFonts w:eastAsia="Times New Roman" w:cs="Times New Roman"/>
                <w:lang w:val="en-CA" w:eastAsia="en-CA"/>
              </w:rPr>
              <w:t>Explanatory Variables</w:t>
            </w:r>
          </w:p>
        </w:tc>
        <w:tc>
          <w:tcPr>
            <w:tcW w:w="2784" w:type="dxa"/>
            <w:tcBorders>
              <w:top w:val="nil"/>
              <w:left w:val="nil"/>
              <w:bottom w:val="single" w:sz="4" w:space="0" w:color="auto"/>
              <w:right w:val="nil"/>
            </w:tcBorders>
            <w:shd w:val="clear" w:color="auto" w:fill="auto"/>
            <w:noWrap/>
            <w:vAlign w:val="center"/>
            <w:hideMark/>
          </w:tcPr>
          <w:p w14:paraId="7ADF3514" w14:textId="77777777" w:rsidR="00DA6535" w:rsidRPr="00777877" w:rsidRDefault="00DA6535" w:rsidP="00DA6535">
            <w:pPr>
              <w:spacing w:line="240" w:lineRule="auto"/>
              <w:jc w:val="center"/>
              <w:rPr>
                <w:rFonts w:eastAsia="Times New Roman" w:cs="Times New Roman"/>
                <w:color w:val="000000"/>
                <w:lang w:val="en-CA" w:eastAsia="en-CA"/>
              </w:rPr>
            </w:pPr>
            <w:r w:rsidRPr="00777877">
              <w:rPr>
                <w:rFonts w:eastAsia="Times New Roman" w:cs="Times New Roman"/>
                <w:color w:val="000000"/>
                <w:lang w:val="en-CA" w:eastAsia="en-CA"/>
              </w:rPr>
              <w:t>α</w:t>
            </w:r>
          </w:p>
        </w:tc>
        <w:tc>
          <w:tcPr>
            <w:tcW w:w="1297" w:type="dxa"/>
            <w:tcBorders>
              <w:top w:val="nil"/>
              <w:left w:val="nil"/>
              <w:bottom w:val="single" w:sz="4" w:space="0" w:color="auto"/>
              <w:right w:val="nil"/>
            </w:tcBorders>
            <w:shd w:val="clear" w:color="auto" w:fill="auto"/>
            <w:noWrap/>
            <w:vAlign w:val="center"/>
            <w:hideMark/>
          </w:tcPr>
          <w:p w14:paraId="60042C03" w14:textId="77777777" w:rsidR="00DA6535" w:rsidRPr="00777877" w:rsidRDefault="00DA6535" w:rsidP="00DA6535">
            <w:pPr>
              <w:spacing w:line="240" w:lineRule="auto"/>
              <w:jc w:val="center"/>
              <w:rPr>
                <w:rFonts w:eastAsia="Times New Roman" w:cs="Times New Roman"/>
                <w:color w:val="000000"/>
                <w:lang w:val="en-CA" w:eastAsia="en-CA"/>
              </w:rPr>
            </w:pPr>
            <w:r w:rsidRPr="00777877">
              <w:rPr>
                <w:rFonts w:eastAsia="Times New Roman" w:cs="Times New Roman"/>
                <w:color w:val="000000"/>
                <w:lang w:val="en-CA" w:eastAsia="en-CA"/>
              </w:rPr>
              <w:t>β</w:t>
            </w:r>
          </w:p>
        </w:tc>
        <w:tc>
          <w:tcPr>
            <w:tcW w:w="2139" w:type="dxa"/>
            <w:tcBorders>
              <w:top w:val="nil"/>
              <w:left w:val="nil"/>
              <w:bottom w:val="single" w:sz="4" w:space="0" w:color="auto"/>
              <w:right w:val="nil"/>
            </w:tcBorders>
            <w:shd w:val="clear" w:color="auto" w:fill="auto"/>
            <w:noWrap/>
            <w:vAlign w:val="center"/>
            <w:hideMark/>
          </w:tcPr>
          <w:p w14:paraId="1B1950B9" w14:textId="77777777" w:rsidR="00DA6535" w:rsidRPr="00777877" w:rsidRDefault="00DA6535" w:rsidP="00DA6535">
            <w:pPr>
              <w:spacing w:line="240" w:lineRule="auto"/>
              <w:jc w:val="center"/>
              <w:rPr>
                <w:rFonts w:eastAsia="Times New Roman" w:cs="Times New Roman"/>
                <w:color w:val="000000"/>
                <w:lang w:val="en-CA" w:eastAsia="en-CA"/>
              </w:rPr>
            </w:pPr>
            <w:r w:rsidRPr="00777877">
              <w:rPr>
                <w:rFonts w:eastAsia="Times New Roman" w:cs="Times New Roman"/>
                <w:color w:val="000000"/>
                <w:lang w:val="en-CA" w:eastAsia="en-CA"/>
              </w:rPr>
              <w:t>R</w:t>
            </w:r>
            <w:r w:rsidRPr="00777877">
              <w:rPr>
                <w:rFonts w:eastAsia="Times New Roman" w:cs="Times New Roman"/>
                <w:color w:val="000000"/>
                <w:vertAlign w:val="superscript"/>
                <w:lang w:val="en-CA" w:eastAsia="en-CA"/>
              </w:rPr>
              <w:t>2</w:t>
            </w:r>
          </w:p>
        </w:tc>
      </w:tr>
      <w:tr w:rsidR="00DA6535" w:rsidRPr="003C0FD3" w14:paraId="68A0978D" w14:textId="77777777" w:rsidTr="00777877">
        <w:trPr>
          <w:trHeight w:val="300"/>
        </w:trPr>
        <w:tc>
          <w:tcPr>
            <w:tcW w:w="3136" w:type="dxa"/>
            <w:tcBorders>
              <w:top w:val="single" w:sz="4" w:space="0" w:color="auto"/>
              <w:left w:val="nil"/>
              <w:bottom w:val="nil"/>
              <w:right w:val="nil"/>
            </w:tcBorders>
            <w:shd w:val="clear" w:color="auto" w:fill="auto"/>
            <w:noWrap/>
            <w:vAlign w:val="center"/>
            <w:hideMark/>
          </w:tcPr>
          <w:p w14:paraId="23B38A5F" w14:textId="77777777" w:rsidR="00DA6535" w:rsidRPr="003C0FD3" w:rsidRDefault="00DA6535" w:rsidP="00DA6535">
            <w:pPr>
              <w:spacing w:line="240" w:lineRule="auto"/>
              <w:jc w:val="center"/>
              <w:rPr>
                <w:rFonts w:eastAsia="Times New Roman" w:cs="Times New Roman"/>
                <w:color w:val="000000"/>
                <w:lang w:val="en-CA" w:eastAsia="en-CA"/>
              </w:rPr>
            </w:pPr>
          </w:p>
        </w:tc>
        <w:tc>
          <w:tcPr>
            <w:tcW w:w="2784" w:type="dxa"/>
            <w:tcBorders>
              <w:top w:val="single" w:sz="4" w:space="0" w:color="auto"/>
              <w:left w:val="nil"/>
              <w:bottom w:val="nil"/>
              <w:right w:val="nil"/>
            </w:tcBorders>
            <w:shd w:val="clear" w:color="auto" w:fill="auto"/>
            <w:noWrap/>
            <w:vAlign w:val="center"/>
            <w:hideMark/>
          </w:tcPr>
          <w:p w14:paraId="39D02D56" w14:textId="77777777" w:rsidR="00DA6535" w:rsidRPr="003C0FD3" w:rsidRDefault="00DA6535" w:rsidP="00DA6535">
            <w:pPr>
              <w:spacing w:line="240" w:lineRule="auto"/>
              <w:jc w:val="center"/>
              <w:rPr>
                <w:rFonts w:eastAsia="Times New Roman" w:cs="Times New Roman"/>
                <w:sz w:val="20"/>
                <w:szCs w:val="20"/>
                <w:lang w:val="en-CA" w:eastAsia="en-CA"/>
              </w:rPr>
            </w:pPr>
          </w:p>
        </w:tc>
        <w:tc>
          <w:tcPr>
            <w:tcW w:w="1297" w:type="dxa"/>
            <w:tcBorders>
              <w:top w:val="single" w:sz="4" w:space="0" w:color="auto"/>
              <w:left w:val="nil"/>
              <w:bottom w:val="nil"/>
              <w:right w:val="nil"/>
            </w:tcBorders>
            <w:shd w:val="clear" w:color="auto" w:fill="auto"/>
            <w:noWrap/>
            <w:vAlign w:val="center"/>
            <w:hideMark/>
          </w:tcPr>
          <w:p w14:paraId="02681962" w14:textId="77777777" w:rsidR="00DA6535" w:rsidRPr="003C0FD3" w:rsidRDefault="00DA6535" w:rsidP="00DA6535">
            <w:pPr>
              <w:spacing w:line="240" w:lineRule="auto"/>
              <w:jc w:val="center"/>
              <w:rPr>
                <w:rFonts w:eastAsia="Times New Roman" w:cs="Times New Roman"/>
                <w:sz w:val="20"/>
                <w:szCs w:val="20"/>
                <w:lang w:val="en-CA" w:eastAsia="en-CA"/>
              </w:rPr>
            </w:pPr>
          </w:p>
        </w:tc>
        <w:tc>
          <w:tcPr>
            <w:tcW w:w="2139" w:type="dxa"/>
            <w:tcBorders>
              <w:top w:val="single" w:sz="4" w:space="0" w:color="auto"/>
              <w:left w:val="nil"/>
              <w:bottom w:val="nil"/>
              <w:right w:val="nil"/>
            </w:tcBorders>
            <w:shd w:val="clear" w:color="auto" w:fill="auto"/>
            <w:noWrap/>
            <w:vAlign w:val="bottom"/>
            <w:hideMark/>
          </w:tcPr>
          <w:p w14:paraId="6EA26F9C" w14:textId="77777777" w:rsidR="00DA6535" w:rsidRPr="003C0FD3" w:rsidRDefault="00DA6535" w:rsidP="00DA6535">
            <w:pPr>
              <w:spacing w:line="240" w:lineRule="auto"/>
              <w:jc w:val="center"/>
              <w:rPr>
                <w:rFonts w:eastAsia="Times New Roman" w:cs="Times New Roman"/>
                <w:sz w:val="20"/>
                <w:szCs w:val="20"/>
                <w:lang w:val="en-CA" w:eastAsia="en-CA"/>
              </w:rPr>
            </w:pPr>
          </w:p>
        </w:tc>
      </w:tr>
      <w:tr w:rsidR="00741D67" w:rsidRPr="003C0FD3" w14:paraId="48EB4ACF" w14:textId="77777777" w:rsidTr="00777877">
        <w:trPr>
          <w:trHeight w:val="300"/>
        </w:trPr>
        <w:tc>
          <w:tcPr>
            <w:tcW w:w="3136" w:type="dxa"/>
            <w:tcBorders>
              <w:top w:val="nil"/>
              <w:left w:val="nil"/>
              <w:bottom w:val="nil"/>
              <w:right w:val="nil"/>
            </w:tcBorders>
            <w:shd w:val="clear" w:color="auto" w:fill="auto"/>
            <w:noWrap/>
            <w:vAlign w:val="center"/>
            <w:hideMark/>
          </w:tcPr>
          <w:p w14:paraId="73E2F1EF" w14:textId="395CD91A" w:rsidR="00741D67" w:rsidRPr="003C0FD3" w:rsidRDefault="00741D67" w:rsidP="00741D67">
            <w:pPr>
              <w:spacing w:line="240" w:lineRule="auto"/>
              <w:rPr>
                <w:rFonts w:eastAsia="Times New Roman" w:cs="Times New Roman"/>
                <w:color w:val="000000"/>
                <w:lang w:val="en-CA" w:eastAsia="en-CA"/>
              </w:rPr>
            </w:pPr>
            <w:r>
              <w:rPr>
                <w:rFonts w:eastAsia="Times New Roman" w:cs="Times New Roman"/>
                <w:color w:val="000000"/>
                <w:lang w:val="en-CA" w:eastAsia="en-CA"/>
              </w:rPr>
              <w:t>Near-term forward rate</w:t>
            </w:r>
          </w:p>
        </w:tc>
        <w:tc>
          <w:tcPr>
            <w:tcW w:w="2784" w:type="dxa"/>
            <w:tcBorders>
              <w:top w:val="nil"/>
              <w:left w:val="nil"/>
              <w:bottom w:val="nil"/>
              <w:right w:val="nil"/>
            </w:tcBorders>
            <w:shd w:val="clear" w:color="auto" w:fill="auto"/>
            <w:noWrap/>
            <w:vAlign w:val="center"/>
            <w:hideMark/>
          </w:tcPr>
          <w:p w14:paraId="64684560"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2.0594</w:t>
            </w:r>
          </w:p>
        </w:tc>
        <w:tc>
          <w:tcPr>
            <w:tcW w:w="1297" w:type="dxa"/>
            <w:tcBorders>
              <w:top w:val="nil"/>
              <w:left w:val="nil"/>
              <w:bottom w:val="nil"/>
              <w:right w:val="nil"/>
            </w:tcBorders>
            <w:shd w:val="clear" w:color="auto" w:fill="auto"/>
            <w:noWrap/>
            <w:vAlign w:val="center"/>
            <w:hideMark/>
          </w:tcPr>
          <w:p w14:paraId="0F3A4EEB"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0.0740</w:t>
            </w:r>
          </w:p>
        </w:tc>
        <w:tc>
          <w:tcPr>
            <w:tcW w:w="2139" w:type="dxa"/>
            <w:tcBorders>
              <w:top w:val="nil"/>
              <w:left w:val="nil"/>
              <w:bottom w:val="nil"/>
              <w:right w:val="nil"/>
            </w:tcBorders>
            <w:shd w:val="clear" w:color="auto" w:fill="auto"/>
            <w:noWrap/>
            <w:vAlign w:val="center"/>
            <w:hideMark/>
          </w:tcPr>
          <w:p w14:paraId="4AF23515"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0.0427</w:t>
            </w:r>
          </w:p>
        </w:tc>
      </w:tr>
      <w:tr w:rsidR="00741D67" w:rsidRPr="003C0FD3" w14:paraId="732ED52F" w14:textId="77777777" w:rsidTr="00777877">
        <w:trPr>
          <w:trHeight w:val="300"/>
        </w:trPr>
        <w:tc>
          <w:tcPr>
            <w:tcW w:w="3136" w:type="dxa"/>
            <w:tcBorders>
              <w:top w:val="nil"/>
              <w:left w:val="nil"/>
              <w:bottom w:val="nil"/>
              <w:right w:val="nil"/>
            </w:tcBorders>
            <w:shd w:val="clear" w:color="auto" w:fill="auto"/>
            <w:noWrap/>
            <w:vAlign w:val="center"/>
            <w:hideMark/>
          </w:tcPr>
          <w:p w14:paraId="05A1BB6C" w14:textId="77777777" w:rsidR="00741D67" w:rsidRPr="003C0FD3" w:rsidRDefault="00741D67" w:rsidP="00741D67">
            <w:pPr>
              <w:spacing w:line="240" w:lineRule="auto"/>
              <w:jc w:val="center"/>
              <w:rPr>
                <w:rFonts w:eastAsia="Times New Roman" w:cs="Times New Roman"/>
                <w:color w:val="000000"/>
                <w:lang w:val="en-CA" w:eastAsia="en-CA"/>
              </w:rPr>
            </w:pPr>
          </w:p>
        </w:tc>
        <w:tc>
          <w:tcPr>
            <w:tcW w:w="2784" w:type="dxa"/>
            <w:tcBorders>
              <w:top w:val="nil"/>
              <w:left w:val="nil"/>
              <w:bottom w:val="nil"/>
              <w:right w:val="nil"/>
            </w:tcBorders>
            <w:shd w:val="clear" w:color="auto" w:fill="auto"/>
            <w:noWrap/>
            <w:vAlign w:val="center"/>
            <w:hideMark/>
          </w:tcPr>
          <w:p w14:paraId="289FD801"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(0.1337)</w:t>
            </w:r>
          </w:p>
        </w:tc>
        <w:tc>
          <w:tcPr>
            <w:tcW w:w="1297" w:type="dxa"/>
            <w:tcBorders>
              <w:top w:val="nil"/>
              <w:left w:val="nil"/>
              <w:bottom w:val="nil"/>
              <w:right w:val="nil"/>
            </w:tcBorders>
            <w:shd w:val="clear" w:color="auto" w:fill="auto"/>
            <w:noWrap/>
            <w:vAlign w:val="center"/>
            <w:hideMark/>
          </w:tcPr>
          <w:p w14:paraId="172E79EE"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(0.5859)</w:t>
            </w:r>
          </w:p>
        </w:tc>
        <w:tc>
          <w:tcPr>
            <w:tcW w:w="2139" w:type="dxa"/>
            <w:tcBorders>
              <w:top w:val="nil"/>
              <w:left w:val="nil"/>
              <w:bottom w:val="nil"/>
              <w:right w:val="nil"/>
            </w:tcBorders>
            <w:shd w:val="clear" w:color="auto" w:fill="auto"/>
            <w:noWrap/>
            <w:vAlign w:val="center"/>
            <w:hideMark/>
          </w:tcPr>
          <w:p w14:paraId="6D085196"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3C0FD3" w14:paraId="478CEF1B" w14:textId="77777777" w:rsidTr="00777877">
        <w:trPr>
          <w:trHeight w:val="315"/>
        </w:trPr>
        <w:tc>
          <w:tcPr>
            <w:tcW w:w="3136" w:type="dxa"/>
            <w:tcBorders>
              <w:top w:val="nil"/>
              <w:left w:val="nil"/>
              <w:bottom w:val="nil"/>
              <w:right w:val="nil"/>
            </w:tcBorders>
            <w:shd w:val="clear" w:color="auto" w:fill="auto"/>
            <w:noWrap/>
            <w:vAlign w:val="center"/>
            <w:hideMark/>
          </w:tcPr>
          <w:p w14:paraId="66B56947"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xml:space="preserve"> </w:t>
            </w:r>
          </w:p>
        </w:tc>
        <w:tc>
          <w:tcPr>
            <w:tcW w:w="2784" w:type="dxa"/>
            <w:tcBorders>
              <w:top w:val="nil"/>
              <w:left w:val="nil"/>
              <w:bottom w:val="nil"/>
              <w:right w:val="nil"/>
            </w:tcBorders>
            <w:shd w:val="clear" w:color="auto" w:fill="auto"/>
            <w:noWrap/>
            <w:vAlign w:val="center"/>
            <w:hideMark/>
          </w:tcPr>
          <w:p w14:paraId="5894B6B6" w14:textId="77777777" w:rsidR="00741D67" w:rsidRPr="003C0FD3" w:rsidRDefault="00741D67" w:rsidP="00741D67">
            <w:pPr>
              <w:spacing w:line="240" w:lineRule="auto"/>
              <w:rPr>
                <w:rFonts w:eastAsia="Times New Roman" w:cs="Times New Roman"/>
                <w:color w:val="000000"/>
                <w:lang w:val="en-CA" w:eastAsia="en-CA"/>
              </w:rPr>
            </w:pPr>
          </w:p>
        </w:tc>
        <w:tc>
          <w:tcPr>
            <w:tcW w:w="1297" w:type="dxa"/>
            <w:tcBorders>
              <w:top w:val="nil"/>
              <w:left w:val="nil"/>
              <w:bottom w:val="nil"/>
              <w:right w:val="nil"/>
            </w:tcBorders>
            <w:shd w:val="clear" w:color="auto" w:fill="auto"/>
            <w:noWrap/>
            <w:vAlign w:val="center"/>
            <w:hideMark/>
          </w:tcPr>
          <w:p w14:paraId="5C324FDD"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139" w:type="dxa"/>
            <w:tcBorders>
              <w:top w:val="nil"/>
              <w:left w:val="nil"/>
              <w:bottom w:val="nil"/>
              <w:right w:val="nil"/>
            </w:tcBorders>
            <w:shd w:val="clear" w:color="auto" w:fill="auto"/>
            <w:noWrap/>
            <w:vAlign w:val="center"/>
            <w:hideMark/>
          </w:tcPr>
          <w:p w14:paraId="112EB2C5" w14:textId="77777777" w:rsidR="00741D67" w:rsidRPr="003C0FD3" w:rsidRDefault="00741D67" w:rsidP="00741D67">
            <w:pPr>
              <w:spacing w:line="240" w:lineRule="auto"/>
              <w:jc w:val="center"/>
              <w:rPr>
                <w:rFonts w:eastAsia="Times New Roman" w:cs="Times New Roman"/>
                <w:sz w:val="20"/>
                <w:szCs w:val="20"/>
                <w:lang w:val="en-CA" w:eastAsia="en-CA"/>
              </w:rPr>
            </w:pPr>
          </w:p>
        </w:tc>
      </w:tr>
      <w:tr w:rsidR="00741D67" w:rsidRPr="003C0FD3" w14:paraId="36532DFF" w14:textId="77777777" w:rsidTr="00777877">
        <w:trPr>
          <w:trHeight w:val="300"/>
        </w:trPr>
        <w:tc>
          <w:tcPr>
            <w:tcW w:w="3136" w:type="dxa"/>
            <w:tcBorders>
              <w:top w:val="nil"/>
              <w:left w:val="nil"/>
              <w:bottom w:val="nil"/>
              <w:right w:val="nil"/>
            </w:tcBorders>
            <w:shd w:val="clear" w:color="auto" w:fill="auto"/>
            <w:noWrap/>
            <w:vAlign w:val="center"/>
            <w:hideMark/>
          </w:tcPr>
          <w:p w14:paraId="04BDB9DA"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10y to 2y spread</w:t>
            </w:r>
          </w:p>
        </w:tc>
        <w:tc>
          <w:tcPr>
            <w:tcW w:w="2784" w:type="dxa"/>
            <w:tcBorders>
              <w:top w:val="nil"/>
              <w:left w:val="nil"/>
              <w:bottom w:val="nil"/>
              <w:right w:val="nil"/>
            </w:tcBorders>
            <w:shd w:val="clear" w:color="auto" w:fill="auto"/>
            <w:noWrap/>
            <w:vAlign w:val="bottom"/>
            <w:hideMark/>
          </w:tcPr>
          <w:p w14:paraId="7D8F87E7"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2.3444</w:t>
            </w:r>
          </w:p>
        </w:tc>
        <w:tc>
          <w:tcPr>
            <w:tcW w:w="1297" w:type="dxa"/>
            <w:tcBorders>
              <w:top w:val="nil"/>
              <w:left w:val="nil"/>
              <w:bottom w:val="nil"/>
              <w:right w:val="nil"/>
            </w:tcBorders>
            <w:shd w:val="clear" w:color="auto" w:fill="auto"/>
            <w:noWrap/>
            <w:vAlign w:val="center"/>
            <w:hideMark/>
          </w:tcPr>
          <w:p w14:paraId="065DB377" w14:textId="77777777" w:rsidR="00741D67" w:rsidRPr="003C0FD3" w:rsidRDefault="00741D67" w:rsidP="00741D67">
            <w:pPr>
              <w:spacing w:line="240" w:lineRule="auto"/>
              <w:jc w:val="center"/>
              <w:rPr>
                <w:rFonts w:eastAsia="Times New Roman" w:cs="Times New Roman"/>
                <w:color w:val="000000"/>
                <w:vertAlign w:val="superscript"/>
                <w:lang w:val="en-CA" w:eastAsia="en-CA"/>
              </w:rPr>
            </w:pPr>
            <w:r w:rsidRPr="003C0FD3">
              <w:rPr>
                <w:rFonts w:eastAsia="Times New Roman" w:cs="Times New Roman"/>
                <w:color w:val="000000"/>
                <w:lang w:val="en-CA" w:eastAsia="en-CA"/>
              </w:rPr>
              <w:t>-0.1584</w:t>
            </w:r>
            <w:r w:rsidRPr="003C0FD3">
              <w:rPr>
                <w:rFonts w:eastAsia="Times New Roman" w:cs="Times New Roman"/>
                <w:color w:val="000000"/>
                <w:vertAlign w:val="superscript"/>
                <w:lang w:val="en-CA" w:eastAsia="en-CA"/>
              </w:rPr>
              <w:t>**</w:t>
            </w:r>
          </w:p>
        </w:tc>
        <w:tc>
          <w:tcPr>
            <w:tcW w:w="2139" w:type="dxa"/>
            <w:tcBorders>
              <w:top w:val="nil"/>
              <w:left w:val="nil"/>
              <w:bottom w:val="nil"/>
              <w:right w:val="nil"/>
            </w:tcBorders>
            <w:shd w:val="clear" w:color="auto" w:fill="auto"/>
            <w:noWrap/>
            <w:vAlign w:val="center"/>
            <w:hideMark/>
          </w:tcPr>
          <w:p w14:paraId="53BA8A29"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0.0505</w:t>
            </w:r>
          </w:p>
        </w:tc>
      </w:tr>
      <w:tr w:rsidR="00741D67" w:rsidRPr="003C0FD3" w14:paraId="3ED7957E" w14:textId="77777777" w:rsidTr="00777877">
        <w:trPr>
          <w:trHeight w:val="300"/>
        </w:trPr>
        <w:tc>
          <w:tcPr>
            <w:tcW w:w="3136" w:type="dxa"/>
            <w:tcBorders>
              <w:top w:val="nil"/>
              <w:left w:val="nil"/>
              <w:bottom w:val="nil"/>
              <w:right w:val="nil"/>
            </w:tcBorders>
            <w:shd w:val="clear" w:color="auto" w:fill="auto"/>
            <w:noWrap/>
            <w:vAlign w:val="center"/>
            <w:hideMark/>
          </w:tcPr>
          <w:p w14:paraId="30186714" w14:textId="77777777" w:rsidR="00741D67" w:rsidRPr="003C0FD3" w:rsidRDefault="00741D67" w:rsidP="00741D67">
            <w:pPr>
              <w:spacing w:line="240" w:lineRule="auto"/>
              <w:jc w:val="center"/>
              <w:rPr>
                <w:rFonts w:eastAsia="Times New Roman" w:cs="Times New Roman"/>
                <w:color w:val="000000"/>
                <w:lang w:val="en-CA" w:eastAsia="en-CA"/>
              </w:rPr>
            </w:pPr>
          </w:p>
        </w:tc>
        <w:tc>
          <w:tcPr>
            <w:tcW w:w="2784" w:type="dxa"/>
            <w:tcBorders>
              <w:top w:val="nil"/>
              <w:left w:val="nil"/>
              <w:bottom w:val="nil"/>
              <w:right w:val="nil"/>
            </w:tcBorders>
            <w:shd w:val="clear" w:color="auto" w:fill="auto"/>
            <w:noWrap/>
            <w:vAlign w:val="bottom"/>
            <w:hideMark/>
          </w:tcPr>
          <w:p w14:paraId="33374322"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(0.1454)</w:t>
            </w:r>
          </w:p>
        </w:tc>
        <w:tc>
          <w:tcPr>
            <w:tcW w:w="1297" w:type="dxa"/>
            <w:tcBorders>
              <w:top w:val="nil"/>
              <w:left w:val="nil"/>
              <w:bottom w:val="nil"/>
              <w:right w:val="nil"/>
            </w:tcBorders>
            <w:shd w:val="clear" w:color="auto" w:fill="auto"/>
            <w:noWrap/>
            <w:vAlign w:val="center"/>
            <w:hideMark/>
          </w:tcPr>
          <w:p w14:paraId="6A173329"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(0.0777)</w:t>
            </w:r>
          </w:p>
        </w:tc>
        <w:tc>
          <w:tcPr>
            <w:tcW w:w="2139" w:type="dxa"/>
            <w:tcBorders>
              <w:top w:val="nil"/>
              <w:left w:val="nil"/>
              <w:bottom w:val="nil"/>
              <w:right w:val="nil"/>
            </w:tcBorders>
            <w:shd w:val="clear" w:color="auto" w:fill="auto"/>
            <w:noWrap/>
            <w:vAlign w:val="center"/>
            <w:hideMark/>
          </w:tcPr>
          <w:p w14:paraId="1712947F"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3C0FD3" w14:paraId="69351FEC" w14:textId="77777777" w:rsidTr="00777877">
        <w:trPr>
          <w:trHeight w:val="300"/>
        </w:trPr>
        <w:tc>
          <w:tcPr>
            <w:tcW w:w="3136" w:type="dxa"/>
            <w:tcBorders>
              <w:top w:val="nil"/>
              <w:left w:val="nil"/>
              <w:bottom w:val="nil"/>
              <w:right w:val="nil"/>
            </w:tcBorders>
            <w:shd w:val="clear" w:color="auto" w:fill="auto"/>
            <w:noWrap/>
            <w:vAlign w:val="center"/>
            <w:hideMark/>
          </w:tcPr>
          <w:p w14:paraId="6F8ED5F1"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784" w:type="dxa"/>
            <w:tcBorders>
              <w:top w:val="nil"/>
              <w:left w:val="nil"/>
              <w:bottom w:val="nil"/>
              <w:right w:val="nil"/>
            </w:tcBorders>
            <w:shd w:val="clear" w:color="auto" w:fill="auto"/>
            <w:noWrap/>
            <w:vAlign w:val="center"/>
            <w:hideMark/>
          </w:tcPr>
          <w:p w14:paraId="55B27037" w14:textId="77777777" w:rsidR="00741D67" w:rsidRPr="003C0FD3" w:rsidRDefault="00741D67" w:rsidP="00741D67">
            <w:pPr>
              <w:spacing w:line="240" w:lineRule="auto"/>
              <w:rPr>
                <w:rFonts w:eastAsia="Times New Roman" w:cs="Times New Roman"/>
                <w:sz w:val="20"/>
                <w:szCs w:val="20"/>
                <w:lang w:val="en-CA" w:eastAsia="en-CA"/>
              </w:rPr>
            </w:pPr>
          </w:p>
        </w:tc>
        <w:tc>
          <w:tcPr>
            <w:tcW w:w="1297" w:type="dxa"/>
            <w:tcBorders>
              <w:top w:val="nil"/>
              <w:left w:val="nil"/>
              <w:bottom w:val="nil"/>
              <w:right w:val="nil"/>
            </w:tcBorders>
            <w:shd w:val="clear" w:color="auto" w:fill="auto"/>
            <w:noWrap/>
            <w:vAlign w:val="center"/>
            <w:hideMark/>
          </w:tcPr>
          <w:p w14:paraId="3987DCF3"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139" w:type="dxa"/>
            <w:tcBorders>
              <w:top w:val="nil"/>
              <w:left w:val="nil"/>
              <w:bottom w:val="nil"/>
              <w:right w:val="nil"/>
            </w:tcBorders>
            <w:shd w:val="clear" w:color="auto" w:fill="auto"/>
            <w:noWrap/>
            <w:vAlign w:val="center"/>
            <w:hideMark/>
          </w:tcPr>
          <w:p w14:paraId="2C34307E" w14:textId="77777777" w:rsidR="00741D67" w:rsidRPr="003C0FD3" w:rsidRDefault="00741D67" w:rsidP="00741D67">
            <w:pPr>
              <w:spacing w:line="240" w:lineRule="auto"/>
              <w:jc w:val="center"/>
              <w:rPr>
                <w:rFonts w:eastAsia="Times New Roman" w:cs="Times New Roman"/>
                <w:sz w:val="20"/>
                <w:szCs w:val="20"/>
                <w:lang w:val="en-CA" w:eastAsia="en-CA"/>
              </w:rPr>
            </w:pPr>
          </w:p>
        </w:tc>
      </w:tr>
      <w:tr w:rsidR="00741D67" w:rsidRPr="003C0FD3" w14:paraId="3301DBF3" w14:textId="77777777" w:rsidTr="00777877">
        <w:trPr>
          <w:trHeight w:val="300"/>
        </w:trPr>
        <w:tc>
          <w:tcPr>
            <w:tcW w:w="3136" w:type="dxa"/>
            <w:tcBorders>
              <w:top w:val="nil"/>
              <w:left w:val="nil"/>
              <w:bottom w:val="nil"/>
              <w:right w:val="nil"/>
            </w:tcBorders>
            <w:shd w:val="clear" w:color="auto" w:fill="auto"/>
            <w:noWrap/>
            <w:vAlign w:val="center"/>
            <w:hideMark/>
          </w:tcPr>
          <w:p w14:paraId="36168BE2"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10y to 3m spread</w:t>
            </w:r>
          </w:p>
        </w:tc>
        <w:tc>
          <w:tcPr>
            <w:tcW w:w="2784" w:type="dxa"/>
            <w:tcBorders>
              <w:top w:val="nil"/>
              <w:left w:val="nil"/>
              <w:bottom w:val="nil"/>
              <w:right w:val="nil"/>
            </w:tcBorders>
            <w:shd w:val="clear" w:color="auto" w:fill="auto"/>
            <w:noWrap/>
            <w:vAlign w:val="center"/>
            <w:hideMark/>
          </w:tcPr>
          <w:p w14:paraId="1A012D34"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2.1961</w:t>
            </w:r>
          </w:p>
        </w:tc>
        <w:tc>
          <w:tcPr>
            <w:tcW w:w="1297" w:type="dxa"/>
            <w:tcBorders>
              <w:top w:val="nil"/>
              <w:left w:val="nil"/>
              <w:bottom w:val="nil"/>
              <w:right w:val="nil"/>
            </w:tcBorders>
            <w:shd w:val="clear" w:color="auto" w:fill="auto"/>
            <w:noWrap/>
            <w:vAlign w:val="center"/>
            <w:hideMark/>
          </w:tcPr>
          <w:p w14:paraId="3A2FDE09"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-0.0217</w:t>
            </w:r>
          </w:p>
        </w:tc>
        <w:tc>
          <w:tcPr>
            <w:tcW w:w="2139" w:type="dxa"/>
            <w:tcBorders>
              <w:top w:val="nil"/>
              <w:left w:val="nil"/>
              <w:bottom w:val="nil"/>
              <w:right w:val="nil"/>
            </w:tcBorders>
            <w:shd w:val="clear" w:color="auto" w:fill="auto"/>
            <w:noWrap/>
            <w:vAlign w:val="center"/>
            <w:hideMark/>
          </w:tcPr>
          <w:p w14:paraId="5965D74F" w14:textId="77777777" w:rsidR="00741D67" w:rsidRPr="003C0FD3" w:rsidRDefault="00741D67" w:rsidP="00741D67">
            <w:pPr>
              <w:spacing w:line="240" w:lineRule="auto"/>
              <w:jc w:val="center"/>
              <w:rPr>
                <w:rFonts w:eastAsia="Times New Roman" w:cs="Times New Roman"/>
                <w:color w:val="000000"/>
                <w:lang w:val="en-CA" w:eastAsia="en-CA"/>
              </w:rPr>
            </w:pPr>
          </w:p>
        </w:tc>
      </w:tr>
      <w:tr w:rsidR="00741D67" w:rsidRPr="003C0FD3" w14:paraId="38C5F846" w14:textId="77777777" w:rsidTr="00777877">
        <w:trPr>
          <w:trHeight w:val="300"/>
        </w:trPr>
        <w:tc>
          <w:tcPr>
            <w:tcW w:w="3136" w:type="dxa"/>
            <w:tcBorders>
              <w:top w:val="nil"/>
              <w:left w:val="nil"/>
              <w:bottom w:val="nil"/>
              <w:right w:val="nil"/>
            </w:tcBorders>
            <w:shd w:val="clear" w:color="auto" w:fill="auto"/>
            <w:noWrap/>
            <w:vAlign w:val="center"/>
            <w:hideMark/>
          </w:tcPr>
          <w:p w14:paraId="695FC27B" w14:textId="77777777" w:rsidR="00741D67" w:rsidRPr="003C0FD3" w:rsidRDefault="00741D67" w:rsidP="00741D67">
            <w:pPr>
              <w:spacing w:line="240" w:lineRule="auto"/>
              <w:jc w:val="center"/>
              <w:rPr>
                <w:rFonts w:eastAsia="Times New Roman" w:cs="Times New Roman"/>
                <w:sz w:val="20"/>
                <w:szCs w:val="20"/>
                <w:lang w:val="en-CA" w:eastAsia="en-CA"/>
              </w:rPr>
            </w:pPr>
          </w:p>
        </w:tc>
        <w:tc>
          <w:tcPr>
            <w:tcW w:w="2784" w:type="dxa"/>
            <w:tcBorders>
              <w:top w:val="nil"/>
              <w:left w:val="nil"/>
              <w:bottom w:val="nil"/>
              <w:right w:val="nil"/>
            </w:tcBorders>
            <w:shd w:val="clear" w:color="auto" w:fill="auto"/>
            <w:noWrap/>
            <w:vAlign w:val="center"/>
            <w:hideMark/>
          </w:tcPr>
          <w:p w14:paraId="19B4D449"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(0.1502)</w:t>
            </w:r>
          </w:p>
        </w:tc>
        <w:tc>
          <w:tcPr>
            <w:tcW w:w="1297" w:type="dxa"/>
            <w:tcBorders>
              <w:top w:val="nil"/>
              <w:left w:val="nil"/>
              <w:bottom w:val="nil"/>
              <w:right w:val="nil"/>
            </w:tcBorders>
            <w:shd w:val="clear" w:color="auto" w:fill="auto"/>
            <w:noWrap/>
            <w:vAlign w:val="center"/>
            <w:hideMark/>
          </w:tcPr>
          <w:p w14:paraId="4940A1B3"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(0.0504)</w:t>
            </w:r>
          </w:p>
        </w:tc>
        <w:tc>
          <w:tcPr>
            <w:tcW w:w="2139" w:type="dxa"/>
            <w:tcBorders>
              <w:top w:val="nil"/>
              <w:left w:val="nil"/>
              <w:bottom w:val="nil"/>
              <w:right w:val="nil"/>
            </w:tcBorders>
            <w:shd w:val="clear" w:color="auto" w:fill="auto"/>
            <w:noWrap/>
            <w:vAlign w:val="center"/>
            <w:hideMark/>
          </w:tcPr>
          <w:p w14:paraId="4F883E2C"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0.0383</w:t>
            </w:r>
          </w:p>
        </w:tc>
      </w:tr>
      <w:tr w:rsidR="00741D67" w:rsidRPr="003C0FD3" w14:paraId="0570E8C9" w14:textId="77777777" w:rsidTr="00777877">
        <w:trPr>
          <w:trHeight w:val="315"/>
        </w:trPr>
        <w:tc>
          <w:tcPr>
            <w:tcW w:w="3136" w:type="dxa"/>
            <w:tcBorders>
              <w:top w:val="nil"/>
              <w:left w:val="nil"/>
              <w:bottom w:val="double" w:sz="6" w:space="0" w:color="auto"/>
              <w:right w:val="nil"/>
            </w:tcBorders>
            <w:shd w:val="clear" w:color="auto" w:fill="auto"/>
            <w:noWrap/>
            <w:vAlign w:val="center"/>
            <w:hideMark/>
          </w:tcPr>
          <w:p w14:paraId="1DD26A8D"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c>
          <w:tcPr>
            <w:tcW w:w="2784" w:type="dxa"/>
            <w:tcBorders>
              <w:top w:val="nil"/>
              <w:left w:val="nil"/>
              <w:bottom w:val="double" w:sz="6" w:space="0" w:color="auto"/>
              <w:right w:val="nil"/>
            </w:tcBorders>
            <w:shd w:val="clear" w:color="auto" w:fill="auto"/>
            <w:noWrap/>
            <w:vAlign w:val="center"/>
            <w:hideMark/>
          </w:tcPr>
          <w:p w14:paraId="2C4E63E3"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c>
          <w:tcPr>
            <w:tcW w:w="1297" w:type="dxa"/>
            <w:tcBorders>
              <w:top w:val="nil"/>
              <w:left w:val="nil"/>
              <w:bottom w:val="double" w:sz="6" w:space="0" w:color="auto"/>
              <w:right w:val="nil"/>
            </w:tcBorders>
            <w:shd w:val="clear" w:color="auto" w:fill="auto"/>
            <w:noWrap/>
            <w:vAlign w:val="center"/>
            <w:hideMark/>
          </w:tcPr>
          <w:p w14:paraId="565ACBF0" w14:textId="77777777" w:rsidR="00741D67" w:rsidRPr="003C0FD3" w:rsidRDefault="00741D67" w:rsidP="00741D67">
            <w:pPr>
              <w:spacing w:line="240" w:lineRule="auto"/>
              <w:jc w:val="center"/>
              <w:rPr>
                <w:rFonts w:eastAsia="Times New Roman" w:cs="Times New Roman"/>
                <w:color w:val="000000"/>
                <w:lang w:val="en-CA" w:eastAsia="en-CA"/>
              </w:rPr>
            </w:pPr>
            <w:r w:rsidRPr="003C0FD3">
              <w:rPr>
                <w:rFonts w:eastAsia="Times New Roman" w:cs="Times New Roman"/>
                <w:color w:val="000000"/>
                <w:lang w:val="en-CA" w:eastAsia="en-CA"/>
              </w:rPr>
              <w:t> </w:t>
            </w:r>
          </w:p>
        </w:tc>
        <w:tc>
          <w:tcPr>
            <w:tcW w:w="2139" w:type="dxa"/>
            <w:tcBorders>
              <w:top w:val="nil"/>
              <w:left w:val="nil"/>
              <w:bottom w:val="double" w:sz="6" w:space="0" w:color="auto"/>
              <w:right w:val="nil"/>
            </w:tcBorders>
            <w:shd w:val="clear" w:color="auto" w:fill="auto"/>
            <w:noWrap/>
            <w:vAlign w:val="bottom"/>
            <w:hideMark/>
          </w:tcPr>
          <w:p w14:paraId="744E932C" w14:textId="77777777" w:rsidR="00741D67" w:rsidRPr="003C0FD3" w:rsidRDefault="00741D67" w:rsidP="00741D67">
            <w:pPr>
              <w:spacing w:line="240" w:lineRule="auto"/>
              <w:rPr>
                <w:rFonts w:eastAsia="Times New Roman" w:cs="Times New Roman"/>
                <w:color w:val="000000"/>
                <w:lang w:val="en-CA" w:eastAsia="en-CA"/>
              </w:rPr>
            </w:pPr>
            <w:r w:rsidRPr="003C0FD3">
              <w:rPr>
                <w:rFonts w:eastAsia="Times New Roman" w:cs="Times New Roman"/>
                <w:color w:val="000000"/>
                <w:lang w:val="en-CA" w:eastAsia="en-CA"/>
              </w:rPr>
              <w:t> </w:t>
            </w:r>
          </w:p>
        </w:tc>
      </w:tr>
      <w:tr w:rsidR="00741D67" w:rsidRPr="003C0FD3" w14:paraId="732E0AE8" w14:textId="77777777" w:rsidTr="00777877">
        <w:trPr>
          <w:trHeight w:val="315"/>
        </w:trPr>
        <w:tc>
          <w:tcPr>
            <w:tcW w:w="9356" w:type="dxa"/>
            <w:gridSpan w:val="4"/>
            <w:tcBorders>
              <w:top w:val="nil"/>
              <w:left w:val="nil"/>
              <w:bottom w:val="nil"/>
            </w:tcBorders>
            <w:shd w:val="clear" w:color="auto" w:fill="auto"/>
            <w:noWrap/>
            <w:vAlign w:val="bottom"/>
            <w:hideMark/>
          </w:tcPr>
          <w:p w14:paraId="579F2CC7" w14:textId="7BA80035" w:rsidR="00741D67" w:rsidRPr="003C0FD3" w:rsidRDefault="00741D67" w:rsidP="00741D67">
            <w:pPr>
              <w:spacing w:line="240" w:lineRule="auto"/>
              <w:rPr>
                <w:rFonts w:cs="Times New Roman"/>
                <w:color w:val="000000"/>
              </w:rPr>
            </w:pPr>
            <w:r w:rsidRPr="003C0FD3">
              <w:rPr>
                <w:rFonts w:cs="Times New Roman"/>
                <w:color w:val="000000"/>
              </w:rPr>
              <w:t xml:space="preserve">*Notes: Standard errors are in </w:t>
            </w:r>
            <w:r w:rsidR="00CD5B25">
              <w:rPr>
                <w:rFonts w:cs="Times New Roman"/>
                <w:color w:val="000000"/>
              </w:rPr>
              <w:t>parenthese</w:t>
            </w:r>
            <w:r w:rsidRPr="003C0FD3">
              <w:rPr>
                <w:rFonts w:cs="Times New Roman"/>
                <w:color w:val="000000"/>
              </w:rPr>
              <w:t>s. The level of significance is indicated by the number of stars: * significant at 10%; ** significant at 5%; *** significant at 1%. Number of observations: 313.</w:t>
            </w:r>
          </w:p>
          <w:p w14:paraId="1085AC42" w14:textId="77777777" w:rsidR="00741D67" w:rsidRPr="003C0FD3" w:rsidRDefault="00741D67" w:rsidP="00741D67">
            <w:pPr>
              <w:spacing w:line="240" w:lineRule="auto"/>
              <w:rPr>
                <w:rFonts w:eastAsia="Times New Roman" w:cs="Times New Roman"/>
                <w:sz w:val="20"/>
                <w:szCs w:val="20"/>
                <w:lang w:val="en-CA" w:eastAsia="en-CA"/>
              </w:rPr>
            </w:pPr>
          </w:p>
        </w:tc>
      </w:tr>
    </w:tbl>
    <w:p w14:paraId="4865698E" w14:textId="77777777" w:rsidR="00FE1C2F" w:rsidRPr="006B5B91" w:rsidRDefault="00FE1C2F" w:rsidP="00465597">
      <w:pPr>
        <w:rPr>
          <w:rFonts w:cs="Times New Roman"/>
          <w:lang w:val="en-CA"/>
        </w:rPr>
      </w:pPr>
    </w:p>
    <w:p w14:paraId="15E685C1" w14:textId="77777777" w:rsidR="00DA6535" w:rsidRPr="006B5B91" w:rsidRDefault="00DA6535" w:rsidP="00465597">
      <w:pPr>
        <w:rPr>
          <w:rFonts w:cs="Times New Roman"/>
          <w:lang w:val="en-CA"/>
        </w:rPr>
      </w:pPr>
    </w:p>
    <w:p w14:paraId="47A5F47C" w14:textId="6E332D5E" w:rsidR="00402B90" w:rsidRPr="006B5B91" w:rsidRDefault="005E1A84" w:rsidP="009250E2">
      <w:pPr>
        <w:pStyle w:val="Heading1"/>
        <w:rPr>
          <w:rFonts w:cs="Times New Roman"/>
        </w:rPr>
      </w:pPr>
      <w:bookmarkStart w:id="43" w:name="_Toc32251671"/>
      <w:bookmarkStart w:id="44" w:name="_Toc37338057"/>
      <w:r>
        <w:rPr>
          <w:rFonts w:cs="Times New Roman"/>
        </w:rPr>
        <w:lastRenderedPageBreak/>
        <w:t>6</w:t>
      </w:r>
      <w:r w:rsidR="00CB44C9">
        <w:rPr>
          <w:rFonts w:cs="Times New Roman"/>
        </w:rPr>
        <w:t xml:space="preserve">.  </w:t>
      </w:r>
      <w:r w:rsidR="00402B90" w:rsidRPr="006B5B91">
        <w:rPr>
          <w:rFonts w:cs="Times New Roman"/>
        </w:rPr>
        <w:t>Conclusion</w:t>
      </w:r>
      <w:bookmarkEnd w:id="43"/>
      <w:bookmarkEnd w:id="44"/>
    </w:p>
    <w:p w14:paraId="44A11BCD" w14:textId="6E89C513" w:rsidR="00883023" w:rsidRPr="006B5B91" w:rsidRDefault="00F460C4" w:rsidP="00FD0B8D">
      <w:pPr>
        <w:spacing w:line="480" w:lineRule="auto"/>
        <w:ind w:firstLine="720"/>
        <w:rPr>
          <w:rFonts w:cs="Times New Roman"/>
        </w:rPr>
      </w:pPr>
      <w:r w:rsidRPr="006B5B91">
        <w:rPr>
          <w:rFonts w:cs="Times New Roman"/>
        </w:rPr>
        <w:t xml:space="preserve">The ability to forecast future economic conditions is </w:t>
      </w:r>
      <w:r w:rsidR="00364C3D">
        <w:rPr>
          <w:rFonts w:cs="Times New Roman"/>
        </w:rPr>
        <w:t>extremely</w:t>
      </w:r>
      <w:r w:rsidRPr="006B5B91">
        <w:rPr>
          <w:rFonts w:cs="Times New Roman"/>
        </w:rPr>
        <w:t xml:space="preserve"> important to investors, policymakers, and consumers alike. </w:t>
      </w:r>
      <w:bookmarkStart w:id="45" w:name="_Toc32250770"/>
      <w:r w:rsidRPr="006B5B91">
        <w:rPr>
          <w:rFonts w:cs="Times New Roman"/>
        </w:rPr>
        <w:t>Macroeconomic indicators, such as the yield curve, have historically</w:t>
      </w:r>
      <w:r w:rsidR="00DE0E5C">
        <w:rPr>
          <w:rFonts w:cs="Times New Roman"/>
        </w:rPr>
        <w:t xml:space="preserve"> been</w:t>
      </w:r>
      <w:r w:rsidR="003C4F32" w:rsidRPr="006B5B91">
        <w:rPr>
          <w:rFonts w:cs="Times New Roman"/>
        </w:rPr>
        <w:t xml:space="preserve"> demonstrated to provide useful information about future economic activity and incoming recessions in the </w:t>
      </w:r>
      <w:r w:rsidR="000C07F3">
        <w:rPr>
          <w:rFonts w:cs="Times New Roman"/>
        </w:rPr>
        <w:t>U.S.</w:t>
      </w:r>
      <w:r w:rsidR="003C4F32" w:rsidRPr="006B5B91">
        <w:rPr>
          <w:rFonts w:cs="Times New Roman"/>
        </w:rPr>
        <w:t>, Canada, and other OECD countries</w:t>
      </w:r>
      <w:r w:rsidRPr="006B5B91">
        <w:rPr>
          <w:rFonts w:cs="Times New Roman"/>
        </w:rPr>
        <w:t>. Inversions of the yield curve</w:t>
      </w:r>
      <w:r w:rsidR="00AD1ECB">
        <w:rPr>
          <w:rFonts w:cs="Times New Roman"/>
        </w:rPr>
        <w:t xml:space="preserve">, </w:t>
      </w:r>
      <w:r w:rsidRPr="006B5B91">
        <w:rPr>
          <w:rFonts w:cs="Times New Roman"/>
        </w:rPr>
        <w:t>whereby yield</w:t>
      </w:r>
      <w:r w:rsidR="00841436">
        <w:rPr>
          <w:rFonts w:cs="Times New Roman"/>
        </w:rPr>
        <w:t xml:space="preserve">s </w:t>
      </w:r>
      <w:r w:rsidRPr="006B5B91">
        <w:rPr>
          <w:rFonts w:cs="Times New Roman"/>
        </w:rPr>
        <w:t xml:space="preserve">on short-term bonds exceed those of long-term bonds, </w:t>
      </w:r>
      <w:r w:rsidR="0041164D" w:rsidRPr="006B5B91">
        <w:rPr>
          <w:rFonts w:cs="Times New Roman"/>
        </w:rPr>
        <w:t>h</w:t>
      </w:r>
      <w:r w:rsidRPr="006B5B91">
        <w:rPr>
          <w:rFonts w:cs="Times New Roman"/>
        </w:rPr>
        <w:t xml:space="preserve">ave generally preceded recessions. Recent inversions </w:t>
      </w:r>
      <w:r w:rsidR="009958EB">
        <w:rPr>
          <w:rFonts w:cs="Times New Roman"/>
        </w:rPr>
        <w:t>in Canada and the U.S.</w:t>
      </w:r>
      <w:r w:rsidRPr="006B5B91">
        <w:rPr>
          <w:rFonts w:cs="Times New Roman"/>
        </w:rPr>
        <w:t xml:space="preserve">, as well as </w:t>
      </w:r>
      <w:r w:rsidR="00241853">
        <w:rPr>
          <w:rFonts w:cs="Times New Roman"/>
        </w:rPr>
        <w:t xml:space="preserve">a </w:t>
      </w:r>
      <w:r w:rsidRPr="006B5B91">
        <w:rPr>
          <w:rFonts w:cs="Times New Roman"/>
        </w:rPr>
        <w:t>global economic slowdown</w:t>
      </w:r>
      <w:r w:rsidR="009958EB">
        <w:rPr>
          <w:rFonts w:cs="Times New Roman"/>
        </w:rPr>
        <w:t>,</w:t>
      </w:r>
      <w:r w:rsidRPr="006B5B91">
        <w:rPr>
          <w:rFonts w:cs="Times New Roman"/>
        </w:rPr>
        <w:t xml:space="preserve"> have </w:t>
      </w:r>
      <w:r w:rsidR="00241853">
        <w:rPr>
          <w:rFonts w:cs="Times New Roman"/>
        </w:rPr>
        <w:t>stimulated</w:t>
      </w:r>
      <w:r w:rsidRPr="006B5B91">
        <w:rPr>
          <w:rFonts w:cs="Times New Roman"/>
        </w:rPr>
        <w:t xml:space="preserve"> </w:t>
      </w:r>
      <w:r w:rsidR="00A43B41">
        <w:rPr>
          <w:rFonts w:cs="Times New Roman"/>
        </w:rPr>
        <w:t xml:space="preserve">a </w:t>
      </w:r>
      <w:r w:rsidRPr="006B5B91">
        <w:rPr>
          <w:rFonts w:cs="Times New Roman"/>
        </w:rPr>
        <w:t xml:space="preserve">dialogue about </w:t>
      </w:r>
      <w:r w:rsidR="000140A6" w:rsidRPr="006B5B91">
        <w:rPr>
          <w:rFonts w:cs="Times New Roman"/>
        </w:rPr>
        <w:t xml:space="preserve">the </w:t>
      </w:r>
      <w:r w:rsidR="009958EB">
        <w:rPr>
          <w:rFonts w:cs="Times New Roman"/>
        </w:rPr>
        <w:t>potential</w:t>
      </w:r>
      <w:r w:rsidR="000140A6" w:rsidRPr="006B5B91">
        <w:rPr>
          <w:rFonts w:cs="Times New Roman"/>
        </w:rPr>
        <w:t xml:space="preserve"> </w:t>
      </w:r>
      <w:r w:rsidR="009958EB">
        <w:rPr>
          <w:rFonts w:cs="Times New Roman"/>
        </w:rPr>
        <w:t>for</w:t>
      </w:r>
      <w:r w:rsidR="000140A6" w:rsidRPr="006B5B91">
        <w:rPr>
          <w:rFonts w:cs="Times New Roman"/>
        </w:rPr>
        <w:t xml:space="preserve"> an imminent global recession and the</w:t>
      </w:r>
      <w:r w:rsidRPr="006B5B91">
        <w:rPr>
          <w:rFonts w:cs="Times New Roman"/>
        </w:rPr>
        <w:t xml:space="preserve"> usefulness of yield spreads and other macroeconomic indicators in predicting future recessions.</w:t>
      </w:r>
    </w:p>
    <w:p w14:paraId="73B470BE" w14:textId="00D3DFC6" w:rsidR="00883023" w:rsidRPr="006B5B91" w:rsidRDefault="00883023" w:rsidP="00FD0B8D">
      <w:pPr>
        <w:spacing w:line="480" w:lineRule="auto"/>
        <w:ind w:firstLine="720"/>
        <w:rPr>
          <w:rFonts w:cs="Times New Roman"/>
        </w:rPr>
      </w:pPr>
      <w:r w:rsidRPr="006B5B91">
        <w:rPr>
          <w:rFonts w:cs="Times New Roman"/>
        </w:rPr>
        <w:t>While the traditional long-term yield spreads</w:t>
      </w:r>
      <w:r w:rsidR="009958EB">
        <w:rPr>
          <w:rFonts w:cs="Times New Roman"/>
        </w:rPr>
        <w:t>,</w:t>
      </w:r>
      <w:r w:rsidRPr="006B5B91">
        <w:rPr>
          <w:rFonts w:cs="Times New Roman"/>
        </w:rPr>
        <w:t xml:space="preserve"> such as the </w:t>
      </w:r>
      <w:r w:rsidR="00241853">
        <w:rPr>
          <w:rFonts w:cs="Times New Roman"/>
        </w:rPr>
        <w:t xml:space="preserve">ten-year minus </w:t>
      </w:r>
      <w:r w:rsidR="00A761CC">
        <w:rPr>
          <w:rFonts w:cs="Times New Roman"/>
        </w:rPr>
        <w:t xml:space="preserve">the </w:t>
      </w:r>
      <w:r w:rsidR="00241853">
        <w:rPr>
          <w:rFonts w:cs="Times New Roman"/>
        </w:rPr>
        <w:t xml:space="preserve">two-year </w:t>
      </w:r>
      <w:r w:rsidR="00A761CC">
        <w:rPr>
          <w:rFonts w:cs="Times New Roman"/>
        </w:rPr>
        <w:t xml:space="preserve">spread </w:t>
      </w:r>
      <w:r w:rsidRPr="006B5B91">
        <w:rPr>
          <w:rFonts w:cs="Times New Roman"/>
        </w:rPr>
        <w:t>and</w:t>
      </w:r>
      <w:r w:rsidR="00A761CC">
        <w:rPr>
          <w:rFonts w:cs="Times New Roman"/>
        </w:rPr>
        <w:t xml:space="preserve"> the</w:t>
      </w:r>
      <w:r w:rsidRPr="006B5B91">
        <w:rPr>
          <w:rFonts w:cs="Times New Roman"/>
        </w:rPr>
        <w:t xml:space="preserve"> </w:t>
      </w:r>
      <w:r w:rsidR="00241853">
        <w:rPr>
          <w:rFonts w:cs="Times New Roman"/>
        </w:rPr>
        <w:t xml:space="preserve">ten-year minus </w:t>
      </w:r>
      <w:r w:rsidR="00A761CC">
        <w:rPr>
          <w:rFonts w:cs="Times New Roman"/>
        </w:rPr>
        <w:t xml:space="preserve">the </w:t>
      </w:r>
      <w:r w:rsidR="00241853">
        <w:rPr>
          <w:rFonts w:cs="Times New Roman"/>
        </w:rPr>
        <w:t>three-month</w:t>
      </w:r>
      <w:r w:rsidRPr="006B5B91">
        <w:rPr>
          <w:rFonts w:cs="Times New Roman"/>
        </w:rPr>
        <w:t xml:space="preserve"> spread</w:t>
      </w:r>
      <w:r w:rsidR="009958EB">
        <w:rPr>
          <w:rFonts w:cs="Times New Roman"/>
        </w:rPr>
        <w:t>,</w:t>
      </w:r>
      <w:r w:rsidRPr="006B5B91">
        <w:rPr>
          <w:rFonts w:cs="Times New Roman"/>
        </w:rPr>
        <w:t xml:space="preserve"> have a strong track record of forecasting recessions one year ahead, many experts have questioned whether they still have the same forecasting power given the low-interest rate environment most developed countries now find themselves in. </w:t>
      </w:r>
      <w:r w:rsidR="005F39D5" w:rsidRPr="006B5B91">
        <w:rPr>
          <w:rFonts w:cs="Times New Roman"/>
        </w:rPr>
        <w:t xml:space="preserve">The search for indicators useful at forecasting future economic conditions remains as vigilant as ever, given the growing complexities and challenges </w:t>
      </w:r>
      <w:r w:rsidR="009958EB">
        <w:rPr>
          <w:rFonts w:cs="Times New Roman"/>
        </w:rPr>
        <w:t>facing</w:t>
      </w:r>
      <w:r w:rsidR="005F39D5" w:rsidRPr="006B5B91">
        <w:rPr>
          <w:rFonts w:cs="Times New Roman"/>
        </w:rPr>
        <w:t xml:space="preserve"> economies </w:t>
      </w:r>
      <w:r w:rsidR="009958EB">
        <w:rPr>
          <w:rFonts w:cs="Times New Roman"/>
        </w:rPr>
        <w:t>amid</w:t>
      </w:r>
      <w:r w:rsidR="005F39D5" w:rsidRPr="006B5B91">
        <w:rPr>
          <w:rFonts w:cs="Times New Roman"/>
        </w:rPr>
        <w:t xml:space="preserve"> </w:t>
      </w:r>
      <w:r w:rsidR="009958EB">
        <w:rPr>
          <w:rFonts w:cs="Times New Roman"/>
        </w:rPr>
        <w:t>rapid globalization.</w:t>
      </w:r>
    </w:p>
    <w:p w14:paraId="180E013E" w14:textId="7A8711AE" w:rsidR="00A43B41" w:rsidRDefault="00DE0E5C" w:rsidP="00241853">
      <w:pPr>
        <w:spacing w:line="480" w:lineRule="auto"/>
        <w:ind w:firstLine="720"/>
        <w:rPr>
          <w:rFonts w:cs="Times New Roman"/>
        </w:rPr>
      </w:pPr>
      <w:r>
        <w:rPr>
          <w:rFonts w:cs="Times New Roman"/>
        </w:rPr>
        <w:t>Against</w:t>
      </w:r>
      <w:r w:rsidR="002E7CD2" w:rsidRPr="006B5B91">
        <w:rPr>
          <w:rFonts w:cs="Times New Roman"/>
        </w:rPr>
        <w:t xml:space="preserve"> this </w:t>
      </w:r>
      <w:r w:rsidR="009958EB">
        <w:rPr>
          <w:rFonts w:cs="Times New Roman"/>
        </w:rPr>
        <w:t>backdrop</w:t>
      </w:r>
      <w:r w:rsidR="002E7CD2" w:rsidRPr="006B5B91">
        <w:rPr>
          <w:rFonts w:cs="Times New Roman"/>
        </w:rPr>
        <w:t xml:space="preserve">, new indicators such as the near-term forward spread, developed by Engstrom and </w:t>
      </w:r>
      <w:r w:rsidR="00594E2B" w:rsidRPr="006B5B91">
        <w:rPr>
          <w:rFonts w:cs="Times New Roman"/>
        </w:rPr>
        <w:t>Sharpe</w:t>
      </w:r>
      <w:r w:rsidR="002E7CD2" w:rsidRPr="006B5B91">
        <w:rPr>
          <w:rFonts w:cs="Times New Roman"/>
        </w:rPr>
        <w:t xml:space="preserve"> (</w:t>
      </w:r>
      <w:r w:rsidR="00D37B9D">
        <w:rPr>
          <w:rFonts w:cs="Times New Roman"/>
        </w:rPr>
        <w:t>2019</w:t>
      </w:r>
      <w:r w:rsidR="002E7CD2" w:rsidRPr="006B5B91">
        <w:rPr>
          <w:rFonts w:cs="Times New Roman"/>
        </w:rPr>
        <w:t xml:space="preserve">), </w:t>
      </w:r>
      <w:r>
        <w:rPr>
          <w:rFonts w:cs="Times New Roman"/>
        </w:rPr>
        <w:t xml:space="preserve">have </w:t>
      </w:r>
      <w:r w:rsidR="009958EB">
        <w:rPr>
          <w:rFonts w:cs="Times New Roman"/>
        </w:rPr>
        <w:t>emerge</w:t>
      </w:r>
      <w:r>
        <w:rPr>
          <w:rFonts w:cs="Times New Roman"/>
        </w:rPr>
        <w:t>d</w:t>
      </w:r>
      <w:r w:rsidR="009958EB">
        <w:rPr>
          <w:rFonts w:cs="Times New Roman"/>
        </w:rPr>
        <w:t xml:space="preserve"> to help better forecast incoming recessions and future economic activity</w:t>
      </w:r>
      <w:r w:rsidR="002E7CD2" w:rsidRPr="006B5B91">
        <w:rPr>
          <w:rFonts w:cs="Times New Roman"/>
        </w:rPr>
        <w:t xml:space="preserve">. This novel indicator, which </w:t>
      </w:r>
      <w:r w:rsidR="006443D3">
        <w:rPr>
          <w:rFonts w:cs="Times New Roman"/>
        </w:rPr>
        <w:t>is</w:t>
      </w:r>
      <w:r w:rsidR="002E7CD2" w:rsidRPr="006B5B91">
        <w:rPr>
          <w:rFonts w:cs="Times New Roman"/>
        </w:rPr>
        <w:t xml:space="preserve"> the difference in the implied </w:t>
      </w:r>
      <w:r w:rsidR="0041164D" w:rsidRPr="006B5B91">
        <w:rPr>
          <w:rFonts w:cs="Times New Roman"/>
        </w:rPr>
        <w:t>yield</w:t>
      </w:r>
      <w:r w:rsidR="00841436">
        <w:rPr>
          <w:rFonts w:cs="Times New Roman"/>
        </w:rPr>
        <w:t xml:space="preserve"> </w:t>
      </w:r>
      <w:r w:rsidR="0041164D" w:rsidRPr="006B5B91">
        <w:rPr>
          <w:rFonts w:cs="Times New Roman"/>
        </w:rPr>
        <w:t xml:space="preserve">on a </w:t>
      </w:r>
      <w:r w:rsidR="00954A11">
        <w:rPr>
          <w:rFonts w:cs="Times New Roman"/>
        </w:rPr>
        <w:t>three</w:t>
      </w:r>
      <w:r w:rsidR="0041164D" w:rsidRPr="006B5B91">
        <w:rPr>
          <w:rFonts w:cs="Times New Roman"/>
        </w:rPr>
        <w:t xml:space="preserve">-month Treasury bill six quarters ahead and that of a </w:t>
      </w:r>
      <w:r w:rsidR="00954A11">
        <w:rPr>
          <w:rFonts w:cs="Times New Roman"/>
        </w:rPr>
        <w:t>three</w:t>
      </w:r>
      <w:r w:rsidR="0041164D" w:rsidRPr="006B5B91">
        <w:rPr>
          <w:rFonts w:cs="Times New Roman"/>
        </w:rPr>
        <w:t xml:space="preserve">-month Treasury bill today, </w:t>
      </w:r>
      <w:r w:rsidR="009958EB">
        <w:rPr>
          <w:rFonts w:cs="Times New Roman"/>
        </w:rPr>
        <w:t>is</w:t>
      </w:r>
      <w:r w:rsidR="0041164D" w:rsidRPr="006B5B91">
        <w:rPr>
          <w:rFonts w:cs="Times New Roman"/>
        </w:rPr>
        <w:t xml:space="preserve"> shown by the authors to have stronger predictive power than that of both the traditional long-term spreads in the </w:t>
      </w:r>
      <w:r w:rsidR="00F65A20">
        <w:rPr>
          <w:rFonts w:cs="Times New Roman"/>
        </w:rPr>
        <w:t>U.S.</w:t>
      </w:r>
      <w:r w:rsidR="00954A11">
        <w:rPr>
          <w:rFonts w:cs="Times New Roman"/>
        </w:rPr>
        <w:t xml:space="preserve"> </w:t>
      </w:r>
    </w:p>
    <w:p w14:paraId="3CBDA507" w14:textId="5B3C4CAD" w:rsidR="00954A11" w:rsidRDefault="00954A11" w:rsidP="00241853">
      <w:pPr>
        <w:spacing w:line="480" w:lineRule="auto"/>
        <w:ind w:firstLine="720"/>
        <w:rPr>
          <w:rFonts w:cs="Times New Roman"/>
        </w:rPr>
      </w:pPr>
      <w:r>
        <w:rPr>
          <w:rFonts w:cs="Times New Roman"/>
        </w:rPr>
        <w:lastRenderedPageBreak/>
        <w:t xml:space="preserve">This paper examines </w:t>
      </w:r>
      <w:r w:rsidR="00F57653" w:rsidRPr="006B5B91">
        <w:rPr>
          <w:rFonts w:cs="Times New Roman"/>
        </w:rPr>
        <w:t xml:space="preserve">the predictive power of this near-term forward spread in Canada. </w:t>
      </w:r>
      <w:r w:rsidR="00A43B41" w:rsidRPr="00475E29">
        <w:rPr>
          <w:rFonts w:cs="Times New Roman"/>
        </w:rPr>
        <w:t>The r</w:t>
      </w:r>
      <w:r w:rsidRPr="00475E29">
        <w:rPr>
          <w:rFonts w:cs="Times New Roman"/>
        </w:rPr>
        <w:t>esults show</w:t>
      </w:r>
      <w:r w:rsidR="00F57653" w:rsidRPr="00475E29">
        <w:rPr>
          <w:rFonts w:cs="Times New Roman"/>
        </w:rPr>
        <w:t xml:space="preserve"> </w:t>
      </w:r>
      <w:r w:rsidR="00A43B41" w:rsidRPr="00475E29">
        <w:rPr>
          <w:rFonts w:cs="Times New Roman"/>
        </w:rPr>
        <w:t xml:space="preserve">that </w:t>
      </w:r>
      <w:r w:rsidR="00F57653" w:rsidRPr="00475E29">
        <w:rPr>
          <w:rFonts w:cs="Times New Roman"/>
        </w:rPr>
        <w:t xml:space="preserve">the near-term forward </w:t>
      </w:r>
      <w:r w:rsidR="0023613D" w:rsidRPr="00475E29">
        <w:rPr>
          <w:rFonts w:cs="Times New Roman"/>
        </w:rPr>
        <w:t>spread</w:t>
      </w:r>
      <w:r w:rsidR="00F57653" w:rsidRPr="00475E29">
        <w:rPr>
          <w:rFonts w:cs="Times New Roman"/>
        </w:rPr>
        <w:t xml:space="preserve"> has stronger predictive power </w:t>
      </w:r>
      <w:r w:rsidR="002F66A8" w:rsidRPr="00475E29">
        <w:rPr>
          <w:rFonts w:cs="Times New Roman"/>
        </w:rPr>
        <w:t xml:space="preserve">than the traditional 10y-2y and 10y-3m yield spreads </w:t>
      </w:r>
      <w:r w:rsidR="00F57653" w:rsidRPr="00475E29">
        <w:rPr>
          <w:rFonts w:cs="Times New Roman"/>
        </w:rPr>
        <w:t xml:space="preserve">for forecasting a Canadian recession </w:t>
      </w:r>
      <w:r w:rsidR="002F66A8" w:rsidRPr="00475E29">
        <w:rPr>
          <w:rFonts w:cs="Times New Roman"/>
        </w:rPr>
        <w:t>one to two years ahead</w:t>
      </w:r>
      <w:r w:rsidR="00330347" w:rsidRPr="00475E29">
        <w:rPr>
          <w:rFonts w:cs="Times New Roman"/>
        </w:rPr>
        <w:t>, using both the C.D. Howe Institute recession dates and the ECRI recession dates.</w:t>
      </w:r>
      <w:r w:rsidR="00330347">
        <w:rPr>
          <w:rFonts w:cs="Times New Roman"/>
        </w:rPr>
        <w:t xml:space="preserve"> </w:t>
      </w:r>
    </w:p>
    <w:p w14:paraId="69C9CB63" w14:textId="5AEB0FEF" w:rsidR="00F17B04" w:rsidRPr="006B5B91" w:rsidRDefault="00954A11" w:rsidP="00F65E80">
      <w:pPr>
        <w:spacing w:line="480" w:lineRule="auto"/>
        <w:ind w:firstLine="720"/>
        <w:rPr>
          <w:rFonts w:cs="Times New Roman"/>
        </w:rPr>
      </w:pPr>
      <w:r w:rsidRPr="00475E29">
        <w:rPr>
          <w:rFonts w:cs="Times New Roman"/>
        </w:rPr>
        <w:t xml:space="preserve">Similar results are found for forecasting real output growth. The near-term forward </w:t>
      </w:r>
      <w:r w:rsidR="0023613D" w:rsidRPr="00475E29">
        <w:rPr>
          <w:rFonts w:cs="Times New Roman"/>
        </w:rPr>
        <w:t xml:space="preserve">spread </w:t>
      </w:r>
      <w:r w:rsidRPr="00475E29">
        <w:rPr>
          <w:rFonts w:cs="Times New Roman"/>
        </w:rPr>
        <w:t>does a better job at forecasting real GDP growth</w:t>
      </w:r>
      <w:r w:rsidR="00845995" w:rsidRPr="00475E29">
        <w:rPr>
          <w:rFonts w:cs="Times New Roman"/>
        </w:rPr>
        <w:t xml:space="preserve"> in Canada</w:t>
      </w:r>
      <w:r w:rsidRPr="00475E29">
        <w:rPr>
          <w:rFonts w:cs="Times New Roman"/>
        </w:rPr>
        <w:t xml:space="preserve"> </w:t>
      </w:r>
      <w:r w:rsidR="00D9751D" w:rsidRPr="00475E29">
        <w:rPr>
          <w:rFonts w:cs="Times New Roman"/>
        </w:rPr>
        <w:t>12</w:t>
      </w:r>
      <w:r w:rsidR="002F66A8" w:rsidRPr="00475E29">
        <w:rPr>
          <w:rFonts w:cs="Times New Roman"/>
        </w:rPr>
        <w:t>-</w:t>
      </w:r>
      <w:r w:rsidRPr="00475E29">
        <w:rPr>
          <w:rFonts w:cs="Times New Roman"/>
        </w:rPr>
        <w:t xml:space="preserve">months ahead than the </w:t>
      </w:r>
      <w:r w:rsidR="00D9751D" w:rsidRPr="00475E29">
        <w:rPr>
          <w:rFonts w:cs="Times New Roman"/>
        </w:rPr>
        <w:t xml:space="preserve">10y-3m </w:t>
      </w:r>
      <w:r w:rsidRPr="00475E29">
        <w:rPr>
          <w:rFonts w:cs="Times New Roman"/>
        </w:rPr>
        <w:t>yield spread</w:t>
      </w:r>
      <w:r w:rsidR="002F66A8" w:rsidRPr="00475E29">
        <w:rPr>
          <w:rFonts w:cs="Times New Roman"/>
        </w:rPr>
        <w:t>. Although the 10y-2y yield spread sh</w:t>
      </w:r>
      <w:r w:rsidR="00F65E80" w:rsidRPr="00475E29">
        <w:rPr>
          <w:rFonts w:cs="Times New Roman"/>
        </w:rPr>
        <w:t>ows the largest</w:t>
      </w:r>
      <w:r w:rsidR="002F66A8" w:rsidRPr="00475E29">
        <w:rPr>
          <w:rFonts w:cs="Times New Roman"/>
        </w:rPr>
        <w:t xml:space="preserve"> effect</w:t>
      </w:r>
      <w:r w:rsidR="00F65E80" w:rsidRPr="00475E29">
        <w:rPr>
          <w:rFonts w:cs="Times New Roman"/>
        </w:rPr>
        <w:t>, it is the</w:t>
      </w:r>
      <w:r w:rsidRPr="00475E29">
        <w:rPr>
          <w:rFonts w:cs="Times New Roman"/>
        </w:rPr>
        <w:t xml:space="preserve"> near-term forward spread </w:t>
      </w:r>
      <w:r w:rsidR="00F65E80" w:rsidRPr="00475E29">
        <w:rPr>
          <w:rFonts w:cs="Times New Roman"/>
        </w:rPr>
        <w:t xml:space="preserve">that has the highest explanatory power of the three spreads. The near-term forward spread, as well as the 10y-3m yield spread, show </w:t>
      </w:r>
      <w:r w:rsidRPr="00475E29">
        <w:rPr>
          <w:rFonts w:cs="Times New Roman"/>
        </w:rPr>
        <w:t>no predictive power for inflation in Canada</w:t>
      </w:r>
      <w:r w:rsidR="00F65E80" w:rsidRPr="00475E29">
        <w:rPr>
          <w:rFonts w:cs="Times New Roman"/>
        </w:rPr>
        <w:t xml:space="preserve"> for the time period used in the analysis.</w:t>
      </w:r>
    </w:p>
    <w:p w14:paraId="38DFEBB6" w14:textId="05017414" w:rsidR="00FD0B8D" w:rsidRDefault="00A74C50" w:rsidP="00FD0B8D">
      <w:pPr>
        <w:spacing w:line="480" w:lineRule="auto"/>
        <w:ind w:firstLine="720"/>
        <w:rPr>
          <w:rFonts w:cs="Times New Roman"/>
        </w:rPr>
      </w:pPr>
      <w:r w:rsidRPr="00475E29">
        <w:rPr>
          <w:rFonts w:cs="Times New Roman"/>
        </w:rPr>
        <w:t xml:space="preserve">The results of this paper are </w:t>
      </w:r>
      <w:r w:rsidR="002F66A8" w:rsidRPr="00475E29">
        <w:rPr>
          <w:rFonts w:cs="Times New Roman"/>
        </w:rPr>
        <w:t>similar</w:t>
      </w:r>
      <w:r w:rsidR="00954A11" w:rsidRPr="00475E29">
        <w:rPr>
          <w:rFonts w:cs="Times New Roman"/>
        </w:rPr>
        <w:t xml:space="preserve"> to the </w:t>
      </w:r>
      <w:r w:rsidRPr="00475E29">
        <w:rPr>
          <w:rFonts w:cs="Times New Roman"/>
        </w:rPr>
        <w:t xml:space="preserve">results </w:t>
      </w:r>
      <w:r w:rsidR="00F17B04" w:rsidRPr="00475E29">
        <w:rPr>
          <w:rFonts w:cs="Times New Roman"/>
        </w:rPr>
        <w:t xml:space="preserve">of Engstrom and </w:t>
      </w:r>
      <w:r w:rsidR="00594E2B" w:rsidRPr="00475E29">
        <w:rPr>
          <w:rFonts w:cs="Times New Roman"/>
        </w:rPr>
        <w:t>Sharpe</w:t>
      </w:r>
      <w:r w:rsidR="00F17B04" w:rsidRPr="00475E29">
        <w:rPr>
          <w:rFonts w:cs="Times New Roman"/>
        </w:rPr>
        <w:t xml:space="preserve"> (</w:t>
      </w:r>
      <w:r w:rsidR="00D37B9D" w:rsidRPr="00475E29">
        <w:rPr>
          <w:rFonts w:cs="Times New Roman"/>
        </w:rPr>
        <w:t>2019</w:t>
      </w:r>
      <w:r w:rsidR="00F17B04" w:rsidRPr="00475E29">
        <w:rPr>
          <w:rFonts w:cs="Times New Roman"/>
        </w:rPr>
        <w:t>)</w:t>
      </w:r>
      <w:r w:rsidR="005F644C" w:rsidRPr="00475E29">
        <w:rPr>
          <w:rFonts w:cs="Times New Roman"/>
        </w:rPr>
        <w:t>, who</w:t>
      </w:r>
      <w:r w:rsidRPr="00475E29">
        <w:rPr>
          <w:rFonts w:cs="Times New Roman"/>
        </w:rPr>
        <w:t xml:space="preserve"> find</w:t>
      </w:r>
      <w:r w:rsidR="00F17B04" w:rsidRPr="00475E29">
        <w:rPr>
          <w:rFonts w:cs="Times New Roman"/>
        </w:rPr>
        <w:t xml:space="preserve"> that the near-term forward spread dominate</w:t>
      </w:r>
      <w:r w:rsidR="009142EC" w:rsidRPr="00475E29">
        <w:rPr>
          <w:rFonts w:cs="Times New Roman"/>
        </w:rPr>
        <w:t>s</w:t>
      </w:r>
      <w:r w:rsidR="00F17B04" w:rsidRPr="00475E29">
        <w:rPr>
          <w:rFonts w:cs="Times New Roman"/>
        </w:rPr>
        <w:t xml:space="preserve"> both the </w:t>
      </w:r>
      <w:r w:rsidRPr="00475E29">
        <w:rPr>
          <w:rFonts w:cs="Times New Roman"/>
        </w:rPr>
        <w:t>conventional yield</w:t>
      </w:r>
      <w:r w:rsidR="00F17B04" w:rsidRPr="00475E29">
        <w:rPr>
          <w:rFonts w:cs="Times New Roman"/>
        </w:rPr>
        <w:t xml:space="preserve"> spreads in the </w:t>
      </w:r>
      <w:r w:rsidR="000C07F3" w:rsidRPr="00475E29">
        <w:rPr>
          <w:rFonts w:cs="Times New Roman"/>
        </w:rPr>
        <w:t>U.S.</w:t>
      </w:r>
      <w:r w:rsidR="00F17B04" w:rsidRPr="00475E29">
        <w:rPr>
          <w:rFonts w:cs="Times New Roman"/>
        </w:rPr>
        <w:t xml:space="preserve"> for </w:t>
      </w:r>
      <w:r w:rsidR="007E027B" w:rsidRPr="00475E29">
        <w:rPr>
          <w:rFonts w:cs="Times New Roman"/>
        </w:rPr>
        <w:t>forecasting</w:t>
      </w:r>
      <w:r w:rsidR="00F17B04" w:rsidRPr="00475E29">
        <w:rPr>
          <w:rFonts w:cs="Times New Roman"/>
        </w:rPr>
        <w:t xml:space="preserve"> a recession</w:t>
      </w:r>
      <w:r w:rsidR="007E027B" w:rsidRPr="00475E29">
        <w:rPr>
          <w:rFonts w:cs="Times New Roman"/>
        </w:rPr>
        <w:t xml:space="preserve">, </w:t>
      </w:r>
      <w:r w:rsidR="00F17B04" w:rsidRPr="00475E29">
        <w:rPr>
          <w:rFonts w:cs="Times New Roman"/>
        </w:rPr>
        <w:t>real GDP growth and equity</w:t>
      </w:r>
      <w:r w:rsidR="0062015A" w:rsidRPr="00475E29">
        <w:rPr>
          <w:rFonts w:cs="Times New Roman"/>
        </w:rPr>
        <w:t xml:space="preserve"> returns</w:t>
      </w:r>
      <w:r w:rsidR="00F17B04" w:rsidRPr="00475E29">
        <w:rPr>
          <w:rFonts w:cs="Times New Roman"/>
        </w:rPr>
        <w:t xml:space="preserve"> </w:t>
      </w:r>
      <w:r w:rsidR="007E027B" w:rsidRPr="00475E29">
        <w:rPr>
          <w:rFonts w:cs="Times New Roman"/>
        </w:rPr>
        <w:t>12-months ahead</w:t>
      </w:r>
      <w:r w:rsidR="00F17B04" w:rsidRPr="00475E29">
        <w:rPr>
          <w:rFonts w:cs="Times New Roman"/>
        </w:rPr>
        <w:t>.</w:t>
      </w:r>
      <w:r w:rsidRPr="00475E29">
        <w:rPr>
          <w:rFonts w:cs="Times New Roman"/>
        </w:rPr>
        <w:t xml:space="preserve"> </w:t>
      </w:r>
      <w:r w:rsidR="00F65E80" w:rsidRPr="00475E29">
        <w:rPr>
          <w:rFonts w:cs="Times New Roman"/>
        </w:rPr>
        <w:t>The most notable difference in results is in the magnitude of the estimated effect, which is overall smaller for Canada than for the U.S.</w:t>
      </w:r>
    </w:p>
    <w:p w14:paraId="1181E46F" w14:textId="34C472E7" w:rsidR="00964D28" w:rsidRPr="006B5B91" w:rsidRDefault="00F65E80" w:rsidP="000E32EC">
      <w:pPr>
        <w:spacing w:line="480" w:lineRule="auto"/>
        <w:ind w:firstLine="720"/>
        <w:rPr>
          <w:rFonts w:cs="Times New Roman"/>
        </w:rPr>
      </w:pPr>
      <w:r w:rsidRPr="00475E29">
        <w:rPr>
          <w:rFonts w:cs="Times New Roman"/>
        </w:rPr>
        <w:t xml:space="preserve">Although the analysis of this paper found similar results to that of Engstrom and Sharpe (2019), </w:t>
      </w:r>
      <w:r w:rsidR="007E027B" w:rsidRPr="00475E29">
        <w:rPr>
          <w:rFonts w:cs="Times New Roman"/>
        </w:rPr>
        <w:t>there are important differe</w:t>
      </w:r>
      <w:r w:rsidR="0062015A" w:rsidRPr="00475E29">
        <w:rPr>
          <w:rFonts w:cs="Times New Roman"/>
        </w:rPr>
        <w:t>nces in the setup of each study</w:t>
      </w:r>
      <w:r w:rsidRPr="00475E29">
        <w:rPr>
          <w:rFonts w:cs="Times New Roman"/>
        </w:rPr>
        <w:t>.</w:t>
      </w:r>
      <w:r w:rsidR="000E32EC" w:rsidRPr="00475E29">
        <w:rPr>
          <w:rFonts w:cs="Times New Roman"/>
        </w:rPr>
        <w:t xml:space="preserve"> </w:t>
      </w:r>
      <w:r w:rsidR="005F644C" w:rsidRPr="00475E29">
        <w:rPr>
          <w:rFonts w:cs="Times New Roman"/>
        </w:rPr>
        <w:t>One</w:t>
      </w:r>
      <w:r w:rsidR="0062015A" w:rsidRPr="00475E29">
        <w:rPr>
          <w:rFonts w:cs="Times New Roman"/>
        </w:rPr>
        <w:t xml:space="preserve"> difference</w:t>
      </w:r>
      <w:r w:rsidR="005F644C" w:rsidRPr="00475E29">
        <w:rPr>
          <w:rFonts w:cs="Times New Roman"/>
        </w:rPr>
        <w:t xml:space="preserve"> </w:t>
      </w:r>
      <w:r w:rsidR="007E027B" w:rsidRPr="00475E29">
        <w:rPr>
          <w:rFonts w:cs="Times New Roman"/>
        </w:rPr>
        <w:t>is t</w:t>
      </w:r>
      <w:r w:rsidR="000E32EC" w:rsidRPr="00475E29">
        <w:rPr>
          <w:rFonts w:cs="Times New Roman"/>
        </w:rPr>
        <w:t>he</w:t>
      </w:r>
      <w:r w:rsidR="00FF2453" w:rsidRPr="00475E29">
        <w:rPr>
          <w:rFonts w:cs="Times New Roman"/>
        </w:rPr>
        <w:t xml:space="preserve"> span of the data</w:t>
      </w:r>
      <w:r w:rsidR="005F644C" w:rsidRPr="00475E29">
        <w:rPr>
          <w:rFonts w:cs="Times New Roman"/>
        </w:rPr>
        <w:t xml:space="preserve"> used in each analysis</w:t>
      </w:r>
      <w:r w:rsidR="00FF2453" w:rsidRPr="00475E29">
        <w:rPr>
          <w:rFonts w:cs="Times New Roman"/>
        </w:rPr>
        <w:t>.</w:t>
      </w:r>
      <w:r w:rsidR="00FF2453" w:rsidRPr="006B5B91">
        <w:rPr>
          <w:rFonts w:cs="Times New Roman"/>
        </w:rPr>
        <w:t xml:space="preserve"> </w:t>
      </w:r>
      <w:r w:rsidR="00A43B41">
        <w:rPr>
          <w:rFonts w:cs="Times New Roman"/>
        </w:rPr>
        <w:t xml:space="preserve">The </w:t>
      </w:r>
      <w:r w:rsidR="000C07F3">
        <w:rPr>
          <w:rFonts w:cs="Times New Roman"/>
        </w:rPr>
        <w:t>U.S.</w:t>
      </w:r>
      <w:r w:rsidR="00FF2453" w:rsidRPr="006B5B91">
        <w:rPr>
          <w:rFonts w:cs="Times New Roman"/>
        </w:rPr>
        <w:t xml:space="preserve"> yield curve data used by Engstrom and </w:t>
      </w:r>
      <w:r w:rsidR="00594E2B" w:rsidRPr="006B5B91">
        <w:rPr>
          <w:rFonts w:cs="Times New Roman"/>
        </w:rPr>
        <w:t>Sharpe</w:t>
      </w:r>
      <w:r w:rsidR="00FF2453" w:rsidRPr="006B5B91">
        <w:rPr>
          <w:rFonts w:cs="Times New Roman"/>
        </w:rPr>
        <w:t xml:space="preserve"> (</w:t>
      </w:r>
      <w:r w:rsidR="00D37B9D">
        <w:rPr>
          <w:rFonts w:cs="Times New Roman"/>
        </w:rPr>
        <w:t>2019</w:t>
      </w:r>
      <w:r w:rsidR="00FF2453" w:rsidRPr="006B5B91">
        <w:rPr>
          <w:rFonts w:cs="Times New Roman"/>
        </w:rPr>
        <w:t>) is available from 1961, allowing for more recession</w:t>
      </w:r>
      <w:r w:rsidR="00A74C50">
        <w:rPr>
          <w:rFonts w:cs="Times New Roman"/>
        </w:rPr>
        <w:t>ary</w:t>
      </w:r>
      <w:r w:rsidR="00FF2453" w:rsidRPr="006B5B91">
        <w:rPr>
          <w:rFonts w:cs="Times New Roman"/>
        </w:rPr>
        <w:t xml:space="preserve"> periods to be used in the analysis. </w:t>
      </w:r>
      <w:r w:rsidR="00A43B41">
        <w:rPr>
          <w:rFonts w:cs="Times New Roman"/>
        </w:rPr>
        <w:t xml:space="preserve">The </w:t>
      </w:r>
      <w:r w:rsidR="00FF2453" w:rsidRPr="006B5B91">
        <w:rPr>
          <w:rFonts w:cs="Times New Roman"/>
        </w:rPr>
        <w:t>Canadian yield curve data</w:t>
      </w:r>
      <w:r w:rsidR="00A74C50">
        <w:rPr>
          <w:rFonts w:cs="Times New Roman"/>
        </w:rPr>
        <w:t>, on the other hand,</w:t>
      </w:r>
      <w:r w:rsidR="00FF2453" w:rsidRPr="006B5B91">
        <w:rPr>
          <w:rFonts w:cs="Times New Roman"/>
        </w:rPr>
        <w:t xml:space="preserve"> is available </w:t>
      </w:r>
      <w:r w:rsidR="001C5C65">
        <w:rPr>
          <w:rFonts w:cs="Times New Roman"/>
        </w:rPr>
        <w:t>from</w:t>
      </w:r>
      <w:r w:rsidR="00FF2453" w:rsidRPr="006B5B91">
        <w:rPr>
          <w:rFonts w:cs="Times New Roman"/>
        </w:rPr>
        <w:t xml:space="preserve"> 1986, allowing for only two recession periods using the </w:t>
      </w:r>
      <w:r w:rsidR="000C07F3">
        <w:rPr>
          <w:rFonts w:cs="Times New Roman"/>
        </w:rPr>
        <w:t>C.D.</w:t>
      </w:r>
      <w:r w:rsidR="00FF2453" w:rsidRPr="006B5B91">
        <w:rPr>
          <w:rFonts w:cs="Times New Roman"/>
        </w:rPr>
        <w:t xml:space="preserve"> Howe Institute and </w:t>
      </w:r>
      <w:r w:rsidR="00134D6B">
        <w:rPr>
          <w:rFonts w:cs="Times New Roman"/>
        </w:rPr>
        <w:t xml:space="preserve">the </w:t>
      </w:r>
      <w:r w:rsidR="00FF2453" w:rsidRPr="006B5B91">
        <w:rPr>
          <w:rFonts w:cs="Times New Roman"/>
        </w:rPr>
        <w:t xml:space="preserve">ECRI recession dates. The inclusion of </w:t>
      </w:r>
      <w:r w:rsidR="00A43B41">
        <w:rPr>
          <w:rFonts w:cs="Times New Roman"/>
        </w:rPr>
        <w:t xml:space="preserve">the </w:t>
      </w:r>
      <w:r w:rsidR="00FF2453" w:rsidRPr="006B5B91">
        <w:rPr>
          <w:rFonts w:cs="Times New Roman"/>
        </w:rPr>
        <w:t xml:space="preserve">OECD recession dates </w:t>
      </w:r>
      <w:r w:rsidR="00134D6B">
        <w:rPr>
          <w:rFonts w:cs="Times New Roman"/>
        </w:rPr>
        <w:t xml:space="preserve">may </w:t>
      </w:r>
      <w:r w:rsidR="00FF2453" w:rsidRPr="006B5B91">
        <w:rPr>
          <w:rFonts w:cs="Times New Roman"/>
        </w:rPr>
        <w:t>allow for more recession</w:t>
      </w:r>
      <w:r w:rsidR="00123C9A">
        <w:rPr>
          <w:rFonts w:cs="Times New Roman"/>
        </w:rPr>
        <w:t>ary</w:t>
      </w:r>
      <w:r w:rsidR="00FF2453" w:rsidRPr="006B5B91">
        <w:rPr>
          <w:rFonts w:cs="Times New Roman"/>
        </w:rPr>
        <w:t xml:space="preserve"> periods</w:t>
      </w:r>
      <w:r w:rsidR="00134D6B">
        <w:rPr>
          <w:rFonts w:cs="Times New Roman"/>
        </w:rPr>
        <w:t xml:space="preserve"> to be used</w:t>
      </w:r>
      <w:r w:rsidR="00FF2453" w:rsidRPr="006B5B91">
        <w:rPr>
          <w:rFonts w:cs="Times New Roman"/>
        </w:rPr>
        <w:t xml:space="preserve"> in the analysis</w:t>
      </w:r>
      <w:r w:rsidR="00134D6B">
        <w:rPr>
          <w:rFonts w:cs="Times New Roman"/>
        </w:rPr>
        <w:t xml:space="preserve">, </w:t>
      </w:r>
      <w:r w:rsidR="00134D6B">
        <w:rPr>
          <w:rFonts w:cs="Times New Roman"/>
        </w:rPr>
        <w:lastRenderedPageBreak/>
        <w:t>but</w:t>
      </w:r>
      <w:r w:rsidR="00FF2453" w:rsidRPr="006B5B91">
        <w:rPr>
          <w:rFonts w:cs="Times New Roman"/>
        </w:rPr>
        <w:t xml:space="preserve"> </w:t>
      </w:r>
      <w:r w:rsidR="00134D6B">
        <w:rPr>
          <w:rFonts w:cs="Times New Roman"/>
        </w:rPr>
        <w:t xml:space="preserve">the </w:t>
      </w:r>
      <w:r w:rsidR="00FF2453" w:rsidRPr="006B5B91">
        <w:rPr>
          <w:rFonts w:cs="Times New Roman"/>
        </w:rPr>
        <w:t xml:space="preserve">methodology differs more substantially </w:t>
      </w:r>
      <w:r w:rsidR="00A43B41">
        <w:rPr>
          <w:rFonts w:cs="Times New Roman"/>
        </w:rPr>
        <w:t>from</w:t>
      </w:r>
      <w:r w:rsidR="00FF2453" w:rsidRPr="006B5B91">
        <w:rPr>
          <w:rFonts w:cs="Times New Roman"/>
        </w:rPr>
        <w:t xml:space="preserve"> the other two methods, which</w:t>
      </w:r>
      <w:r w:rsidR="00134D6B">
        <w:rPr>
          <w:rFonts w:cs="Times New Roman"/>
        </w:rPr>
        <w:t xml:space="preserve"> </w:t>
      </w:r>
      <w:r w:rsidR="00FF2453" w:rsidRPr="006B5B91">
        <w:rPr>
          <w:rFonts w:cs="Times New Roman"/>
        </w:rPr>
        <w:t xml:space="preserve">more closely resemble the methodology used by </w:t>
      </w:r>
      <w:r w:rsidR="00134D6B">
        <w:rPr>
          <w:rFonts w:cs="Times New Roman"/>
        </w:rPr>
        <w:t xml:space="preserve">the </w:t>
      </w:r>
      <w:r w:rsidR="00FF2453" w:rsidRPr="006B5B91">
        <w:rPr>
          <w:rFonts w:cs="Times New Roman"/>
        </w:rPr>
        <w:t xml:space="preserve">NBER for </w:t>
      </w:r>
      <w:r w:rsidR="000C07F3">
        <w:rPr>
          <w:rFonts w:cs="Times New Roman"/>
        </w:rPr>
        <w:t>U.S.</w:t>
      </w:r>
      <w:r w:rsidR="00FF2453" w:rsidRPr="006B5B91">
        <w:rPr>
          <w:rFonts w:cs="Times New Roman"/>
        </w:rPr>
        <w:t xml:space="preserve"> recession dating.</w:t>
      </w:r>
    </w:p>
    <w:p w14:paraId="54AE745F" w14:textId="582B3459" w:rsidR="00C100F4" w:rsidRDefault="000E32EC">
      <w:pPr>
        <w:spacing w:line="480" w:lineRule="auto"/>
        <w:ind w:firstLine="720"/>
        <w:rPr>
          <w:rFonts w:cs="Times New Roman"/>
        </w:rPr>
      </w:pPr>
      <w:r w:rsidRPr="00475E29">
        <w:rPr>
          <w:rFonts w:cs="Times New Roman"/>
        </w:rPr>
        <w:t>Another key difference between t</w:t>
      </w:r>
      <w:r w:rsidR="00F4552E" w:rsidRPr="00475E29">
        <w:rPr>
          <w:rFonts w:cs="Times New Roman"/>
        </w:rPr>
        <w:t>he</w:t>
      </w:r>
      <w:r w:rsidRPr="00475E29">
        <w:rPr>
          <w:rFonts w:cs="Times New Roman"/>
        </w:rPr>
        <w:t xml:space="preserve"> two studies is that</w:t>
      </w:r>
      <w:r w:rsidR="00FF2453" w:rsidRPr="00475E29">
        <w:rPr>
          <w:rFonts w:cs="Times New Roman"/>
        </w:rPr>
        <w:t xml:space="preserve"> different methodologies </w:t>
      </w:r>
      <w:r w:rsidR="00A74C50" w:rsidRPr="00475E29">
        <w:rPr>
          <w:rFonts w:cs="Times New Roman"/>
        </w:rPr>
        <w:t>are</w:t>
      </w:r>
      <w:r w:rsidR="00FF2453" w:rsidRPr="00475E29">
        <w:rPr>
          <w:rFonts w:cs="Times New Roman"/>
        </w:rPr>
        <w:t xml:space="preserve"> used to construct</w:t>
      </w:r>
      <w:r w:rsidR="00964D28" w:rsidRPr="00475E29">
        <w:rPr>
          <w:rFonts w:cs="Times New Roman"/>
        </w:rPr>
        <w:t xml:space="preserve"> yield curves </w:t>
      </w:r>
      <w:r w:rsidR="00071285" w:rsidRPr="00475E29">
        <w:rPr>
          <w:rFonts w:cs="Times New Roman"/>
        </w:rPr>
        <w:t xml:space="preserve">that produce </w:t>
      </w:r>
      <w:r w:rsidR="00FF2453" w:rsidRPr="00475E29">
        <w:rPr>
          <w:rFonts w:cs="Times New Roman"/>
        </w:rPr>
        <w:t>near-term forward rates</w:t>
      </w:r>
      <w:r w:rsidR="00071285" w:rsidRPr="006B5B91">
        <w:rPr>
          <w:rFonts w:cs="Times New Roman"/>
        </w:rPr>
        <w:t>.</w:t>
      </w:r>
      <w:r w:rsidR="00FF2453" w:rsidRPr="006B5B91">
        <w:rPr>
          <w:rFonts w:cs="Times New Roman"/>
        </w:rPr>
        <w:t xml:space="preserve"> </w:t>
      </w:r>
      <w:r w:rsidR="00845995" w:rsidRPr="006B5B91">
        <w:rPr>
          <w:rFonts w:cs="Times New Roman"/>
        </w:rPr>
        <w:t>One of the most popular methods is the</w:t>
      </w:r>
      <w:r w:rsidR="00845995">
        <w:rPr>
          <w:rFonts w:cs="Times New Roman"/>
        </w:rPr>
        <w:t xml:space="preserve"> </w:t>
      </w:r>
      <w:r w:rsidR="00845995" w:rsidRPr="006B5B91">
        <w:rPr>
          <w:rFonts w:cs="Times New Roman"/>
        </w:rPr>
        <w:t>Nelson-Siegel-Svensson method. Extending the work of Nelson and Siegel (1987), Svensson (1994) includes an additional term to the function that generates yield curves and forward rates, allowing for more flexibility and an improved fit. This approach is commonly used by central banks of many developed countries, including Belgium, France, Germany, Norway, Spain, Switzerland, and Sweden (BIS, 2005).</w:t>
      </w:r>
      <w:r w:rsidR="00845995">
        <w:rPr>
          <w:rFonts w:cs="Times New Roman"/>
        </w:rPr>
        <w:t xml:space="preserve"> </w:t>
      </w:r>
      <w:r w:rsidR="00FF2453" w:rsidRPr="006B5B91">
        <w:rPr>
          <w:rFonts w:cs="Times New Roman"/>
        </w:rPr>
        <w:t xml:space="preserve">The analysis of Engstrom and </w:t>
      </w:r>
      <w:r w:rsidR="00594E2B" w:rsidRPr="006B5B91">
        <w:rPr>
          <w:rFonts w:cs="Times New Roman"/>
        </w:rPr>
        <w:t>Sharpe</w:t>
      </w:r>
      <w:r w:rsidR="00FF2453" w:rsidRPr="006B5B91">
        <w:rPr>
          <w:rFonts w:cs="Times New Roman"/>
        </w:rPr>
        <w:t xml:space="preserve"> (</w:t>
      </w:r>
      <w:r w:rsidR="00D37B9D">
        <w:rPr>
          <w:rFonts w:cs="Times New Roman"/>
        </w:rPr>
        <w:t>2019</w:t>
      </w:r>
      <w:r w:rsidR="00FF2453" w:rsidRPr="006B5B91">
        <w:rPr>
          <w:rFonts w:cs="Times New Roman"/>
        </w:rPr>
        <w:t xml:space="preserve">) </w:t>
      </w:r>
      <w:r w:rsidR="00A74C50">
        <w:rPr>
          <w:rFonts w:cs="Times New Roman"/>
        </w:rPr>
        <w:t>is</w:t>
      </w:r>
      <w:r w:rsidR="00FF2453" w:rsidRPr="006B5B91">
        <w:rPr>
          <w:rFonts w:cs="Times New Roman"/>
        </w:rPr>
        <w:t xml:space="preserve"> based on yield curves derived using the Nelsen-Siegel-Svensson </w:t>
      </w:r>
      <w:r w:rsidR="00071285" w:rsidRPr="006B5B91">
        <w:rPr>
          <w:rFonts w:cs="Times New Roman"/>
        </w:rPr>
        <w:t xml:space="preserve">method </w:t>
      </w:r>
      <w:r w:rsidR="008A36BC" w:rsidRPr="006B5B91">
        <w:rPr>
          <w:rFonts w:cs="Times New Roman"/>
        </w:rPr>
        <w:t>(a function-based model)</w:t>
      </w:r>
      <w:r w:rsidR="00FF2453" w:rsidRPr="006B5B91">
        <w:rPr>
          <w:rFonts w:cs="Times New Roman"/>
        </w:rPr>
        <w:t xml:space="preserve">, whereas this analysis </w:t>
      </w:r>
      <w:r w:rsidR="00A74C50">
        <w:rPr>
          <w:rFonts w:cs="Times New Roman"/>
        </w:rPr>
        <w:t>is</w:t>
      </w:r>
      <w:r w:rsidR="00FF2453" w:rsidRPr="006B5B91">
        <w:rPr>
          <w:rFonts w:cs="Times New Roman"/>
        </w:rPr>
        <w:t xml:space="preserve"> based on yield curves derived using the Merrill Lynch exponential spline (MLES) method</w:t>
      </w:r>
      <w:r w:rsidR="008A36BC" w:rsidRPr="006B5B91">
        <w:rPr>
          <w:rFonts w:cs="Times New Roman"/>
        </w:rPr>
        <w:t xml:space="preserve"> (a spline-based model)</w:t>
      </w:r>
      <w:r w:rsidR="00FF2453" w:rsidRPr="006B5B91">
        <w:rPr>
          <w:rFonts w:cs="Times New Roman"/>
        </w:rPr>
        <w:t>.</w:t>
      </w:r>
      <w:r w:rsidR="008A36BC" w:rsidRPr="006B5B91">
        <w:rPr>
          <w:rFonts w:cs="Times New Roman"/>
        </w:rPr>
        <w:t xml:space="preserve"> As noted by Bolder and Gusba (2002), different estimation methods can produce considerably </w:t>
      </w:r>
      <w:r w:rsidR="00773218">
        <w:rPr>
          <w:rFonts w:cs="Times New Roman"/>
        </w:rPr>
        <w:t xml:space="preserve">different </w:t>
      </w:r>
      <w:r w:rsidR="008A36BC" w:rsidRPr="006B5B91">
        <w:rPr>
          <w:rFonts w:cs="Times New Roman"/>
        </w:rPr>
        <w:t xml:space="preserve">yield curve shapes, which in turn can produce significantly different forward rate estimates. </w:t>
      </w:r>
      <w:r w:rsidR="00C100F4">
        <w:rPr>
          <w:rFonts w:cs="Times New Roman"/>
        </w:rPr>
        <w:t xml:space="preserve">Further research using yield curves generated with the </w:t>
      </w:r>
      <w:r w:rsidR="00C100F4" w:rsidRPr="006B5B91">
        <w:rPr>
          <w:rFonts w:cs="Times New Roman"/>
        </w:rPr>
        <w:t>N</w:t>
      </w:r>
      <w:r w:rsidR="00464F21">
        <w:rPr>
          <w:rFonts w:cs="Times New Roman"/>
        </w:rPr>
        <w:t>e</w:t>
      </w:r>
      <w:r w:rsidR="00C100F4" w:rsidRPr="006B5B91">
        <w:rPr>
          <w:rFonts w:cs="Times New Roman"/>
        </w:rPr>
        <w:t>lson-Siegel-Svensson</w:t>
      </w:r>
      <w:r w:rsidR="00C100F4">
        <w:rPr>
          <w:rFonts w:cs="Times New Roman"/>
        </w:rPr>
        <w:t xml:space="preserve">-method may </w:t>
      </w:r>
      <w:r w:rsidR="00A72B39">
        <w:rPr>
          <w:rFonts w:cs="Times New Roman"/>
        </w:rPr>
        <w:t>help determine</w:t>
      </w:r>
      <w:r w:rsidR="00C100F4">
        <w:rPr>
          <w:rFonts w:cs="Times New Roman"/>
        </w:rPr>
        <w:t xml:space="preserve"> </w:t>
      </w:r>
      <w:r w:rsidR="00A72B39">
        <w:rPr>
          <w:rFonts w:cs="Times New Roman"/>
        </w:rPr>
        <w:t>the ideal</w:t>
      </w:r>
      <w:r w:rsidR="00C100F4">
        <w:rPr>
          <w:rFonts w:cs="Times New Roman"/>
        </w:rPr>
        <w:t xml:space="preserve"> yield curve estimation method for producing near-term forward spreads with the strongest forecasting power.</w:t>
      </w:r>
    </w:p>
    <w:p w14:paraId="4EC3D581" w14:textId="77777777" w:rsidR="00C100F4" w:rsidRDefault="00C100F4" w:rsidP="00CE7EFE">
      <w:pPr>
        <w:spacing w:line="480" w:lineRule="auto"/>
        <w:ind w:firstLine="720"/>
        <w:rPr>
          <w:rFonts w:cs="Times New Roman"/>
        </w:rPr>
      </w:pPr>
    </w:p>
    <w:p w14:paraId="21122C02" w14:textId="5E315A60" w:rsidR="00102920" w:rsidRPr="006B5B91" w:rsidRDefault="00102920" w:rsidP="00C43B11">
      <w:pPr>
        <w:pStyle w:val="Heading1"/>
        <w:rPr>
          <w:rFonts w:cs="Times New Roman"/>
        </w:rPr>
      </w:pPr>
      <w:bookmarkStart w:id="46" w:name="_Toc36559295"/>
      <w:bookmarkStart w:id="47" w:name="_Toc37338058"/>
      <w:r w:rsidRPr="006B5B91">
        <w:rPr>
          <w:rFonts w:cs="Times New Roman"/>
        </w:rPr>
        <w:lastRenderedPageBreak/>
        <w:t>References</w:t>
      </w:r>
      <w:bookmarkEnd w:id="45"/>
      <w:bookmarkEnd w:id="46"/>
      <w:bookmarkEnd w:id="47"/>
    </w:p>
    <w:p w14:paraId="7FE85819"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Ang, A., Piazzesi, M., &amp; Wei, M. (2006). What does the yield curve tell U.S. about GDP growth? </w:t>
      </w:r>
      <w:r w:rsidRPr="00101448">
        <w:rPr>
          <w:rFonts w:cs="Times New Roman"/>
          <w:i/>
          <w:iCs/>
          <w:lang w:val="en-CA" w:eastAsia="en-CA"/>
        </w:rPr>
        <w:t>Journal of Econometrics</w:t>
      </w:r>
      <w:r w:rsidRPr="00101448">
        <w:rPr>
          <w:rFonts w:cs="Times New Roman"/>
          <w:lang w:val="en-CA" w:eastAsia="en-CA"/>
        </w:rPr>
        <w:t xml:space="preserve">, </w:t>
      </w:r>
      <w:r w:rsidRPr="00101448">
        <w:rPr>
          <w:rFonts w:cs="Times New Roman"/>
          <w:i/>
          <w:iCs/>
          <w:lang w:val="en-CA" w:eastAsia="en-CA"/>
        </w:rPr>
        <w:t>131</w:t>
      </w:r>
      <w:r w:rsidRPr="00101448">
        <w:rPr>
          <w:rFonts w:cs="Times New Roman"/>
          <w:lang w:val="en-CA" w:eastAsia="en-CA"/>
        </w:rPr>
        <w:t>(1-2), 359–403. doi: 10.1016/j.jeconom.2005.01.032</w:t>
      </w:r>
    </w:p>
    <w:p w14:paraId="0F88AFDF" w14:textId="77777777" w:rsidR="00D026C7" w:rsidRPr="00101448" w:rsidRDefault="00D026C7" w:rsidP="00AD1ECB">
      <w:pPr>
        <w:spacing w:line="276" w:lineRule="auto"/>
        <w:ind w:left="720" w:hanging="720"/>
        <w:rPr>
          <w:rFonts w:cs="Times New Roman"/>
        </w:rPr>
      </w:pPr>
    </w:p>
    <w:p w14:paraId="09CFAA00" w14:textId="554C1798" w:rsidR="00D026C7" w:rsidRPr="00101448" w:rsidRDefault="00D026C7" w:rsidP="00AD1ECB">
      <w:pPr>
        <w:spacing w:line="276" w:lineRule="auto"/>
        <w:ind w:left="720" w:hanging="720"/>
        <w:rPr>
          <w:rFonts w:cs="Times New Roman"/>
          <w:lang w:val="en-CA"/>
        </w:rPr>
      </w:pPr>
      <w:r w:rsidRPr="00101448">
        <w:rPr>
          <w:rFonts w:cs="Times New Roman"/>
        </w:rPr>
        <w:t>Aretz, K., &amp; Peel, D. A. (200</w:t>
      </w:r>
      <w:r w:rsidR="007F0366">
        <w:rPr>
          <w:rFonts w:cs="Times New Roman"/>
        </w:rPr>
        <w:t>8</w:t>
      </w:r>
      <w:r w:rsidRPr="00101448">
        <w:rPr>
          <w:rFonts w:cs="Times New Roman"/>
        </w:rPr>
        <w:t xml:space="preserve">). Spreads versus professional forecasters as predictors of future output change. </w:t>
      </w:r>
      <w:r w:rsidRPr="00101448">
        <w:rPr>
          <w:rFonts w:cs="Times New Roman"/>
          <w:i/>
          <w:iCs/>
        </w:rPr>
        <w:t>Journal of Forecasting</w:t>
      </w:r>
      <w:r w:rsidRPr="00101448">
        <w:rPr>
          <w:rFonts w:cs="Times New Roman"/>
        </w:rPr>
        <w:t xml:space="preserve">, </w:t>
      </w:r>
      <w:r w:rsidRPr="00101448">
        <w:rPr>
          <w:rFonts w:cs="Times New Roman"/>
          <w:i/>
          <w:iCs/>
        </w:rPr>
        <w:t>29</w:t>
      </w:r>
      <w:r w:rsidRPr="00101448">
        <w:rPr>
          <w:rFonts w:cs="Times New Roman"/>
        </w:rPr>
        <w:t xml:space="preserve">(6), 517–522. doi: 10.1002/for.1136 </w:t>
      </w:r>
    </w:p>
    <w:p w14:paraId="7EB96703" w14:textId="77777777" w:rsidR="00D026C7" w:rsidRPr="00101448" w:rsidRDefault="00D026C7" w:rsidP="00AD1ECB">
      <w:pPr>
        <w:spacing w:line="276" w:lineRule="auto"/>
        <w:ind w:left="720" w:hanging="720"/>
        <w:rPr>
          <w:rFonts w:cs="Times New Roman"/>
        </w:rPr>
      </w:pPr>
    </w:p>
    <w:p w14:paraId="29B1D3F4" w14:textId="329AF2F1" w:rsidR="00D026C7" w:rsidRPr="00101448" w:rsidRDefault="00D026C7" w:rsidP="00AD1ECB">
      <w:pPr>
        <w:spacing w:line="276" w:lineRule="auto"/>
        <w:ind w:left="720" w:hanging="720"/>
        <w:rPr>
          <w:rFonts w:cs="Times New Roman"/>
        </w:rPr>
      </w:pPr>
      <w:r w:rsidRPr="00101448">
        <w:rPr>
          <w:rFonts w:cs="Times New Roman"/>
        </w:rPr>
        <w:t xml:space="preserve">Atta-Mensah, J., &amp; Tkacz, G. (1998). Predicting Canadian recessions using financial variables: a probit approach. </w:t>
      </w:r>
      <w:r w:rsidRPr="000641EC">
        <w:rPr>
          <w:rFonts w:cs="Times New Roman"/>
          <w:i/>
          <w:iCs/>
          <w:lang w:val="en-CA"/>
        </w:rPr>
        <w:t>Bank of Canada Working Paper</w:t>
      </w:r>
      <w:r w:rsidRPr="00101448">
        <w:rPr>
          <w:rFonts w:cs="Times New Roman"/>
          <w:lang w:val="en-CA"/>
        </w:rPr>
        <w:t xml:space="preserve"> No. 98-5</w:t>
      </w:r>
      <w:r w:rsidR="0053092F">
        <w:rPr>
          <w:rFonts w:cs="Times New Roman"/>
          <w:lang w:val="en-CA"/>
        </w:rPr>
        <w:t>.</w:t>
      </w:r>
    </w:p>
    <w:p w14:paraId="7F4558F8" w14:textId="0C4E9629" w:rsidR="00D026C7" w:rsidRDefault="00D026C7" w:rsidP="0048526F">
      <w:pPr>
        <w:spacing w:line="276" w:lineRule="auto"/>
        <w:rPr>
          <w:rFonts w:cs="Times New Roman"/>
          <w:lang w:val="en-CA" w:eastAsia="en-CA"/>
        </w:rPr>
      </w:pPr>
    </w:p>
    <w:p w14:paraId="42A3CECE" w14:textId="28D274B8" w:rsidR="00E51874" w:rsidRPr="00CF642E" w:rsidRDefault="00E51874" w:rsidP="00475E29">
      <w:pPr>
        <w:ind w:left="720" w:hanging="720"/>
        <w:rPr>
          <w:rFonts w:cs="Times New Roman"/>
        </w:rPr>
      </w:pPr>
      <w:r>
        <w:rPr>
          <w:rFonts w:cs="Times New Roman"/>
        </w:rPr>
        <w:t xml:space="preserve">Bank of Canada. (2020). </w:t>
      </w:r>
      <w:r w:rsidRPr="004800C5">
        <w:rPr>
          <w:rFonts w:cs="Times New Roman"/>
        </w:rPr>
        <w:t>Yield Curves for Zero-Coupon Bonds</w:t>
      </w:r>
      <w:r w:rsidR="008B273A">
        <w:rPr>
          <w:rFonts w:cs="Times New Roman"/>
        </w:rPr>
        <w:t xml:space="preserve"> [Data file].</w:t>
      </w:r>
      <w:r>
        <w:rPr>
          <w:rFonts w:cs="Times New Roman"/>
        </w:rPr>
        <w:t xml:space="preserve"> </w:t>
      </w:r>
      <w:r w:rsidRPr="00CF642E">
        <w:rPr>
          <w:rFonts w:cs="Times New Roman"/>
        </w:rPr>
        <w:t>Retrieved from https://www.bankofcanada.ca/rates/interest-rates/bond-yield-curves/</w:t>
      </w:r>
    </w:p>
    <w:p w14:paraId="5EE642F6" w14:textId="77777777" w:rsidR="00E51874" w:rsidRDefault="00E51874" w:rsidP="0048526F">
      <w:pPr>
        <w:spacing w:line="276" w:lineRule="auto"/>
        <w:ind w:left="720" w:hanging="720"/>
        <w:rPr>
          <w:rFonts w:cs="Times New Roman"/>
          <w:lang w:val="en-CA" w:eastAsia="en-CA"/>
        </w:rPr>
      </w:pPr>
    </w:p>
    <w:p w14:paraId="3DE35DB7" w14:textId="4AA2B428" w:rsidR="0048526F" w:rsidRPr="0048526F" w:rsidRDefault="0048526F" w:rsidP="0048526F">
      <w:pPr>
        <w:spacing w:line="276" w:lineRule="auto"/>
        <w:ind w:left="720" w:hanging="720"/>
        <w:rPr>
          <w:rFonts w:cs="Times New Roman"/>
          <w:lang w:val="en-CA" w:eastAsia="en-CA"/>
        </w:rPr>
      </w:pPr>
      <w:r w:rsidRPr="00101448">
        <w:rPr>
          <w:rFonts w:cs="Times New Roman"/>
          <w:lang w:val="en-CA" w:eastAsia="en-CA"/>
        </w:rPr>
        <w:t xml:space="preserve">Bank of International Settlements </w:t>
      </w:r>
      <w:r w:rsidR="001E6FA6">
        <w:rPr>
          <w:rFonts w:cs="Times New Roman"/>
          <w:lang w:val="en-CA" w:eastAsia="en-CA"/>
        </w:rPr>
        <w:t>(BIS).</w:t>
      </w:r>
      <w:r w:rsidRPr="00101448">
        <w:rPr>
          <w:rFonts w:cs="Times New Roman"/>
          <w:lang w:val="en-CA" w:eastAsia="en-CA"/>
        </w:rPr>
        <w:t xml:space="preserve"> (2005). Zero-Coupon Yield Curves: Technical Documentation. </w:t>
      </w:r>
      <w:r w:rsidRPr="00101448">
        <w:rPr>
          <w:rFonts w:cs="Times New Roman"/>
          <w:i/>
          <w:iCs/>
          <w:lang w:val="en-CA" w:eastAsia="en-CA"/>
        </w:rPr>
        <w:t>SSRN Electronic Journal</w:t>
      </w:r>
      <w:r w:rsidRPr="00101448">
        <w:rPr>
          <w:rFonts w:cs="Times New Roman"/>
          <w:lang w:val="en-CA" w:eastAsia="en-CA"/>
        </w:rPr>
        <w:t>. doi: 10.2139/ssrn.1188514</w:t>
      </w:r>
    </w:p>
    <w:p w14:paraId="46ED09C0" w14:textId="77777777" w:rsidR="0048526F" w:rsidRPr="00101448" w:rsidRDefault="0048526F" w:rsidP="0048526F">
      <w:pPr>
        <w:spacing w:line="276" w:lineRule="auto"/>
        <w:rPr>
          <w:rFonts w:cs="Times New Roman"/>
          <w:lang w:val="en-CA" w:eastAsia="en-CA"/>
        </w:rPr>
      </w:pPr>
    </w:p>
    <w:p w14:paraId="22732E36"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Bernard, H., &amp; Gerlach, S. (1998). Does the term structure predict recessions? The international evidence. </w:t>
      </w:r>
      <w:r w:rsidRPr="00101448">
        <w:rPr>
          <w:rFonts w:cs="Times New Roman"/>
          <w:i/>
          <w:iCs/>
          <w:lang w:val="en-CA" w:eastAsia="en-CA"/>
        </w:rPr>
        <w:t>International Journal of Finance &amp; Economics</w:t>
      </w:r>
      <w:r w:rsidRPr="00101448">
        <w:rPr>
          <w:rFonts w:cs="Times New Roman"/>
          <w:lang w:val="en-CA" w:eastAsia="en-CA"/>
        </w:rPr>
        <w:t xml:space="preserve">, </w:t>
      </w:r>
      <w:r w:rsidRPr="00101448">
        <w:rPr>
          <w:rFonts w:cs="Times New Roman"/>
          <w:i/>
          <w:iCs/>
          <w:lang w:val="en-CA" w:eastAsia="en-CA"/>
        </w:rPr>
        <w:t>3</w:t>
      </w:r>
      <w:r w:rsidRPr="00101448">
        <w:rPr>
          <w:rFonts w:cs="Times New Roman"/>
          <w:lang w:val="en-CA" w:eastAsia="en-CA"/>
        </w:rPr>
        <w:t>(3), 195–215. doi: 10.1002/(sici)1099-1158(199807)3:3&lt;</w:t>
      </w:r>
      <w:proofErr w:type="gramStart"/>
      <w:r w:rsidRPr="00101448">
        <w:rPr>
          <w:rFonts w:cs="Times New Roman"/>
          <w:lang w:val="en-CA" w:eastAsia="en-CA"/>
        </w:rPr>
        <w:t>195::</w:t>
      </w:r>
      <w:proofErr w:type="gramEnd"/>
      <w:r w:rsidRPr="00101448">
        <w:rPr>
          <w:rFonts w:cs="Times New Roman"/>
          <w:lang w:val="en-CA" w:eastAsia="en-CA"/>
        </w:rPr>
        <w:t>aid-ijfe81&gt;3.0.co;2-m</w:t>
      </w:r>
    </w:p>
    <w:p w14:paraId="37C09ADE" w14:textId="77777777" w:rsidR="00D026C7" w:rsidRPr="00101448" w:rsidRDefault="00D026C7" w:rsidP="00AD1ECB">
      <w:pPr>
        <w:spacing w:line="276" w:lineRule="auto"/>
        <w:ind w:left="720" w:hanging="720"/>
        <w:rPr>
          <w:rFonts w:cs="Times New Roman"/>
          <w:lang w:val="en-CA" w:eastAsia="en-CA"/>
        </w:rPr>
      </w:pPr>
    </w:p>
    <w:p w14:paraId="471E46E5"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Bolder, D. J., &amp; Gusba, S. (2002). Exponentials, Polynomials, and Fourier Series: More Yield Curve Modelling at the Bank of Canada. </w:t>
      </w:r>
      <w:r w:rsidRPr="00101448">
        <w:rPr>
          <w:rFonts w:cs="Times New Roman"/>
          <w:i/>
          <w:iCs/>
          <w:lang w:val="en-CA" w:eastAsia="en-CA"/>
        </w:rPr>
        <w:t>SSRN Electronic Journal</w:t>
      </w:r>
      <w:r w:rsidRPr="00101448">
        <w:rPr>
          <w:rFonts w:cs="Times New Roman"/>
          <w:lang w:val="en-CA" w:eastAsia="en-CA"/>
        </w:rPr>
        <w:t>. doi: 10.2139/ssrn.1082835</w:t>
      </w:r>
    </w:p>
    <w:p w14:paraId="6F92A218" w14:textId="77777777" w:rsidR="00D026C7" w:rsidRPr="00101448" w:rsidRDefault="00D026C7" w:rsidP="00AD1ECB">
      <w:pPr>
        <w:spacing w:line="276" w:lineRule="auto"/>
        <w:ind w:left="720" w:hanging="720"/>
        <w:rPr>
          <w:rFonts w:cs="Times New Roman"/>
          <w:lang w:val="en-CA" w:eastAsia="en-CA"/>
        </w:rPr>
      </w:pPr>
    </w:p>
    <w:p w14:paraId="676169ED"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Bolder, D. J., Johnson, G., &amp; Metzler, A. (2004). An Empirical Analysis of the Canadian Term Structure of Zero-Coupon Interest Rates. </w:t>
      </w:r>
      <w:r w:rsidRPr="00101448">
        <w:rPr>
          <w:rFonts w:cs="Times New Roman"/>
          <w:i/>
          <w:iCs/>
          <w:lang w:val="en-CA" w:eastAsia="en-CA"/>
        </w:rPr>
        <w:t>SSRN Electronic Journal</w:t>
      </w:r>
      <w:r w:rsidRPr="00101448">
        <w:rPr>
          <w:rFonts w:cs="Times New Roman"/>
          <w:lang w:val="en-CA" w:eastAsia="en-CA"/>
        </w:rPr>
        <w:t>. doi: 10.2139/ssrn.1082833</w:t>
      </w:r>
    </w:p>
    <w:p w14:paraId="1F28A854" w14:textId="77777777" w:rsidR="0048526F" w:rsidRDefault="0048526F" w:rsidP="00AD1ECB">
      <w:pPr>
        <w:spacing w:line="276" w:lineRule="auto"/>
        <w:ind w:left="720" w:hanging="720"/>
        <w:rPr>
          <w:rFonts w:cs="Times New Roman"/>
        </w:rPr>
      </w:pPr>
    </w:p>
    <w:p w14:paraId="1F29A901" w14:textId="4D8CA5BB" w:rsidR="00D026C7" w:rsidRPr="00101448" w:rsidRDefault="00D026C7" w:rsidP="00AD1ECB">
      <w:pPr>
        <w:spacing w:line="276" w:lineRule="auto"/>
        <w:ind w:left="720" w:hanging="720"/>
        <w:rPr>
          <w:rFonts w:cs="Times New Roman"/>
          <w:lang w:val="en-CA" w:eastAsia="en-CA"/>
        </w:rPr>
      </w:pPr>
      <w:r w:rsidRPr="00101448">
        <w:rPr>
          <w:rFonts w:cs="Times New Roman"/>
        </w:rPr>
        <w:t>Bonser-Neal, C</w:t>
      </w:r>
      <w:r w:rsidR="00C547DC">
        <w:rPr>
          <w:rFonts w:cs="Times New Roman"/>
        </w:rPr>
        <w:t>.,</w:t>
      </w:r>
      <w:r w:rsidRPr="00101448">
        <w:rPr>
          <w:rFonts w:cs="Times New Roman"/>
        </w:rPr>
        <w:t xml:space="preserve"> </w:t>
      </w:r>
      <w:r w:rsidR="00C547DC">
        <w:rPr>
          <w:rFonts w:cs="Times New Roman"/>
        </w:rPr>
        <w:t xml:space="preserve">&amp; </w:t>
      </w:r>
      <w:r w:rsidRPr="00101448">
        <w:rPr>
          <w:rFonts w:cs="Times New Roman"/>
        </w:rPr>
        <w:t>Morley, T</w:t>
      </w:r>
      <w:r w:rsidR="00C547DC">
        <w:rPr>
          <w:rFonts w:cs="Times New Roman"/>
        </w:rPr>
        <w:t>.</w:t>
      </w:r>
      <w:r w:rsidRPr="00101448">
        <w:rPr>
          <w:rFonts w:cs="Times New Roman"/>
        </w:rPr>
        <w:t xml:space="preserve"> (1997)</w:t>
      </w:r>
      <w:r w:rsidR="00A62BE8">
        <w:rPr>
          <w:rFonts w:cs="Times New Roman"/>
        </w:rPr>
        <w:t>.</w:t>
      </w:r>
      <w:r w:rsidRPr="00101448">
        <w:rPr>
          <w:rFonts w:cs="Times New Roman"/>
        </w:rPr>
        <w:t xml:space="preserve"> Does the Yield Spread Predict Real Economic </w:t>
      </w:r>
      <w:proofErr w:type="gramStart"/>
      <w:r w:rsidRPr="00101448">
        <w:rPr>
          <w:rFonts w:cs="Times New Roman"/>
        </w:rPr>
        <w:t>Activity?:</w:t>
      </w:r>
      <w:proofErr w:type="gramEnd"/>
      <w:r w:rsidRPr="00101448">
        <w:rPr>
          <w:rFonts w:cs="Times New Roman"/>
        </w:rPr>
        <w:t xml:space="preserve"> A Multicountry Analysis</w:t>
      </w:r>
      <w:r w:rsidR="00A62BE8">
        <w:rPr>
          <w:rFonts w:cs="Times New Roman"/>
        </w:rPr>
        <w:t>.</w:t>
      </w:r>
      <w:r w:rsidRPr="00101448">
        <w:rPr>
          <w:rFonts w:cs="Times New Roman"/>
        </w:rPr>
        <w:t xml:space="preserve"> </w:t>
      </w:r>
      <w:r w:rsidRPr="00101448">
        <w:rPr>
          <w:rFonts w:cs="Times New Roman"/>
          <w:i/>
          <w:iCs/>
        </w:rPr>
        <w:t>Economic Review</w:t>
      </w:r>
      <w:r w:rsidRPr="00101448">
        <w:rPr>
          <w:rFonts w:cs="Times New Roman"/>
        </w:rPr>
        <w:t>, 82, issue Q III, p. 37-53</w:t>
      </w:r>
      <w:r w:rsidR="0053092F">
        <w:rPr>
          <w:rFonts w:cs="Times New Roman"/>
        </w:rPr>
        <w:t>.</w:t>
      </w:r>
    </w:p>
    <w:p w14:paraId="1C45412A" w14:textId="77777777" w:rsidR="00D026C7" w:rsidRPr="00101448" w:rsidRDefault="00D026C7" w:rsidP="00AD1ECB">
      <w:pPr>
        <w:spacing w:line="276" w:lineRule="auto"/>
        <w:ind w:left="720" w:hanging="720"/>
        <w:rPr>
          <w:rFonts w:cs="Times New Roman"/>
          <w:lang w:val="en-CA" w:eastAsia="en-CA"/>
        </w:rPr>
      </w:pPr>
    </w:p>
    <w:p w14:paraId="42122416" w14:textId="77777777" w:rsidR="00D026C7" w:rsidRPr="00101448" w:rsidRDefault="00D026C7" w:rsidP="00AD1ECB">
      <w:pPr>
        <w:spacing w:line="276" w:lineRule="auto"/>
        <w:ind w:left="720" w:hanging="720"/>
        <w:rPr>
          <w:rFonts w:cs="Times New Roman"/>
        </w:rPr>
      </w:pPr>
      <w:r w:rsidRPr="00101448">
        <w:rPr>
          <w:rFonts w:cs="Times New Roman"/>
        </w:rPr>
        <w:t xml:space="preserve">Chauvet, M., &amp; Potter, S. (2005). Forecasting recessions using the yield curve. </w:t>
      </w:r>
      <w:r w:rsidRPr="00101448">
        <w:rPr>
          <w:rFonts w:cs="Times New Roman"/>
          <w:i/>
          <w:iCs/>
        </w:rPr>
        <w:t>Journal of Forecasting</w:t>
      </w:r>
      <w:r w:rsidRPr="00101448">
        <w:rPr>
          <w:rFonts w:cs="Times New Roman"/>
        </w:rPr>
        <w:t xml:space="preserve">, </w:t>
      </w:r>
      <w:r w:rsidRPr="00101448">
        <w:rPr>
          <w:rFonts w:cs="Times New Roman"/>
          <w:i/>
          <w:iCs/>
        </w:rPr>
        <w:t>24</w:t>
      </w:r>
      <w:r w:rsidRPr="00101448">
        <w:rPr>
          <w:rFonts w:cs="Times New Roman"/>
        </w:rPr>
        <w:t xml:space="preserve">(2), 77–103. doi: 10.1002/for.932 </w:t>
      </w:r>
    </w:p>
    <w:p w14:paraId="4CFF31AA" w14:textId="77777777" w:rsidR="00D026C7" w:rsidRPr="00101448" w:rsidRDefault="00D026C7" w:rsidP="00AD1ECB">
      <w:pPr>
        <w:spacing w:line="276" w:lineRule="auto"/>
        <w:ind w:left="720" w:hanging="720"/>
        <w:rPr>
          <w:rFonts w:cs="Times New Roman"/>
          <w:lang w:val="en-CA" w:eastAsia="en-CA"/>
        </w:rPr>
      </w:pPr>
    </w:p>
    <w:p w14:paraId="10BE4311" w14:textId="7CB23C53" w:rsidR="0067131C" w:rsidRDefault="0067131C" w:rsidP="00AD1ECB">
      <w:pPr>
        <w:spacing w:line="276" w:lineRule="auto"/>
        <w:ind w:left="720" w:hanging="720"/>
        <w:rPr>
          <w:rFonts w:cs="Times New Roman"/>
          <w:lang w:val="en-CA" w:eastAsia="en-CA"/>
        </w:rPr>
      </w:pPr>
      <w:r>
        <w:t xml:space="preserve">Chen, N.-F. (1991). Financial Investment Opportunities and the Macroeconomy. </w:t>
      </w:r>
      <w:r>
        <w:rPr>
          <w:i/>
          <w:iCs/>
        </w:rPr>
        <w:t>The Journal of Finance</w:t>
      </w:r>
      <w:r>
        <w:t xml:space="preserve">, </w:t>
      </w:r>
      <w:r>
        <w:rPr>
          <w:i/>
          <w:iCs/>
        </w:rPr>
        <w:t>46</w:t>
      </w:r>
      <w:r>
        <w:t>(2), 529–554. doi: https://doi.org/10.1111/j.1540-6261.1991.tb02673.x</w:t>
      </w:r>
    </w:p>
    <w:p w14:paraId="4C33FE3A" w14:textId="77777777" w:rsidR="0067131C" w:rsidRDefault="0067131C" w:rsidP="00AD1ECB">
      <w:pPr>
        <w:spacing w:line="276" w:lineRule="auto"/>
        <w:ind w:left="720" w:hanging="720"/>
        <w:rPr>
          <w:rFonts w:cs="Times New Roman"/>
          <w:lang w:val="en-CA" w:eastAsia="en-CA"/>
        </w:rPr>
      </w:pPr>
    </w:p>
    <w:p w14:paraId="24586E8C" w14:textId="4C52D909" w:rsidR="00D026C7" w:rsidRPr="006733FA" w:rsidRDefault="00D026C7" w:rsidP="00AD1ECB">
      <w:pPr>
        <w:spacing w:line="276" w:lineRule="auto"/>
        <w:ind w:left="720" w:hanging="720"/>
        <w:rPr>
          <w:rFonts w:cs="Times New Roman"/>
          <w:lang w:val="en-CA"/>
        </w:rPr>
      </w:pPr>
      <w:r w:rsidRPr="00101448">
        <w:rPr>
          <w:rFonts w:cs="Times New Roman"/>
          <w:lang w:val="en-CA"/>
        </w:rPr>
        <w:lastRenderedPageBreak/>
        <w:t xml:space="preserve">Cozier, B. and G. Tkacz. </w:t>
      </w:r>
      <w:r w:rsidR="00AF5002">
        <w:rPr>
          <w:rFonts w:cs="Times New Roman"/>
          <w:lang w:val="en-CA"/>
        </w:rPr>
        <w:t>(</w:t>
      </w:r>
      <w:r w:rsidRPr="00101448">
        <w:rPr>
          <w:rFonts w:cs="Times New Roman"/>
          <w:lang w:val="en-CA"/>
        </w:rPr>
        <w:t>1994</w:t>
      </w:r>
      <w:r w:rsidR="00AF5002">
        <w:rPr>
          <w:rFonts w:cs="Times New Roman"/>
          <w:lang w:val="en-CA"/>
        </w:rPr>
        <w:t>)</w:t>
      </w:r>
      <w:r w:rsidRPr="00101448">
        <w:rPr>
          <w:rFonts w:cs="Times New Roman"/>
          <w:lang w:val="en-CA"/>
        </w:rPr>
        <w:t>. The Term Structure and Real Activity in</w:t>
      </w:r>
      <w:r>
        <w:rPr>
          <w:rFonts w:cs="Times New Roman"/>
          <w:lang w:val="en-CA"/>
        </w:rPr>
        <w:t xml:space="preserve"> </w:t>
      </w:r>
      <w:r w:rsidRPr="00101448">
        <w:rPr>
          <w:rFonts w:cs="Times New Roman"/>
        </w:rPr>
        <w:t xml:space="preserve">Canada. </w:t>
      </w:r>
      <w:r w:rsidRPr="00101448">
        <w:rPr>
          <w:rFonts w:cs="Times New Roman"/>
          <w:i/>
          <w:iCs/>
        </w:rPr>
        <w:t xml:space="preserve">Bank of Canada Working Paper </w:t>
      </w:r>
      <w:r w:rsidRPr="00101448">
        <w:rPr>
          <w:rFonts w:cs="Times New Roman"/>
        </w:rPr>
        <w:t>94-3.</w:t>
      </w:r>
    </w:p>
    <w:p w14:paraId="6F95AD06" w14:textId="77777777" w:rsidR="00D026C7" w:rsidRPr="00101448" w:rsidRDefault="00D026C7" w:rsidP="00AD1ECB">
      <w:pPr>
        <w:spacing w:line="276" w:lineRule="auto"/>
        <w:ind w:left="720" w:hanging="720"/>
        <w:rPr>
          <w:rFonts w:cs="Times New Roman"/>
          <w:lang w:val="en-CA" w:eastAsia="en-CA"/>
        </w:rPr>
      </w:pPr>
    </w:p>
    <w:p w14:paraId="5C1BB9E9"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Cross, P., &amp; Bergevin, P. (2012). Turning Points: Business Cycles in Canada since 1926. </w:t>
      </w:r>
      <w:r w:rsidRPr="00101448">
        <w:rPr>
          <w:rFonts w:cs="Times New Roman"/>
          <w:i/>
          <w:iCs/>
          <w:lang w:val="en-CA" w:eastAsia="en-CA"/>
        </w:rPr>
        <w:t>SSRN Electronic Journal</w:t>
      </w:r>
      <w:r w:rsidRPr="00101448">
        <w:rPr>
          <w:rFonts w:cs="Times New Roman"/>
          <w:lang w:val="en-CA" w:eastAsia="en-CA"/>
        </w:rPr>
        <w:t>. doi: 10.2139/ssrn.2176382</w:t>
      </w:r>
    </w:p>
    <w:p w14:paraId="2EB80DDE" w14:textId="7D62E65D" w:rsidR="00D026C7" w:rsidRDefault="00D026C7" w:rsidP="00AD1ECB">
      <w:pPr>
        <w:spacing w:line="276" w:lineRule="auto"/>
        <w:rPr>
          <w:rFonts w:cs="Times New Roman"/>
          <w:lang w:val="en-CA" w:eastAsia="en-CA"/>
        </w:rPr>
      </w:pPr>
    </w:p>
    <w:p w14:paraId="70BCE91F" w14:textId="6722C59C" w:rsidR="00DF5705" w:rsidRPr="00DF5705" w:rsidRDefault="00DF5705" w:rsidP="00DF5705">
      <w:pPr>
        <w:spacing w:line="276" w:lineRule="auto"/>
        <w:ind w:left="720" w:hanging="720"/>
        <w:rPr>
          <w:rFonts w:cs="Times New Roman"/>
        </w:rPr>
      </w:pPr>
      <w:r>
        <w:t xml:space="preserve">Davis, E. P., &amp; Fagan, G. (1997). Are financial spreads useful indicators of future inflation and output growth in EU countries? </w:t>
      </w:r>
      <w:r>
        <w:rPr>
          <w:i/>
          <w:iCs/>
        </w:rPr>
        <w:t>Journal of Applied Econometrics</w:t>
      </w:r>
      <w:r>
        <w:t xml:space="preserve">, </w:t>
      </w:r>
      <w:r>
        <w:rPr>
          <w:i/>
          <w:iCs/>
        </w:rPr>
        <w:t>12</w:t>
      </w:r>
      <w:r>
        <w:t>(6), 701–714. doi: 10.1002/(sici)1099-1255(199711/12)12:6&lt;</w:t>
      </w:r>
      <w:proofErr w:type="gramStart"/>
      <w:r>
        <w:t>701::</w:t>
      </w:r>
      <w:proofErr w:type="gramEnd"/>
      <w:r>
        <w:t>aid-jae456&gt;3.0.co;2-9</w:t>
      </w:r>
    </w:p>
    <w:p w14:paraId="5FEAE52B" w14:textId="77777777" w:rsidR="00DF5705" w:rsidRDefault="00DF5705" w:rsidP="00AF03C6">
      <w:pPr>
        <w:spacing w:line="276" w:lineRule="auto"/>
        <w:ind w:left="720" w:hanging="720"/>
      </w:pPr>
    </w:p>
    <w:p w14:paraId="562C888D" w14:textId="1A483A22" w:rsidR="00AF03C6" w:rsidRPr="00101448" w:rsidRDefault="00AF03C6" w:rsidP="00AF03C6">
      <w:pPr>
        <w:spacing w:line="276" w:lineRule="auto"/>
        <w:ind w:left="720" w:hanging="720"/>
        <w:rPr>
          <w:rFonts w:cs="Times New Roman"/>
          <w:lang w:val="en-CA" w:eastAsia="en-CA"/>
        </w:rPr>
      </w:pPr>
      <w:r>
        <w:t xml:space="preserve">Davis, E. P., &amp; Henry, S. G. B. (1994). The Use of Financial Spreads as Indicator Variables: Evidence for the United Kingdom and Germany. </w:t>
      </w:r>
      <w:r>
        <w:rPr>
          <w:i/>
          <w:iCs/>
        </w:rPr>
        <w:t>Staff Papers - International Monetary Fund</w:t>
      </w:r>
      <w:r>
        <w:t xml:space="preserve">, </w:t>
      </w:r>
      <w:r>
        <w:rPr>
          <w:i/>
          <w:iCs/>
        </w:rPr>
        <w:t>41</w:t>
      </w:r>
      <w:r>
        <w:t>(3), 517. doi: 10.2307/3867439</w:t>
      </w:r>
    </w:p>
    <w:p w14:paraId="5176F8A4" w14:textId="77777777" w:rsidR="00AF03C6" w:rsidRDefault="00AF03C6" w:rsidP="00AD1ECB">
      <w:pPr>
        <w:spacing w:line="276" w:lineRule="auto"/>
        <w:ind w:left="720" w:hanging="720"/>
        <w:rPr>
          <w:rFonts w:cs="Times New Roman"/>
        </w:rPr>
      </w:pPr>
    </w:p>
    <w:p w14:paraId="120E4680" w14:textId="00B9830C" w:rsidR="00AA716F" w:rsidRDefault="00AA716F" w:rsidP="00AD1ECB">
      <w:pPr>
        <w:spacing w:line="276" w:lineRule="auto"/>
        <w:ind w:left="720" w:hanging="720"/>
        <w:rPr>
          <w:rFonts w:cs="Times New Roman"/>
          <w:lang w:val="en-CA"/>
        </w:rPr>
      </w:pPr>
      <w:r>
        <w:t xml:space="preserve">Day, J., &amp; Lange, R. (1997). The Structure of Interest Rates in Canada: Information Content about Medium-Term Inflation. </w:t>
      </w:r>
      <w:r>
        <w:rPr>
          <w:i/>
          <w:iCs/>
        </w:rPr>
        <w:t>Bank of Canada Staff Working Paper</w:t>
      </w:r>
      <w:r>
        <w:t xml:space="preserve">, </w:t>
      </w:r>
      <w:r>
        <w:rPr>
          <w:i/>
          <w:iCs/>
        </w:rPr>
        <w:t>97</w:t>
      </w:r>
      <w:r>
        <w:t>(10).</w:t>
      </w:r>
    </w:p>
    <w:p w14:paraId="213E24EF" w14:textId="77777777" w:rsidR="00AA716F" w:rsidRDefault="00AA716F" w:rsidP="00AD1ECB">
      <w:pPr>
        <w:spacing w:line="276" w:lineRule="auto"/>
        <w:ind w:left="720" w:hanging="720"/>
        <w:rPr>
          <w:rFonts w:cs="Times New Roman"/>
          <w:lang w:val="en-CA"/>
        </w:rPr>
      </w:pPr>
    </w:p>
    <w:p w14:paraId="33D4136E" w14:textId="1AF25D61" w:rsidR="00D026C7" w:rsidRPr="006733FA" w:rsidRDefault="00D026C7" w:rsidP="00AD1ECB">
      <w:pPr>
        <w:spacing w:line="276" w:lineRule="auto"/>
        <w:ind w:left="720" w:hanging="720"/>
        <w:rPr>
          <w:rFonts w:cs="Times New Roman"/>
          <w:lang w:val="en-CA"/>
        </w:rPr>
      </w:pPr>
      <w:r w:rsidRPr="00101448">
        <w:rPr>
          <w:rFonts w:cs="Times New Roman"/>
          <w:lang w:val="en-CA"/>
        </w:rPr>
        <w:t>Dotsey, M. (1998)</w:t>
      </w:r>
      <w:r w:rsidR="00A62BE8">
        <w:rPr>
          <w:rFonts w:cs="Times New Roman"/>
          <w:lang w:val="en-CA"/>
        </w:rPr>
        <w:t>.</w:t>
      </w:r>
      <w:r w:rsidRPr="00101448">
        <w:rPr>
          <w:rFonts w:cs="Times New Roman"/>
          <w:lang w:val="en-CA"/>
        </w:rPr>
        <w:t xml:space="preserve"> The Predictive Content of the Interest Rate Term Spread for Future</w:t>
      </w:r>
      <w:r>
        <w:rPr>
          <w:rFonts w:cs="Times New Roman"/>
          <w:lang w:val="en-CA"/>
        </w:rPr>
        <w:t xml:space="preserve"> </w:t>
      </w:r>
      <w:r w:rsidRPr="00101448">
        <w:rPr>
          <w:rFonts w:cs="Times New Roman"/>
        </w:rPr>
        <w:t xml:space="preserve">Economic Growth, </w:t>
      </w:r>
      <w:r w:rsidRPr="00101448">
        <w:rPr>
          <w:rFonts w:cs="Times New Roman"/>
          <w:i/>
          <w:iCs/>
        </w:rPr>
        <w:t>FRB Richmond Economic Quarterly,</w:t>
      </w:r>
      <w:r w:rsidRPr="00101448">
        <w:rPr>
          <w:rFonts w:cs="Times New Roman"/>
        </w:rPr>
        <w:t xml:space="preserve"> </w:t>
      </w:r>
      <w:r w:rsidRPr="00101448">
        <w:rPr>
          <w:rFonts w:cs="Times New Roman"/>
          <w:i/>
          <w:iCs/>
        </w:rPr>
        <w:t>84</w:t>
      </w:r>
      <w:r w:rsidRPr="00101448">
        <w:rPr>
          <w:rFonts w:cs="Times New Roman"/>
        </w:rPr>
        <w:t>(3), 31–51.</w:t>
      </w:r>
    </w:p>
    <w:p w14:paraId="3DF30D8E" w14:textId="77777777" w:rsidR="00D026C7" w:rsidRPr="00101448" w:rsidRDefault="00D026C7" w:rsidP="00AD1ECB">
      <w:pPr>
        <w:spacing w:line="276" w:lineRule="auto"/>
        <w:ind w:left="720" w:hanging="720"/>
        <w:rPr>
          <w:rFonts w:cs="Times New Roman"/>
          <w:lang w:val="en-CA"/>
        </w:rPr>
      </w:pPr>
    </w:p>
    <w:p w14:paraId="5C7E2745"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Dueker, M. J. (1998). Strengthening the Case for the Yield Curve as a Predictor of United States Recessions. </w:t>
      </w:r>
      <w:r w:rsidRPr="00101448">
        <w:rPr>
          <w:rFonts w:cs="Times New Roman"/>
          <w:i/>
          <w:iCs/>
          <w:lang w:val="en-CA" w:eastAsia="en-CA"/>
        </w:rPr>
        <w:t>ICPSR Data Holdings</w:t>
      </w:r>
      <w:r w:rsidRPr="00101448">
        <w:rPr>
          <w:rFonts w:cs="Times New Roman"/>
          <w:lang w:val="en-CA" w:eastAsia="en-CA"/>
        </w:rPr>
        <w:t>. doi: 10.3886/icpsr01173.v1</w:t>
      </w:r>
    </w:p>
    <w:p w14:paraId="6EB57CB9" w14:textId="77777777" w:rsidR="00D026C7" w:rsidRPr="00101448" w:rsidRDefault="00D026C7" w:rsidP="00AD1ECB">
      <w:pPr>
        <w:spacing w:line="276" w:lineRule="auto"/>
        <w:ind w:left="720" w:hanging="720"/>
        <w:rPr>
          <w:rFonts w:cs="Times New Roman"/>
        </w:rPr>
      </w:pPr>
    </w:p>
    <w:p w14:paraId="437EAC4F" w14:textId="6BD52B46" w:rsidR="00D026C7" w:rsidRPr="00101448" w:rsidRDefault="00D026C7" w:rsidP="00AD1ECB">
      <w:pPr>
        <w:spacing w:line="276" w:lineRule="auto"/>
        <w:ind w:left="720" w:hanging="720"/>
        <w:rPr>
          <w:rFonts w:cs="Times New Roman"/>
        </w:rPr>
      </w:pPr>
      <w:r w:rsidRPr="00101448">
        <w:rPr>
          <w:rFonts w:cs="Times New Roman"/>
        </w:rPr>
        <w:t>Economic Cycle Research Institute (ECRI). (</w:t>
      </w:r>
      <w:r w:rsidR="0017630A">
        <w:rPr>
          <w:rFonts w:cs="Times New Roman"/>
        </w:rPr>
        <w:t>2020</w:t>
      </w:r>
      <w:r w:rsidRPr="00101448">
        <w:rPr>
          <w:rFonts w:cs="Times New Roman"/>
        </w:rPr>
        <w:t>). Retrieved January 21, 2020, from       https://www.businesscycle.com/ecri-business-cycles/international-business-cycle-dates-chronologies</w:t>
      </w:r>
    </w:p>
    <w:p w14:paraId="6DA52A23" w14:textId="77777777" w:rsidR="00D026C7" w:rsidRPr="00101448" w:rsidRDefault="00D026C7" w:rsidP="00AD1ECB">
      <w:pPr>
        <w:spacing w:line="276" w:lineRule="auto"/>
        <w:ind w:left="720" w:hanging="720"/>
        <w:rPr>
          <w:rFonts w:cs="Times New Roman"/>
          <w:lang w:val="en-CA" w:eastAsia="en-CA"/>
        </w:rPr>
      </w:pPr>
    </w:p>
    <w:p w14:paraId="744E7FF1" w14:textId="77777777" w:rsidR="00D026C7" w:rsidRPr="00101448" w:rsidRDefault="00D026C7" w:rsidP="00AD1ECB">
      <w:pPr>
        <w:spacing w:line="276" w:lineRule="auto"/>
        <w:ind w:left="720" w:hanging="720"/>
        <w:rPr>
          <w:rFonts w:cs="Times New Roman"/>
          <w:lang w:val="fr-CA" w:eastAsia="en-CA"/>
        </w:rPr>
      </w:pPr>
      <w:r w:rsidRPr="00101448">
        <w:rPr>
          <w:rFonts w:cs="Times New Roman"/>
          <w:lang w:val="en-CA" w:eastAsia="en-CA"/>
        </w:rPr>
        <w:t xml:space="preserve">Engstrom, E. C., &amp; Sharpe, S. A. (2019). The Near-Term Forward Yield Spread as a Leading Indicator: A Less Distorted Mirror. </w:t>
      </w:r>
      <w:r w:rsidRPr="00101448">
        <w:rPr>
          <w:rFonts w:cs="Times New Roman"/>
          <w:i/>
          <w:iCs/>
          <w:lang w:val="fr-CA" w:eastAsia="en-CA"/>
        </w:rPr>
        <w:t>Financial Analysts Journal</w:t>
      </w:r>
      <w:r w:rsidRPr="00101448">
        <w:rPr>
          <w:rFonts w:cs="Times New Roman"/>
          <w:lang w:val="fr-CA" w:eastAsia="en-CA"/>
        </w:rPr>
        <w:t xml:space="preserve">, </w:t>
      </w:r>
      <w:r w:rsidRPr="00101448">
        <w:rPr>
          <w:rFonts w:cs="Times New Roman"/>
          <w:i/>
          <w:iCs/>
          <w:lang w:val="fr-CA" w:eastAsia="en-CA"/>
        </w:rPr>
        <w:t>75</w:t>
      </w:r>
      <w:r w:rsidRPr="00101448">
        <w:rPr>
          <w:rFonts w:cs="Times New Roman"/>
          <w:lang w:val="fr-CA" w:eastAsia="en-CA"/>
        </w:rPr>
        <w:t xml:space="preserve">(4), 37–49. </w:t>
      </w:r>
      <w:proofErr w:type="gramStart"/>
      <w:r w:rsidRPr="00101448">
        <w:rPr>
          <w:rFonts w:cs="Times New Roman"/>
          <w:lang w:val="fr-CA" w:eastAsia="en-CA"/>
        </w:rPr>
        <w:t>doi</w:t>
      </w:r>
      <w:proofErr w:type="gramEnd"/>
      <w:r w:rsidRPr="00101448">
        <w:rPr>
          <w:rFonts w:cs="Times New Roman"/>
          <w:lang w:val="fr-CA" w:eastAsia="en-CA"/>
        </w:rPr>
        <w:t>: 10.1080/0015198x.2019.1625617</w:t>
      </w:r>
    </w:p>
    <w:p w14:paraId="028F2AE1" w14:textId="77777777" w:rsidR="00D026C7" w:rsidRPr="00101448" w:rsidRDefault="00D026C7" w:rsidP="00AD1ECB">
      <w:pPr>
        <w:spacing w:line="276" w:lineRule="auto"/>
        <w:ind w:left="720" w:hanging="720"/>
        <w:rPr>
          <w:rFonts w:cs="Times New Roman"/>
          <w:lang w:val="fr-CA" w:eastAsia="en-CA"/>
        </w:rPr>
      </w:pPr>
    </w:p>
    <w:p w14:paraId="496CA39F"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fr-CA" w:eastAsia="en-CA"/>
        </w:rPr>
        <w:t xml:space="preserve">Estrella, A., &amp; Hardouvelis, G. A. (1991). </w:t>
      </w:r>
      <w:r w:rsidRPr="00101448">
        <w:rPr>
          <w:rFonts w:cs="Times New Roman"/>
          <w:lang w:val="en-CA" w:eastAsia="en-CA"/>
        </w:rPr>
        <w:t xml:space="preserve">The Term Structure as a Predictor of Real Economic Activity. </w:t>
      </w:r>
      <w:r w:rsidRPr="00101448">
        <w:rPr>
          <w:rFonts w:cs="Times New Roman"/>
          <w:i/>
          <w:iCs/>
          <w:lang w:val="en-CA" w:eastAsia="en-CA"/>
        </w:rPr>
        <w:t>The Journal of Finance</w:t>
      </w:r>
      <w:r w:rsidRPr="00101448">
        <w:rPr>
          <w:rFonts w:cs="Times New Roman"/>
          <w:lang w:val="en-CA" w:eastAsia="en-CA"/>
        </w:rPr>
        <w:t xml:space="preserve">, </w:t>
      </w:r>
      <w:r w:rsidRPr="00101448">
        <w:rPr>
          <w:rFonts w:cs="Times New Roman"/>
          <w:i/>
          <w:iCs/>
          <w:lang w:val="en-CA" w:eastAsia="en-CA"/>
        </w:rPr>
        <w:t>46</w:t>
      </w:r>
      <w:r w:rsidRPr="00101448">
        <w:rPr>
          <w:rFonts w:cs="Times New Roman"/>
          <w:lang w:val="en-CA" w:eastAsia="en-CA"/>
        </w:rPr>
        <w:t>(2), 555–576. doi: 10.1111/j.1540-</w:t>
      </w:r>
      <w:proofErr w:type="gramStart"/>
      <w:r w:rsidRPr="00101448">
        <w:rPr>
          <w:rFonts w:cs="Times New Roman"/>
          <w:lang w:val="en-CA" w:eastAsia="en-CA"/>
        </w:rPr>
        <w:t>6261.1991.tb</w:t>
      </w:r>
      <w:proofErr w:type="gramEnd"/>
      <w:r w:rsidRPr="00101448">
        <w:rPr>
          <w:rFonts w:cs="Times New Roman"/>
          <w:lang w:val="en-CA" w:eastAsia="en-CA"/>
        </w:rPr>
        <w:t>02674.x</w:t>
      </w:r>
    </w:p>
    <w:p w14:paraId="67CDF935" w14:textId="77777777" w:rsidR="00D026C7" w:rsidRPr="00101448" w:rsidRDefault="00D026C7" w:rsidP="00AD1ECB">
      <w:pPr>
        <w:spacing w:line="276" w:lineRule="auto"/>
        <w:ind w:left="720" w:hanging="720"/>
        <w:rPr>
          <w:rFonts w:cs="Times New Roman"/>
        </w:rPr>
      </w:pPr>
    </w:p>
    <w:p w14:paraId="63DE4D0E" w14:textId="77777777" w:rsidR="00D026C7" w:rsidRPr="00101448" w:rsidRDefault="00D026C7" w:rsidP="00AD1ECB">
      <w:pPr>
        <w:spacing w:line="276" w:lineRule="auto"/>
        <w:ind w:left="720" w:hanging="720"/>
        <w:rPr>
          <w:rFonts w:cs="Times New Roman"/>
        </w:rPr>
      </w:pPr>
      <w:r w:rsidRPr="00101448">
        <w:rPr>
          <w:rFonts w:cs="Times New Roman"/>
        </w:rPr>
        <w:t xml:space="preserve">Estrella, A., &amp; Mishkin, F. S. (1997). The predictive power of the term structure of interest rates in Europe and the United States: Implications for the European Central Bank. </w:t>
      </w:r>
      <w:r w:rsidRPr="00101448">
        <w:rPr>
          <w:rFonts w:cs="Times New Roman"/>
          <w:i/>
          <w:iCs/>
        </w:rPr>
        <w:t>European Economic Review</w:t>
      </w:r>
      <w:r w:rsidRPr="00101448">
        <w:rPr>
          <w:rFonts w:cs="Times New Roman"/>
        </w:rPr>
        <w:t xml:space="preserve">, </w:t>
      </w:r>
      <w:r w:rsidRPr="00101448">
        <w:rPr>
          <w:rFonts w:cs="Times New Roman"/>
          <w:i/>
          <w:iCs/>
        </w:rPr>
        <w:t>41</w:t>
      </w:r>
      <w:r w:rsidRPr="00101448">
        <w:rPr>
          <w:rFonts w:cs="Times New Roman"/>
        </w:rPr>
        <w:t>(7), 1375–1401. doi: 10.1016/s0014-2921(96)00050-5</w:t>
      </w:r>
    </w:p>
    <w:p w14:paraId="623EF404" w14:textId="77777777" w:rsidR="00D026C7" w:rsidRPr="00101448" w:rsidRDefault="00D026C7" w:rsidP="00AD1ECB">
      <w:pPr>
        <w:spacing w:line="276" w:lineRule="auto"/>
        <w:ind w:left="720" w:hanging="720"/>
        <w:rPr>
          <w:rFonts w:cs="Times New Roman"/>
          <w:lang w:val="en-CA" w:eastAsia="en-CA"/>
        </w:rPr>
      </w:pPr>
    </w:p>
    <w:p w14:paraId="242426CE"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lastRenderedPageBreak/>
        <w:t xml:space="preserve">Estrella, A., &amp; Mishkin, F. S. (1998). Predicting U.S. Recessions: Financial Variables as Leading Indicators. </w:t>
      </w:r>
      <w:r w:rsidRPr="00101448">
        <w:rPr>
          <w:rFonts w:cs="Times New Roman"/>
          <w:i/>
          <w:iCs/>
          <w:lang w:val="en-CA" w:eastAsia="en-CA"/>
        </w:rPr>
        <w:t>Review of Economics and Statistics</w:t>
      </w:r>
      <w:r w:rsidRPr="00101448">
        <w:rPr>
          <w:rFonts w:cs="Times New Roman"/>
          <w:lang w:val="en-CA" w:eastAsia="en-CA"/>
        </w:rPr>
        <w:t xml:space="preserve">, </w:t>
      </w:r>
      <w:r w:rsidRPr="00101448">
        <w:rPr>
          <w:rFonts w:cs="Times New Roman"/>
          <w:i/>
          <w:iCs/>
          <w:lang w:val="en-CA" w:eastAsia="en-CA"/>
        </w:rPr>
        <w:t>80</w:t>
      </w:r>
      <w:r w:rsidRPr="00101448">
        <w:rPr>
          <w:rFonts w:cs="Times New Roman"/>
          <w:lang w:val="en-CA" w:eastAsia="en-CA"/>
        </w:rPr>
        <w:t>(1), 45–61. doi: 10.1162/003465398557320</w:t>
      </w:r>
    </w:p>
    <w:p w14:paraId="19F16F26" w14:textId="77777777" w:rsidR="00D026C7" w:rsidRPr="00101448" w:rsidRDefault="00D026C7" w:rsidP="00AD1ECB">
      <w:pPr>
        <w:spacing w:line="276" w:lineRule="auto"/>
        <w:ind w:left="720" w:hanging="720"/>
        <w:rPr>
          <w:rFonts w:cs="Times New Roman"/>
          <w:lang w:val="en-CA" w:eastAsia="en-CA"/>
        </w:rPr>
      </w:pPr>
    </w:p>
    <w:p w14:paraId="5E41D520"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Estrella, A., Rodrigues, A. P., &amp; Schich, S. (2003). How Stable is the Predictive Power of the Yield Curve? Evidence from Germany and the United States. </w:t>
      </w:r>
      <w:r w:rsidRPr="00101448">
        <w:rPr>
          <w:rFonts w:cs="Times New Roman"/>
          <w:i/>
          <w:iCs/>
          <w:lang w:val="en-CA" w:eastAsia="en-CA"/>
        </w:rPr>
        <w:t>Review of Economics and Statistics</w:t>
      </w:r>
      <w:r w:rsidRPr="00101448">
        <w:rPr>
          <w:rFonts w:cs="Times New Roman"/>
          <w:lang w:val="en-CA" w:eastAsia="en-CA"/>
        </w:rPr>
        <w:t xml:space="preserve">, </w:t>
      </w:r>
      <w:r w:rsidRPr="00101448">
        <w:rPr>
          <w:rFonts w:cs="Times New Roman"/>
          <w:i/>
          <w:iCs/>
          <w:lang w:val="en-CA" w:eastAsia="en-CA"/>
        </w:rPr>
        <w:t>85</w:t>
      </w:r>
      <w:r w:rsidRPr="00101448">
        <w:rPr>
          <w:rFonts w:cs="Times New Roman"/>
          <w:lang w:val="en-CA" w:eastAsia="en-CA"/>
        </w:rPr>
        <w:t>(3), 629–644. doi: 10.1162/003465303322369777</w:t>
      </w:r>
    </w:p>
    <w:p w14:paraId="1E9A220A" w14:textId="77777777" w:rsidR="00D026C7" w:rsidRPr="00101448" w:rsidRDefault="00D026C7" w:rsidP="00AD1ECB">
      <w:pPr>
        <w:spacing w:line="276" w:lineRule="auto"/>
        <w:ind w:left="720" w:hanging="720"/>
        <w:rPr>
          <w:rFonts w:cs="Times New Roman"/>
          <w:lang w:val="en-CA" w:eastAsia="en-CA"/>
        </w:rPr>
      </w:pPr>
    </w:p>
    <w:p w14:paraId="1A18A550" w14:textId="77777777" w:rsidR="00D026C7" w:rsidRPr="00101448" w:rsidRDefault="00D026C7" w:rsidP="00EA2754">
      <w:pPr>
        <w:spacing w:line="276" w:lineRule="auto"/>
        <w:ind w:left="720" w:hanging="720"/>
        <w:rPr>
          <w:rFonts w:cs="Times New Roman"/>
          <w:lang w:val="en-CA" w:eastAsia="en-CA"/>
        </w:rPr>
      </w:pPr>
      <w:r w:rsidRPr="00101448">
        <w:rPr>
          <w:rFonts w:cs="Times New Roman"/>
          <w:lang w:val="en-CA" w:eastAsia="en-CA"/>
        </w:rPr>
        <w:t xml:space="preserve">Fama, E. F. (1990). Stock Returns, Expected Returns, and Real Activity. </w:t>
      </w:r>
      <w:r w:rsidRPr="00101448">
        <w:rPr>
          <w:rFonts w:cs="Times New Roman"/>
          <w:i/>
          <w:iCs/>
          <w:lang w:val="en-CA" w:eastAsia="en-CA"/>
        </w:rPr>
        <w:t>The Journal of Finance</w:t>
      </w:r>
      <w:r w:rsidRPr="00101448">
        <w:rPr>
          <w:rFonts w:cs="Times New Roman"/>
          <w:lang w:val="en-CA" w:eastAsia="en-CA"/>
        </w:rPr>
        <w:t xml:space="preserve">, </w:t>
      </w:r>
      <w:r w:rsidRPr="00101448">
        <w:rPr>
          <w:rFonts w:cs="Times New Roman"/>
          <w:i/>
          <w:iCs/>
          <w:lang w:val="en-CA" w:eastAsia="en-CA"/>
        </w:rPr>
        <w:t>45</w:t>
      </w:r>
      <w:r w:rsidRPr="00101448">
        <w:rPr>
          <w:rFonts w:cs="Times New Roman"/>
          <w:lang w:val="en-CA" w:eastAsia="en-CA"/>
        </w:rPr>
        <w:t>(4), 1089–1108. doi: 10.1111/j.1540-</w:t>
      </w:r>
      <w:proofErr w:type="gramStart"/>
      <w:r w:rsidRPr="00101448">
        <w:rPr>
          <w:rFonts w:cs="Times New Roman"/>
          <w:lang w:val="en-CA" w:eastAsia="en-CA"/>
        </w:rPr>
        <w:t>6261.1990.tb</w:t>
      </w:r>
      <w:proofErr w:type="gramEnd"/>
      <w:r w:rsidRPr="00101448">
        <w:rPr>
          <w:rFonts w:cs="Times New Roman"/>
          <w:lang w:val="en-CA" w:eastAsia="en-CA"/>
        </w:rPr>
        <w:t>02428.x</w:t>
      </w:r>
    </w:p>
    <w:p w14:paraId="1311853E" w14:textId="33599021" w:rsidR="00A43832" w:rsidRDefault="00A43832" w:rsidP="00EA2754">
      <w:pPr>
        <w:spacing w:line="276" w:lineRule="auto"/>
        <w:rPr>
          <w:rFonts w:cs="Times New Roman"/>
          <w:lang w:val="en-CA" w:eastAsia="en-CA"/>
        </w:rPr>
      </w:pPr>
    </w:p>
    <w:p w14:paraId="67825C1A" w14:textId="5182D0BA" w:rsidR="00A62BE8" w:rsidRPr="00A62BE8" w:rsidRDefault="00A62BE8" w:rsidP="00A62BE8">
      <w:pPr>
        <w:spacing w:line="276" w:lineRule="auto"/>
        <w:ind w:left="720" w:hanging="720"/>
        <w:rPr>
          <w:rFonts w:cs="Times New Roman"/>
        </w:rPr>
      </w:pPr>
      <w:r w:rsidRPr="00101448">
        <w:rPr>
          <w:rFonts w:cs="Times New Roman"/>
        </w:rPr>
        <w:t xml:space="preserve">Frankel, J. A., &amp; Lown, C. S. (1994). An Indicator of Future Inflation Extracted from the Steepness of the Interest Rate Yield Curve Along Its Entire Length. </w:t>
      </w:r>
      <w:r w:rsidRPr="00101448">
        <w:rPr>
          <w:rFonts w:cs="Times New Roman"/>
          <w:i/>
          <w:iCs/>
        </w:rPr>
        <w:t>The Quarterly Journal of Economics</w:t>
      </w:r>
      <w:r w:rsidRPr="00101448">
        <w:rPr>
          <w:rFonts w:cs="Times New Roman"/>
        </w:rPr>
        <w:t xml:space="preserve">, </w:t>
      </w:r>
      <w:r w:rsidRPr="00101448">
        <w:rPr>
          <w:rFonts w:cs="Times New Roman"/>
          <w:i/>
          <w:iCs/>
        </w:rPr>
        <w:t>109</w:t>
      </w:r>
      <w:r w:rsidRPr="00101448">
        <w:rPr>
          <w:rFonts w:cs="Times New Roman"/>
        </w:rPr>
        <w:t>(2), 517–530. doi: 10.2307/2118472</w:t>
      </w:r>
    </w:p>
    <w:p w14:paraId="15D5A9C9" w14:textId="77777777" w:rsidR="00A62BE8" w:rsidRDefault="00A62BE8" w:rsidP="00475E29">
      <w:pPr>
        <w:spacing w:line="276" w:lineRule="auto"/>
        <w:ind w:left="720" w:hanging="720"/>
      </w:pPr>
    </w:p>
    <w:p w14:paraId="757C445E" w14:textId="0F1438DA" w:rsidR="008F6040" w:rsidRDefault="008F6040" w:rsidP="00475E29">
      <w:pPr>
        <w:spacing w:line="276" w:lineRule="auto"/>
        <w:ind w:left="720" w:hanging="720"/>
        <w:rPr>
          <w:rFonts w:cs="Times New Roman"/>
        </w:rPr>
      </w:pPr>
      <w:r>
        <w:t>FRED, Federal Reserve Bank of St. Louis. (2019). OECD based Recession Indicators for Canada from the Period following the Peak through the Trough. Retrieved from https://fred.stlouisfed.org/series/CANREC</w:t>
      </w:r>
    </w:p>
    <w:p w14:paraId="2E0D3DDF" w14:textId="77777777" w:rsidR="008F6040" w:rsidRDefault="008F6040" w:rsidP="00475E29">
      <w:pPr>
        <w:spacing w:line="276" w:lineRule="auto"/>
        <w:ind w:left="720" w:hanging="720"/>
        <w:rPr>
          <w:rFonts w:cs="Times New Roman"/>
        </w:rPr>
      </w:pPr>
    </w:p>
    <w:p w14:paraId="770727F2" w14:textId="145578F0" w:rsidR="00EA2754" w:rsidRDefault="00EA2754" w:rsidP="00475E29">
      <w:pPr>
        <w:spacing w:line="276" w:lineRule="auto"/>
        <w:ind w:left="720" w:hanging="720"/>
        <w:rPr>
          <w:rFonts w:cs="Times New Roman"/>
        </w:rPr>
      </w:pPr>
      <w:r>
        <w:rPr>
          <w:rFonts w:cs="Times New Roman"/>
        </w:rPr>
        <w:t xml:space="preserve">FRED, Federal Reserve Bank of St. Louis. (2020a). </w:t>
      </w:r>
      <w:r w:rsidRPr="008B51B9">
        <w:rPr>
          <w:rFonts w:cs="Times New Roman"/>
        </w:rPr>
        <w:t xml:space="preserve">10-Year Treasury Constant Maturity Minus 3-Month Treasury Constant Maturity. Retrieved from </w:t>
      </w:r>
      <w:r w:rsidRPr="009155CE">
        <w:rPr>
          <w:rFonts w:cs="Times New Roman"/>
        </w:rPr>
        <w:t>https://fred.stlouisfed.org/series/T10Y3M</w:t>
      </w:r>
    </w:p>
    <w:p w14:paraId="0A19056B" w14:textId="77777777" w:rsidR="00EA2754" w:rsidRDefault="00EA2754" w:rsidP="00475E29">
      <w:pPr>
        <w:spacing w:line="276" w:lineRule="auto"/>
        <w:rPr>
          <w:rFonts w:cs="Times New Roman"/>
        </w:rPr>
      </w:pPr>
    </w:p>
    <w:p w14:paraId="740C7FA4" w14:textId="759F6BE1" w:rsidR="00EA2754" w:rsidRPr="009155CE" w:rsidRDefault="00EA2754" w:rsidP="00475E29">
      <w:pPr>
        <w:spacing w:line="276" w:lineRule="auto"/>
        <w:ind w:left="720" w:hanging="720"/>
        <w:rPr>
          <w:rFonts w:cs="Times New Roman"/>
        </w:rPr>
      </w:pPr>
      <w:r>
        <w:rPr>
          <w:rFonts w:cs="Times New Roman"/>
        </w:rPr>
        <w:t xml:space="preserve">FRED, Federal Reserve Bank of St. Louis. (2020b). </w:t>
      </w:r>
      <w:r w:rsidRPr="009155CE">
        <w:rPr>
          <w:rFonts w:cs="Times New Roman"/>
        </w:rPr>
        <w:t>10-Year Treasury Constant Maturity Minus 2-Year Treasury Constant Maturity.</w:t>
      </w:r>
      <w:r>
        <w:rPr>
          <w:rFonts w:cs="Times New Roman"/>
        </w:rPr>
        <w:t xml:space="preserve"> </w:t>
      </w:r>
      <w:r w:rsidRPr="009155CE">
        <w:rPr>
          <w:rFonts w:cs="Times New Roman"/>
        </w:rPr>
        <w:t>Retrieved from</w:t>
      </w:r>
      <w:r>
        <w:rPr>
          <w:rFonts w:cs="Times New Roman"/>
        </w:rPr>
        <w:t xml:space="preserve"> </w:t>
      </w:r>
      <w:r w:rsidRPr="009155CE">
        <w:rPr>
          <w:rFonts w:cs="Times New Roman"/>
        </w:rPr>
        <w:t>https://fred.stlouisfed.org/series/T10Y2Y</w:t>
      </w:r>
    </w:p>
    <w:p w14:paraId="2088B3A1" w14:textId="77777777" w:rsidR="00EA2754" w:rsidRPr="00101448" w:rsidRDefault="00EA2754" w:rsidP="00EA2754">
      <w:pPr>
        <w:spacing w:line="276" w:lineRule="auto"/>
        <w:rPr>
          <w:rFonts w:cs="Times New Roman"/>
          <w:lang w:val="en-CA" w:eastAsia="en-CA"/>
        </w:rPr>
      </w:pPr>
    </w:p>
    <w:p w14:paraId="7E2363EB" w14:textId="52B7AAEE" w:rsidR="00E21552" w:rsidRDefault="00E21552" w:rsidP="00AD1ECB">
      <w:pPr>
        <w:spacing w:line="276" w:lineRule="auto"/>
        <w:ind w:left="720" w:hanging="720"/>
        <w:rPr>
          <w:rFonts w:cs="Times New Roman"/>
          <w:lang w:val="en-CA" w:eastAsia="en-CA"/>
        </w:rPr>
      </w:pPr>
      <w:r>
        <w:t xml:space="preserve">Galbraith, J. W., &amp; Tkacz, G. (2000). Testing for asymmetry in the link between the yield spread and output in the G-7 countries. </w:t>
      </w:r>
      <w:r>
        <w:rPr>
          <w:i/>
          <w:iCs/>
        </w:rPr>
        <w:t>Journal of International Money and Finance</w:t>
      </w:r>
      <w:r>
        <w:t xml:space="preserve">, </w:t>
      </w:r>
      <w:r>
        <w:rPr>
          <w:i/>
          <w:iCs/>
        </w:rPr>
        <w:t>19</w:t>
      </w:r>
      <w:r>
        <w:t>(5), 657–672. doi: 10.1016/s0261-5606(00)00023-1</w:t>
      </w:r>
    </w:p>
    <w:p w14:paraId="2C9099A1" w14:textId="77777777" w:rsidR="00E21552" w:rsidRPr="00101448" w:rsidRDefault="00E21552" w:rsidP="00AD1ECB">
      <w:pPr>
        <w:spacing w:line="276" w:lineRule="auto"/>
        <w:ind w:left="720" w:hanging="720"/>
        <w:rPr>
          <w:rFonts w:cs="Times New Roman"/>
          <w:lang w:val="en-CA" w:eastAsia="en-CA"/>
        </w:rPr>
      </w:pPr>
    </w:p>
    <w:p w14:paraId="7D9582BD"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Galvão, A. B. C. (2006). Structural break threshold VARs for predicting US recessions using the spread. </w:t>
      </w:r>
      <w:r w:rsidRPr="00101448">
        <w:rPr>
          <w:rFonts w:cs="Times New Roman"/>
          <w:i/>
          <w:iCs/>
          <w:lang w:val="en-CA" w:eastAsia="en-CA"/>
        </w:rPr>
        <w:t>Journal of Applied Econometrics</w:t>
      </w:r>
      <w:r w:rsidRPr="00101448">
        <w:rPr>
          <w:rFonts w:cs="Times New Roman"/>
          <w:lang w:val="en-CA" w:eastAsia="en-CA"/>
        </w:rPr>
        <w:t xml:space="preserve">, </w:t>
      </w:r>
      <w:r w:rsidRPr="00101448">
        <w:rPr>
          <w:rFonts w:cs="Times New Roman"/>
          <w:i/>
          <w:iCs/>
          <w:lang w:val="en-CA" w:eastAsia="en-CA"/>
        </w:rPr>
        <w:t>21</w:t>
      </w:r>
      <w:r w:rsidRPr="00101448">
        <w:rPr>
          <w:rFonts w:cs="Times New Roman"/>
          <w:lang w:val="en-CA" w:eastAsia="en-CA"/>
        </w:rPr>
        <w:t>(4), 463–487. doi: 10.1002/jae.840</w:t>
      </w:r>
    </w:p>
    <w:p w14:paraId="6BC592B4" w14:textId="77777777" w:rsidR="00D026C7" w:rsidRPr="00101448" w:rsidRDefault="00D026C7" w:rsidP="00AD1ECB">
      <w:pPr>
        <w:spacing w:line="276" w:lineRule="auto"/>
        <w:ind w:left="720" w:hanging="720"/>
        <w:rPr>
          <w:rFonts w:cs="Times New Roman"/>
          <w:lang w:val="en-CA" w:eastAsia="en-CA"/>
        </w:rPr>
      </w:pPr>
    </w:p>
    <w:p w14:paraId="159A01F3"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Gamber, E. N. (1996). The policy content of the yield curve slope. </w:t>
      </w:r>
      <w:r w:rsidRPr="00101448">
        <w:rPr>
          <w:rFonts w:cs="Times New Roman"/>
          <w:i/>
          <w:iCs/>
          <w:lang w:val="en-CA" w:eastAsia="en-CA"/>
        </w:rPr>
        <w:t>Review of Financial Economics</w:t>
      </w:r>
      <w:r w:rsidRPr="00101448">
        <w:rPr>
          <w:rFonts w:cs="Times New Roman"/>
          <w:lang w:val="en-CA" w:eastAsia="en-CA"/>
        </w:rPr>
        <w:t xml:space="preserve">, </w:t>
      </w:r>
      <w:r w:rsidRPr="00101448">
        <w:rPr>
          <w:rFonts w:cs="Times New Roman"/>
          <w:i/>
          <w:iCs/>
          <w:lang w:val="en-CA" w:eastAsia="en-CA"/>
        </w:rPr>
        <w:t>5</w:t>
      </w:r>
      <w:r w:rsidRPr="00101448">
        <w:rPr>
          <w:rFonts w:cs="Times New Roman"/>
          <w:lang w:val="en-CA" w:eastAsia="en-CA"/>
        </w:rPr>
        <w:t>(2), 163–179. doi: 10.1016/s1058-3300(96)90013-0</w:t>
      </w:r>
    </w:p>
    <w:p w14:paraId="2CC65D7F" w14:textId="77777777" w:rsidR="00D026C7" w:rsidRPr="00101448" w:rsidRDefault="00D026C7" w:rsidP="0048526F">
      <w:pPr>
        <w:spacing w:line="276" w:lineRule="auto"/>
        <w:rPr>
          <w:rFonts w:cs="Times New Roman"/>
          <w:lang w:val="en-CA" w:eastAsia="en-CA"/>
        </w:rPr>
      </w:pPr>
    </w:p>
    <w:p w14:paraId="28A0FC59"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Hamilton, J. D., &amp; Kim, D. H. (2001). A Re-examination of the Predictability of Economic Activity Using the Yield Spread. </w:t>
      </w:r>
      <w:r w:rsidRPr="00101448">
        <w:rPr>
          <w:rFonts w:cs="Times New Roman"/>
          <w:i/>
          <w:iCs/>
          <w:lang w:val="en-CA" w:eastAsia="en-CA"/>
        </w:rPr>
        <w:t>SSRN Electronic Journal</w:t>
      </w:r>
      <w:r w:rsidRPr="00101448">
        <w:rPr>
          <w:rFonts w:cs="Times New Roman"/>
          <w:lang w:val="en-CA" w:eastAsia="en-CA"/>
        </w:rPr>
        <w:t>. doi: 10.2139/ssrn.245584</w:t>
      </w:r>
    </w:p>
    <w:p w14:paraId="42FDA8B1" w14:textId="77777777" w:rsidR="00D026C7" w:rsidRPr="00101448" w:rsidRDefault="00D026C7" w:rsidP="00AD1ECB">
      <w:pPr>
        <w:spacing w:line="276" w:lineRule="auto"/>
        <w:ind w:left="720" w:hanging="720"/>
        <w:rPr>
          <w:rFonts w:cs="Times New Roman"/>
          <w:lang w:val="en-CA" w:eastAsia="en-CA"/>
        </w:rPr>
      </w:pPr>
    </w:p>
    <w:p w14:paraId="183D5749" w14:textId="77777777" w:rsidR="00D026C7" w:rsidRPr="00101448" w:rsidRDefault="00D026C7" w:rsidP="00AD1ECB">
      <w:pPr>
        <w:spacing w:line="276" w:lineRule="auto"/>
        <w:ind w:left="720" w:hanging="720"/>
        <w:rPr>
          <w:rFonts w:cs="Times New Roman"/>
          <w:lang w:val="fr-CA" w:eastAsia="en-CA"/>
        </w:rPr>
      </w:pPr>
      <w:r w:rsidRPr="00101448">
        <w:rPr>
          <w:rFonts w:cs="Times New Roman"/>
          <w:lang w:val="en-CA" w:eastAsia="en-CA"/>
        </w:rPr>
        <w:lastRenderedPageBreak/>
        <w:t xml:space="preserve">Hao, L., &amp; Ng, E. C. (2011). Predicting Canadian recessions using dynamic probit modelling approaches. </w:t>
      </w:r>
      <w:r w:rsidRPr="00101448">
        <w:rPr>
          <w:rFonts w:cs="Times New Roman"/>
          <w:i/>
          <w:iCs/>
          <w:lang w:val="fr-CA" w:eastAsia="en-CA"/>
        </w:rPr>
        <w:t>Canadian Journal of Economics/Revue Canadienne Déconomique</w:t>
      </w:r>
      <w:r w:rsidRPr="00101448">
        <w:rPr>
          <w:rFonts w:cs="Times New Roman"/>
          <w:lang w:val="fr-CA" w:eastAsia="en-CA"/>
        </w:rPr>
        <w:t xml:space="preserve">, </w:t>
      </w:r>
      <w:r w:rsidRPr="00101448">
        <w:rPr>
          <w:rFonts w:cs="Times New Roman"/>
          <w:i/>
          <w:iCs/>
          <w:lang w:val="fr-CA" w:eastAsia="en-CA"/>
        </w:rPr>
        <w:t>44</w:t>
      </w:r>
      <w:r w:rsidRPr="00101448">
        <w:rPr>
          <w:rFonts w:cs="Times New Roman"/>
          <w:lang w:val="fr-CA" w:eastAsia="en-CA"/>
        </w:rPr>
        <w:t xml:space="preserve">(4), 1297–1330. </w:t>
      </w:r>
      <w:proofErr w:type="gramStart"/>
      <w:r w:rsidRPr="00101448">
        <w:rPr>
          <w:rFonts w:cs="Times New Roman"/>
          <w:lang w:val="fr-CA" w:eastAsia="en-CA"/>
        </w:rPr>
        <w:t>doi</w:t>
      </w:r>
      <w:proofErr w:type="gramEnd"/>
      <w:r w:rsidRPr="00101448">
        <w:rPr>
          <w:rFonts w:cs="Times New Roman"/>
          <w:lang w:val="fr-CA" w:eastAsia="en-CA"/>
        </w:rPr>
        <w:t>: 10.1111/j.1540-5982.2011.01675.x</w:t>
      </w:r>
    </w:p>
    <w:p w14:paraId="044A3BDA" w14:textId="77777777" w:rsidR="00D026C7" w:rsidRPr="00435A15" w:rsidRDefault="00D026C7" w:rsidP="00AD1ECB">
      <w:pPr>
        <w:spacing w:line="276" w:lineRule="auto"/>
        <w:ind w:left="720" w:hanging="720"/>
        <w:rPr>
          <w:rFonts w:cs="Times New Roman"/>
          <w:lang w:val="fr-CA" w:eastAsia="en-CA"/>
        </w:rPr>
      </w:pPr>
    </w:p>
    <w:p w14:paraId="2EE6D3BE" w14:textId="77777777" w:rsidR="00D026C7" w:rsidRPr="00101448" w:rsidRDefault="00D026C7" w:rsidP="00AD1ECB">
      <w:pPr>
        <w:spacing w:line="276" w:lineRule="auto"/>
        <w:ind w:left="720" w:hanging="720"/>
        <w:rPr>
          <w:rFonts w:cs="Times New Roman"/>
          <w:lang w:val="en-CA" w:eastAsia="en-CA"/>
        </w:rPr>
      </w:pPr>
      <w:r w:rsidRPr="00435A15">
        <w:rPr>
          <w:rFonts w:cs="Times New Roman"/>
          <w:lang w:val="fr-CA" w:eastAsia="en-CA"/>
        </w:rPr>
        <w:t xml:space="preserve">Harvey, C. R. (1988). </w:t>
      </w:r>
      <w:r w:rsidRPr="00101448">
        <w:rPr>
          <w:rFonts w:cs="Times New Roman"/>
          <w:lang w:val="en-CA" w:eastAsia="en-CA"/>
        </w:rPr>
        <w:t xml:space="preserve">The real term structure and consumption growth. </w:t>
      </w:r>
      <w:r w:rsidRPr="00101448">
        <w:rPr>
          <w:rFonts w:cs="Times New Roman"/>
          <w:i/>
          <w:iCs/>
          <w:lang w:val="en-CA" w:eastAsia="en-CA"/>
        </w:rPr>
        <w:t>Journal of Financial Economics</w:t>
      </w:r>
      <w:r w:rsidRPr="00101448">
        <w:rPr>
          <w:rFonts w:cs="Times New Roman"/>
          <w:lang w:val="en-CA" w:eastAsia="en-CA"/>
        </w:rPr>
        <w:t xml:space="preserve">, </w:t>
      </w:r>
      <w:r w:rsidRPr="00101448">
        <w:rPr>
          <w:rFonts w:cs="Times New Roman"/>
          <w:i/>
          <w:iCs/>
          <w:lang w:val="en-CA" w:eastAsia="en-CA"/>
        </w:rPr>
        <w:t>22</w:t>
      </w:r>
      <w:r w:rsidRPr="00101448">
        <w:rPr>
          <w:rFonts w:cs="Times New Roman"/>
          <w:lang w:val="en-CA" w:eastAsia="en-CA"/>
        </w:rPr>
        <w:t>(2), 305–333. doi: 10.1016/0304-405</w:t>
      </w:r>
      <w:proofErr w:type="gramStart"/>
      <w:r w:rsidRPr="00101448">
        <w:rPr>
          <w:rFonts w:cs="Times New Roman"/>
          <w:lang w:val="en-CA" w:eastAsia="en-CA"/>
        </w:rPr>
        <w:t>x(</w:t>
      </w:r>
      <w:proofErr w:type="gramEnd"/>
      <w:r w:rsidRPr="00101448">
        <w:rPr>
          <w:rFonts w:cs="Times New Roman"/>
          <w:lang w:val="en-CA" w:eastAsia="en-CA"/>
        </w:rPr>
        <w:t>88)90073-6</w:t>
      </w:r>
    </w:p>
    <w:p w14:paraId="0E4CD74A" w14:textId="77777777" w:rsidR="00D026C7" w:rsidRPr="00101448" w:rsidRDefault="00D026C7" w:rsidP="009E123F">
      <w:pPr>
        <w:spacing w:line="276" w:lineRule="auto"/>
        <w:rPr>
          <w:rFonts w:cs="Times New Roman"/>
          <w:lang w:val="en-CA"/>
        </w:rPr>
      </w:pPr>
    </w:p>
    <w:p w14:paraId="27E713E2" w14:textId="68BCF65F" w:rsidR="00D026C7" w:rsidRPr="00101448" w:rsidRDefault="009E123F" w:rsidP="00AD1ECB">
      <w:pPr>
        <w:spacing w:line="276" w:lineRule="auto"/>
        <w:ind w:left="720" w:hanging="720"/>
        <w:rPr>
          <w:rFonts w:cs="Times New Roman"/>
          <w:lang w:val="en-CA" w:eastAsia="en-CA"/>
        </w:rPr>
      </w:pPr>
      <w:r>
        <w:t xml:space="preserve">Haubrich, J. G., &amp; Dombrosky, A. M. (1996). Predicting Real Growth Using the Yield Curve. </w:t>
      </w:r>
      <w:r>
        <w:rPr>
          <w:i/>
          <w:iCs/>
        </w:rPr>
        <w:t>Federal Reserve Bank of Cleveland Economic Review</w:t>
      </w:r>
      <w:r>
        <w:t xml:space="preserve">, </w:t>
      </w:r>
      <w:r>
        <w:rPr>
          <w:i/>
          <w:iCs/>
        </w:rPr>
        <w:t>32</w:t>
      </w:r>
      <w:r>
        <w:t>(1), 26–35.</w:t>
      </w:r>
    </w:p>
    <w:p w14:paraId="05B59A49" w14:textId="77777777" w:rsidR="009E123F" w:rsidRDefault="009E123F" w:rsidP="00AD1ECB">
      <w:pPr>
        <w:spacing w:line="276" w:lineRule="auto"/>
        <w:ind w:left="720" w:hanging="720"/>
        <w:rPr>
          <w:rFonts w:cs="Times New Roman"/>
          <w:lang w:val="en-CA" w:eastAsia="en-CA"/>
        </w:rPr>
      </w:pPr>
    </w:p>
    <w:p w14:paraId="01EE3613" w14:textId="22EC866A"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Hvozdenska, J. (2015). The Yield Curve as a Predictor of Gross Domestic Product Growth in Nordic Countries. </w:t>
      </w:r>
      <w:r w:rsidRPr="00101448">
        <w:rPr>
          <w:rFonts w:cs="Times New Roman"/>
          <w:i/>
          <w:iCs/>
          <w:lang w:val="en-CA" w:eastAsia="en-CA"/>
        </w:rPr>
        <w:t>Procedia Economics and Finance</w:t>
      </w:r>
      <w:r w:rsidRPr="00101448">
        <w:rPr>
          <w:rFonts w:cs="Times New Roman"/>
          <w:lang w:val="en-CA" w:eastAsia="en-CA"/>
        </w:rPr>
        <w:t xml:space="preserve">, </w:t>
      </w:r>
      <w:r w:rsidRPr="00101448">
        <w:rPr>
          <w:rFonts w:cs="Times New Roman"/>
          <w:i/>
          <w:iCs/>
          <w:lang w:val="en-CA" w:eastAsia="en-CA"/>
        </w:rPr>
        <w:t>26</w:t>
      </w:r>
      <w:r w:rsidRPr="00101448">
        <w:rPr>
          <w:rFonts w:cs="Times New Roman"/>
          <w:lang w:val="en-CA" w:eastAsia="en-CA"/>
        </w:rPr>
        <w:t>, 438–445. doi: 10.1016/s2212-5671(15)00871-0</w:t>
      </w:r>
    </w:p>
    <w:p w14:paraId="2A9D34DF" w14:textId="77777777" w:rsidR="00D026C7" w:rsidRPr="00101448" w:rsidRDefault="00D026C7" w:rsidP="00AD1ECB">
      <w:pPr>
        <w:spacing w:line="276" w:lineRule="auto"/>
        <w:ind w:left="720" w:hanging="720"/>
        <w:rPr>
          <w:rFonts w:cs="Times New Roman"/>
          <w:lang w:val="en-CA" w:eastAsia="en-CA"/>
        </w:rPr>
      </w:pPr>
    </w:p>
    <w:p w14:paraId="6C020ACE"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Jardet, C. (2004). Why did the term structure of interest rates lose its predictive power? </w:t>
      </w:r>
      <w:r w:rsidRPr="00101448">
        <w:rPr>
          <w:rFonts w:cs="Times New Roman"/>
          <w:i/>
          <w:iCs/>
          <w:lang w:val="en-CA" w:eastAsia="en-CA"/>
        </w:rPr>
        <w:t>Economic Modelling</w:t>
      </w:r>
      <w:r w:rsidRPr="00101448">
        <w:rPr>
          <w:rFonts w:cs="Times New Roman"/>
          <w:lang w:val="en-CA" w:eastAsia="en-CA"/>
        </w:rPr>
        <w:t xml:space="preserve">, </w:t>
      </w:r>
      <w:r w:rsidRPr="00101448">
        <w:rPr>
          <w:rFonts w:cs="Times New Roman"/>
          <w:i/>
          <w:iCs/>
          <w:lang w:val="en-CA" w:eastAsia="en-CA"/>
        </w:rPr>
        <w:t>21</w:t>
      </w:r>
      <w:r w:rsidRPr="00101448">
        <w:rPr>
          <w:rFonts w:cs="Times New Roman"/>
          <w:lang w:val="en-CA" w:eastAsia="en-CA"/>
        </w:rPr>
        <w:t>(3), 509–524. doi: 10.1016/s0264-9993(03)00042-7</w:t>
      </w:r>
    </w:p>
    <w:p w14:paraId="25656FBB" w14:textId="77777777" w:rsidR="00D026C7" w:rsidRPr="00101448" w:rsidRDefault="00D026C7" w:rsidP="00AD1ECB">
      <w:pPr>
        <w:spacing w:line="276" w:lineRule="auto"/>
        <w:ind w:left="720" w:hanging="720"/>
        <w:rPr>
          <w:rFonts w:cs="Times New Roman"/>
          <w:lang w:val="en-CA" w:eastAsia="en-CA"/>
        </w:rPr>
      </w:pPr>
    </w:p>
    <w:p w14:paraId="3F7C2C2E" w14:textId="77777777" w:rsidR="00D026C7" w:rsidRPr="00101448" w:rsidRDefault="00D026C7" w:rsidP="0038549B">
      <w:pPr>
        <w:spacing w:line="276" w:lineRule="auto"/>
        <w:ind w:left="720" w:hanging="720"/>
        <w:rPr>
          <w:rFonts w:cs="Times New Roman"/>
          <w:lang w:val="en-CA" w:eastAsia="en-CA"/>
        </w:rPr>
      </w:pPr>
      <w:r w:rsidRPr="00101448">
        <w:rPr>
          <w:rFonts w:cs="Times New Roman"/>
          <w:lang w:val="en-CA" w:eastAsia="en-CA"/>
        </w:rPr>
        <w:t xml:space="preserve">Jorion, P., &amp; Mishkin, F. (1991). A multicountry comparison of term-structure forecasts at long horizons. </w:t>
      </w:r>
      <w:r w:rsidRPr="00101448">
        <w:rPr>
          <w:rFonts w:cs="Times New Roman"/>
          <w:i/>
          <w:iCs/>
          <w:lang w:val="en-CA" w:eastAsia="en-CA"/>
        </w:rPr>
        <w:t>Journal of Financial Economics</w:t>
      </w:r>
      <w:r w:rsidRPr="00101448">
        <w:rPr>
          <w:rFonts w:cs="Times New Roman"/>
          <w:lang w:val="en-CA" w:eastAsia="en-CA"/>
        </w:rPr>
        <w:t xml:space="preserve">, </w:t>
      </w:r>
      <w:r w:rsidRPr="00101448">
        <w:rPr>
          <w:rFonts w:cs="Times New Roman"/>
          <w:i/>
          <w:iCs/>
          <w:lang w:val="en-CA" w:eastAsia="en-CA"/>
        </w:rPr>
        <w:t>29</w:t>
      </w:r>
      <w:r w:rsidRPr="00101448">
        <w:rPr>
          <w:rFonts w:cs="Times New Roman"/>
          <w:lang w:val="en-CA" w:eastAsia="en-CA"/>
        </w:rPr>
        <w:t>(1), 59–80. doi: 10.1016/0304-405</w:t>
      </w:r>
      <w:proofErr w:type="gramStart"/>
      <w:r w:rsidRPr="00101448">
        <w:rPr>
          <w:rFonts w:cs="Times New Roman"/>
          <w:lang w:val="en-CA" w:eastAsia="en-CA"/>
        </w:rPr>
        <w:t>x(</w:t>
      </w:r>
      <w:proofErr w:type="gramEnd"/>
      <w:r w:rsidRPr="00101448">
        <w:rPr>
          <w:rFonts w:cs="Times New Roman"/>
          <w:lang w:val="en-CA" w:eastAsia="en-CA"/>
        </w:rPr>
        <w:t>91)90013-a</w:t>
      </w:r>
    </w:p>
    <w:p w14:paraId="1A3B57A0" w14:textId="77777777" w:rsidR="00D026C7" w:rsidRPr="00101448" w:rsidRDefault="00D026C7" w:rsidP="005E128F">
      <w:pPr>
        <w:spacing w:line="276" w:lineRule="auto"/>
        <w:rPr>
          <w:rFonts w:cs="Times New Roman"/>
          <w:lang w:val="en-CA" w:eastAsia="en-CA"/>
        </w:rPr>
      </w:pPr>
    </w:p>
    <w:p w14:paraId="21F0D024" w14:textId="6332129C"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 xml:space="preserve">Kozicki, S. (1997). Predicting Real Growth and Inflation with the Yield Spread. </w:t>
      </w:r>
      <w:r w:rsidRPr="00101448">
        <w:rPr>
          <w:rFonts w:cs="Times New Roman"/>
          <w:i/>
          <w:iCs/>
          <w:lang w:val="en-CA" w:eastAsia="en-CA"/>
        </w:rPr>
        <w:t>Economic Review - Federal Reserve Bank of Kansas City</w:t>
      </w:r>
      <w:r w:rsidRPr="00101448">
        <w:rPr>
          <w:rFonts w:cs="Times New Roman"/>
          <w:lang w:val="en-CA" w:eastAsia="en-CA"/>
        </w:rPr>
        <w:t xml:space="preserve">, </w:t>
      </w:r>
      <w:r w:rsidRPr="00101448">
        <w:rPr>
          <w:rFonts w:cs="Times New Roman"/>
          <w:i/>
          <w:iCs/>
          <w:lang w:val="en-CA" w:eastAsia="en-CA"/>
        </w:rPr>
        <w:t>82</w:t>
      </w:r>
      <w:r w:rsidRPr="00101448">
        <w:rPr>
          <w:rFonts w:cs="Times New Roman"/>
          <w:lang w:val="en-CA" w:eastAsia="en-CA"/>
        </w:rPr>
        <w:t>(4), 39–57.</w:t>
      </w:r>
    </w:p>
    <w:p w14:paraId="2E6DC028" w14:textId="77777777" w:rsidR="00D026C7" w:rsidRPr="00435A15" w:rsidRDefault="00D026C7" w:rsidP="00AD1ECB">
      <w:pPr>
        <w:spacing w:line="276" w:lineRule="auto"/>
        <w:ind w:left="720" w:hanging="720"/>
        <w:rPr>
          <w:rFonts w:cs="Times New Roman"/>
          <w:lang w:val="en-CA" w:eastAsia="en-CA"/>
        </w:rPr>
      </w:pPr>
    </w:p>
    <w:p w14:paraId="0DF12640" w14:textId="324317A6" w:rsidR="00D026C7" w:rsidRPr="00101448" w:rsidRDefault="0067131C" w:rsidP="00AD1ECB">
      <w:pPr>
        <w:spacing w:line="276" w:lineRule="auto"/>
        <w:ind w:left="720" w:hanging="720"/>
        <w:rPr>
          <w:rFonts w:cs="Times New Roman"/>
        </w:rPr>
      </w:pPr>
      <w:r>
        <w:t xml:space="preserve">Laurent, R. D. (1989). Testing the "spread". </w:t>
      </w:r>
      <w:r>
        <w:rPr>
          <w:i/>
          <w:iCs/>
        </w:rPr>
        <w:t>Economic Perspectives - Federal Reserve Bank of Chicago</w:t>
      </w:r>
      <w:r>
        <w:t xml:space="preserve">, </w:t>
      </w:r>
      <w:r>
        <w:rPr>
          <w:i/>
          <w:iCs/>
        </w:rPr>
        <w:t>13</w:t>
      </w:r>
      <w:r>
        <w:t>(2), 22–34.</w:t>
      </w:r>
    </w:p>
    <w:p w14:paraId="11D94E1B" w14:textId="77777777" w:rsidR="0067131C" w:rsidRDefault="0067131C" w:rsidP="00AD1ECB">
      <w:pPr>
        <w:spacing w:line="276" w:lineRule="auto"/>
        <w:ind w:left="720" w:hanging="720"/>
        <w:rPr>
          <w:rFonts w:cs="Times New Roman"/>
        </w:rPr>
      </w:pPr>
    </w:p>
    <w:p w14:paraId="77550DEF" w14:textId="08B0910D" w:rsidR="00D026C7" w:rsidRPr="00101448" w:rsidRDefault="00D026C7" w:rsidP="00AD1ECB">
      <w:pPr>
        <w:spacing w:line="276" w:lineRule="auto"/>
        <w:ind w:left="720" w:hanging="720"/>
        <w:rPr>
          <w:rFonts w:cs="Times New Roman"/>
        </w:rPr>
      </w:pPr>
      <w:r w:rsidRPr="00101448">
        <w:rPr>
          <w:rFonts w:cs="Times New Roman"/>
        </w:rPr>
        <w:t xml:space="preserve">Li, B., DeWetering, E., Lucas, G., Brenner, R., &amp; Shapiro, A. (2001). Merrill Lynch exponential spline model. </w:t>
      </w:r>
      <w:r w:rsidRPr="00C43B11">
        <w:rPr>
          <w:rFonts w:cs="Times New Roman"/>
          <w:i/>
          <w:iCs/>
        </w:rPr>
        <w:t xml:space="preserve">Merrill Lynch </w:t>
      </w:r>
      <w:r w:rsidR="00C43B11">
        <w:rPr>
          <w:rFonts w:cs="Times New Roman"/>
          <w:i/>
          <w:iCs/>
        </w:rPr>
        <w:t>W</w:t>
      </w:r>
      <w:r w:rsidRPr="00C43B11">
        <w:rPr>
          <w:rFonts w:cs="Times New Roman"/>
          <w:i/>
          <w:iCs/>
        </w:rPr>
        <w:t xml:space="preserve">orking </w:t>
      </w:r>
      <w:r w:rsidR="00C43B11">
        <w:rPr>
          <w:rFonts w:cs="Times New Roman"/>
          <w:i/>
          <w:iCs/>
        </w:rPr>
        <w:t>P</w:t>
      </w:r>
      <w:r w:rsidRPr="00C43B11">
        <w:rPr>
          <w:rFonts w:cs="Times New Roman"/>
          <w:i/>
          <w:iCs/>
        </w:rPr>
        <w:t>aper</w:t>
      </w:r>
      <w:r w:rsidRPr="00101448">
        <w:rPr>
          <w:rFonts w:cs="Times New Roman"/>
        </w:rPr>
        <w:t>.</w:t>
      </w:r>
    </w:p>
    <w:p w14:paraId="15047BDE" w14:textId="77777777" w:rsidR="00D026C7" w:rsidRPr="00101448" w:rsidRDefault="00D026C7" w:rsidP="00AD1ECB">
      <w:pPr>
        <w:spacing w:line="276" w:lineRule="auto"/>
        <w:ind w:left="720" w:hanging="720"/>
        <w:rPr>
          <w:rFonts w:cs="Times New Roman"/>
          <w:lang w:val="en-CA" w:eastAsia="en-CA"/>
        </w:rPr>
      </w:pPr>
    </w:p>
    <w:p w14:paraId="50140332" w14:textId="77777777" w:rsidR="00D026C7" w:rsidRPr="00101448" w:rsidRDefault="00D026C7" w:rsidP="00AD1ECB">
      <w:pPr>
        <w:spacing w:line="276" w:lineRule="auto"/>
        <w:ind w:left="720" w:hanging="720"/>
        <w:rPr>
          <w:rFonts w:cs="Times New Roman"/>
        </w:rPr>
      </w:pPr>
      <w:r w:rsidRPr="00101448">
        <w:rPr>
          <w:rFonts w:cs="Times New Roman"/>
        </w:rPr>
        <w:t xml:space="preserve">Mishkin, F. S. (1990). What does the term structure tell us about future inflation? </w:t>
      </w:r>
      <w:r w:rsidRPr="00101448">
        <w:rPr>
          <w:rFonts w:cs="Times New Roman"/>
          <w:i/>
          <w:iCs/>
        </w:rPr>
        <w:t>Journal of Monetary Economics</w:t>
      </w:r>
      <w:r w:rsidRPr="00101448">
        <w:rPr>
          <w:rFonts w:cs="Times New Roman"/>
        </w:rPr>
        <w:t xml:space="preserve">, </w:t>
      </w:r>
      <w:r w:rsidRPr="00101448">
        <w:rPr>
          <w:rFonts w:cs="Times New Roman"/>
          <w:i/>
          <w:iCs/>
        </w:rPr>
        <w:t>25</w:t>
      </w:r>
      <w:r w:rsidRPr="00101448">
        <w:rPr>
          <w:rFonts w:cs="Times New Roman"/>
        </w:rPr>
        <w:t>(1), 77–95. doi: 10.1016/0304-3932(90)90046-7</w:t>
      </w:r>
    </w:p>
    <w:p w14:paraId="2ACB6F14" w14:textId="77777777" w:rsidR="00D026C7" w:rsidRPr="00101448" w:rsidRDefault="00D026C7" w:rsidP="00AD1ECB">
      <w:pPr>
        <w:spacing w:line="276" w:lineRule="auto"/>
        <w:ind w:left="720" w:hanging="720"/>
        <w:rPr>
          <w:rFonts w:cs="Times New Roman"/>
          <w:lang w:val="en-CA" w:eastAsia="en-CA"/>
        </w:rPr>
      </w:pPr>
    </w:p>
    <w:p w14:paraId="64428C04" w14:textId="3AD15E4D" w:rsidR="00FD7F16" w:rsidRDefault="00FD7F16" w:rsidP="00785994">
      <w:pPr>
        <w:ind w:left="720" w:hanging="720"/>
        <w:rPr>
          <w:rFonts w:cs="Times New Roman"/>
        </w:rPr>
      </w:pPr>
      <w:r w:rsidRPr="00542393">
        <w:rPr>
          <w:rFonts w:cs="Times New Roman"/>
        </w:rPr>
        <w:t xml:space="preserve">National Bureau of Economic Research. (2020). </w:t>
      </w:r>
      <w:r w:rsidRPr="004800C5">
        <w:rPr>
          <w:rFonts w:cs="Times New Roman"/>
        </w:rPr>
        <w:t>US Business Cycle Expansions and Contractions</w:t>
      </w:r>
      <w:r w:rsidR="008F46CC">
        <w:rPr>
          <w:rFonts w:cs="Times New Roman"/>
        </w:rPr>
        <w:t xml:space="preserve"> [Table]</w:t>
      </w:r>
      <w:r w:rsidRPr="00542393">
        <w:rPr>
          <w:rFonts w:cs="Times New Roman"/>
        </w:rPr>
        <w:t>. Retrieved from https://www.nber.org/cycles.html</w:t>
      </w:r>
    </w:p>
    <w:p w14:paraId="3C6C3920" w14:textId="77777777" w:rsidR="00FD7F16" w:rsidRDefault="00FD7F16" w:rsidP="00AD1ECB">
      <w:pPr>
        <w:spacing w:line="276" w:lineRule="auto"/>
        <w:ind w:left="720" w:hanging="720"/>
        <w:rPr>
          <w:rFonts w:cs="Times New Roman"/>
        </w:rPr>
      </w:pPr>
    </w:p>
    <w:p w14:paraId="59712AE8" w14:textId="6BC0F34C" w:rsidR="00D026C7" w:rsidRPr="00101448" w:rsidRDefault="00D026C7" w:rsidP="00AD1ECB">
      <w:pPr>
        <w:spacing w:line="276" w:lineRule="auto"/>
        <w:ind w:left="720" w:hanging="720"/>
        <w:rPr>
          <w:rFonts w:cs="Times New Roman"/>
        </w:rPr>
      </w:pPr>
      <w:r w:rsidRPr="00101448">
        <w:rPr>
          <w:rFonts w:cs="Times New Roman"/>
        </w:rPr>
        <w:t xml:space="preserve">Nelson, C. R., &amp; Siegel, A. F. (1987). </w:t>
      </w:r>
      <w:bookmarkStart w:id="48" w:name="_Hlk37342400"/>
      <w:r w:rsidRPr="00101448">
        <w:rPr>
          <w:rFonts w:cs="Times New Roman"/>
        </w:rPr>
        <w:t>Parsimonious Modeling of Yield Curves</w:t>
      </w:r>
      <w:bookmarkEnd w:id="48"/>
      <w:r w:rsidRPr="00101448">
        <w:rPr>
          <w:rFonts w:cs="Times New Roman"/>
        </w:rPr>
        <w:t xml:space="preserve">. </w:t>
      </w:r>
      <w:r w:rsidRPr="00101448">
        <w:rPr>
          <w:rFonts w:cs="Times New Roman"/>
          <w:i/>
          <w:iCs/>
        </w:rPr>
        <w:t>The Journal of Business</w:t>
      </w:r>
      <w:r w:rsidRPr="00101448">
        <w:rPr>
          <w:rFonts w:cs="Times New Roman"/>
        </w:rPr>
        <w:t xml:space="preserve">, </w:t>
      </w:r>
      <w:r w:rsidRPr="00101448">
        <w:rPr>
          <w:rFonts w:cs="Times New Roman"/>
          <w:i/>
          <w:iCs/>
        </w:rPr>
        <w:t>60</w:t>
      </w:r>
      <w:r w:rsidRPr="00101448">
        <w:rPr>
          <w:rFonts w:cs="Times New Roman"/>
        </w:rPr>
        <w:t>(4), 473. doi: 10.1086/296409</w:t>
      </w:r>
    </w:p>
    <w:p w14:paraId="27FE7ED3" w14:textId="77777777" w:rsidR="00D026C7" w:rsidRPr="00101448" w:rsidRDefault="00D026C7" w:rsidP="0048526F">
      <w:pPr>
        <w:spacing w:line="276" w:lineRule="auto"/>
        <w:rPr>
          <w:rFonts w:cs="Times New Roman"/>
          <w:lang w:val="en-CA" w:eastAsia="en-CA"/>
        </w:rPr>
      </w:pPr>
    </w:p>
    <w:p w14:paraId="1871446A" w14:textId="0F4C3733" w:rsidR="00D026C7" w:rsidRDefault="00992C51" w:rsidP="00475E29">
      <w:pPr>
        <w:spacing w:line="276" w:lineRule="auto"/>
        <w:ind w:left="720" w:hanging="720"/>
        <w:rPr>
          <w:rFonts w:cs="Times New Roman"/>
          <w:lang w:val="en-CA" w:eastAsia="en-CA"/>
        </w:rPr>
      </w:pPr>
      <w:r>
        <w:lastRenderedPageBreak/>
        <w:t>OECD. (2020a). Composite leading indicator (CLI). Retrieved from https://www.oecd-ilibrary.org/economics/composite-leading-indicator-cli/indicator/english_4a174487-en</w:t>
      </w:r>
    </w:p>
    <w:p w14:paraId="70F85640" w14:textId="77777777" w:rsidR="00992C51" w:rsidRDefault="00992C51" w:rsidP="00992C51">
      <w:pPr>
        <w:ind w:left="720" w:hanging="720"/>
      </w:pPr>
    </w:p>
    <w:p w14:paraId="7EF3C8BA" w14:textId="79EE5553" w:rsidR="00605A92" w:rsidRDefault="00605A92" w:rsidP="00C17A98">
      <w:pPr>
        <w:ind w:left="720" w:hanging="720"/>
      </w:pPr>
      <w:r>
        <w:t>OECD. (2020</w:t>
      </w:r>
      <w:r w:rsidR="00992C51">
        <w:t>b</w:t>
      </w:r>
      <w:r>
        <w:t>). OECD Composite Leading Indicators: Reference Turning Points and Component Series. Retrieved from https://www.oecd.org/sdd/leading-indicators/oecdcompositeleadingindicatorsreferenceturningpointsandcomponentseries.htm</w:t>
      </w:r>
    </w:p>
    <w:p w14:paraId="4591A1AA" w14:textId="77777777" w:rsidR="00605A92" w:rsidRPr="00101448" w:rsidRDefault="00605A92" w:rsidP="00AD1ECB">
      <w:pPr>
        <w:spacing w:line="276" w:lineRule="auto"/>
        <w:ind w:left="720" w:hanging="720"/>
        <w:rPr>
          <w:rFonts w:cs="Times New Roman"/>
          <w:lang w:val="en-CA" w:eastAsia="en-CA"/>
        </w:rPr>
      </w:pPr>
    </w:p>
    <w:p w14:paraId="20AF8B0D" w14:textId="543E1C84" w:rsidR="003D5D98" w:rsidRDefault="003D5D98" w:rsidP="00AD1ECB">
      <w:pPr>
        <w:spacing w:line="276" w:lineRule="auto"/>
        <w:ind w:left="720" w:hanging="720"/>
        <w:rPr>
          <w:rFonts w:cs="Times New Roman"/>
          <w:lang w:val="en-CA" w:eastAsia="en-CA"/>
        </w:rPr>
      </w:pPr>
      <w:r w:rsidRPr="00435A15">
        <w:rPr>
          <w:lang w:val="fr-CA"/>
        </w:rPr>
        <w:t xml:space="preserve">Rosenberg, J. V., &amp; Maurer, S. (2008). </w:t>
      </w:r>
      <w:r>
        <w:t xml:space="preserve">Signal or Noise? Implications of the Term Premium for Recession Forecasting. </w:t>
      </w:r>
      <w:r>
        <w:rPr>
          <w:i/>
          <w:iCs/>
        </w:rPr>
        <w:t>Federal Reserve Bank of New York - Economic Policy Review</w:t>
      </w:r>
      <w:r>
        <w:t xml:space="preserve">, </w:t>
      </w:r>
      <w:r>
        <w:rPr>
          <w:i/>
          <w:iCs/>
        </w:rPr>
        <w:t>14</w:t>
      </w:r>
      <w:r>
        <w:t>(1).</w:t>
      </w:r>
    </w:p>
    <w:p w14:paraId="15865B4E" w14:textId="77777777" w:rsidR="003D5D98" w:rsidRPr="00101448" w:rsidRDefault="003D5D98" w:rsidP="00AD1ECB">
      <w:pPr>
        <w:spacing w:line="276" w:lineRule="auto"/>
        <w:ind w:left="720" w:hanging="720"/>
        <w:rPr>
          <w:rFonts w:cs="Times New Roman"/>
          <w:lang w:val="en-CA" w:eastAsia="en-CA"/>
        </w:rPr>
      </w:pPr>
    </w:p>
    <w:p w14:paraId="5F476F2D" w14:textId="77777777" w:rsidR="00D026C7" w:rsidRPr="00101448" w:rsidRDefault="00D026C7" w:rsidP="00AD1ECB">
      <w:pPr>
        <w:spacing w:line="276" w:lineRule="auto"/>
        <w:ind w:left="720" w:hanging="720"/>
        <w:rPr>
          <w:rFonts w:cs="Times New Roman"/>
        </w:rPr>
      </w:pPr>
      <w:r w:rsidRPr="00101448">
        <w:rPr>
          <w:rFonts w:cs="Times New Roman"/>
        </w:rPr>
        <w:t xml:space="preserve">Shaaf, M. (2000). Predicting Recession Using the Yield Curve: An Artificial Intelligence and Econometric Comparison. </w:t>
      </w:r>
      <w:r w:rsidRPr="00101448">
        <w:rPr>
          <w:rFonts w:cs="Times New Roman"/>
          <w:i/>
          <w:iCs/>
        </w:rPr>
        <w:t>Eastern Economic Journal</w:t>
      </w:r>
      <w:r w:rsidRPr="00101448">
        <w:rPr>
          <w:rFonts w:cs="Times New Roman"/>
        </w:rPr>
        <w:t xml:space="preserve">, </w:t>
      </w:r>
      <w:r w:rsidRPr="00101448">
        <w:rPr>
          <w:rFonts w:cs="Times New Roman"/>
          <w:i/>
          <w:iCs/>
        </w:rPr>
        <w:t>26</w:t>
      </w:r>
      <w:r w:rsidRPr="00101448">
        <w:rPr>
          <w:rFonts w:cs="Times New Roman"/>
        </w:rPr>
        <w:t>(2), 171–190.</w:t>
      </w:r>
    </w:p>
    <w:p w14:paraId="5280F47B" w14:textId="77777777" w:rsidR="00D026C7" w:rsidRPr="00101448" w:rsidRDefault="00D026C7" w:rsidP="00AD1ECB">
      <w:pPr>
        <w:spacing w:line="276" w:lineRule="auto"/>
        <w:ind w:left="720" w:hanging="720"/>
        <w:rPr>
          <w:rFonts w:cs="Times New Roman"/>
          <w:lang w:val="en-CA" w:eastAsia="en-CA"/>
        </w:rPr>
      </w:pPr>
    </w:p>
    <w:p w14:paraId="79A81D54" w14:textId="10D47E96" w:rsidR="00372714" w:rsidRDefault="00372714" w:rsidP="00C17A98">
      <w:pPr>
        <w:spacing w:line="240" w:lineRule="auto"/>
        <w:ind w:left="720" w:hanging="720"/>
        <w:rPr>
          <w:rFonts w:eastAsia="Times New Roman" w:cs="Times New Roman"/>
          <w:lang w:eastAsia="en-CA"/>
        </w:rPr>
      </w:pPr>
      <w:r w:rsidRPr="00A51B9A">
        <w:t>Statistics Canada. (20</w:t>
      </w:r>
      <w:r>
        <w:t>20</w:t>
      </w:r>
      <w:r w:rsidR="006B4F56">
        <w:t>a</w:t>
      </w:r>
      <w:r w:rsidRPr="00A51B9A">
        <w:t>). </w:t>
      </w:r>
      <w:r w:rsidRPr="008B273A">
        <w:rPr>
          <w:rStyle w:val="Emphasis"/>
          <w:i w:val="0"/>
          <w:iCs w:val="0"/>
        </w:rPr>
        <w:t>Table</w:t>
      </w:r>
      <w:r w:rsidRPr="008B273A">
        <w:rPr>
          <w:rStyle w:val="Emphasis"/>
        </w:rPr>
        <w:t xml:space="preserve"> </w:t>
      </w:r>
      <w:r w:rsidRPr="008B273A">
        <w:t>10-10-0122-01</w:t>
      </w:r>
      <w:r w:rsidR="008B273A">
        <w:rPr>
          <w:rStyle w:val="Emphasis"/>
          <w:rFonts w:eastAsiaTheme="majorEastAsia"/>
          <w:i w:val="0"/>
          <w:iCs w:val="0"/>
        </w:rPr>
        <w:t xml:space="preserve"> - </w:t>
      </w:r>
      <w:r w:rsidRPr="0021381A">
        <w:rPr>
          <w:rFonts w:eastAsia="Times New Roman" w:cs="Times New Roman"/>
          <w:lang w:eastAsia="en-CA"/>
        </w:rPr>
        <w:t>Financial market statistics, last Wednesday unless otherwise stated, Bank of Canada</w:t>
      </w:r>
      <w:r w:rsidR="008B273A">
        <w:rPr>
          <w:rFonts w:eastAsia="Times New Roman" w:cs="Times New Roman"/>
          <w:lang w:eastAsia="en-CA"/>
        </w:rPr>
        <w:t xml:space="preserve"> [Table]</w:t>
      </w:r>
      <w:r>
        <w:rPr>
          <w:rStyle w:val="Emphasis"/>
          <w:rFonts w:eastAsiaTheme="majorEastAsia"/>
        </w:rPr>
        <w:t>.</w:t>
      </w:r>
      <w:r>
        <w:t xml:space="preserve"> </w:t>
      </w:r>
      <w:r w:rsidRPr="00A51B9A">
        <w:t>Retrieve</w:t>
      </w:r>
      <w:r>
        <w:t xml:space="preserve">d from </w:t>
      </w:r>
      <w:r w:rsidRPr="0021381A">
        <w:rPr>
          <w:rFonts w:eastAsia="Times New Roman" w:cs="Times New Roman"/>
          <w:lang w:eastAsia="en-CA"/>
        </w:rPr>
        <w:t>https://doi.org/10.25318/1010012201-eng</w:t>
      </w:r>
    </w:p>
    <w:p w14:paraId="641DC1A2" w14:textId="77777777" w:rsidR="00372714" w:rsidRDefault="00372714" w:rsidP="00C17A98">
      <w:pPr>
        <w:spacing w:line="240" w:lineRule="auto"/>
      </w:pPr>
    </w:p>
    <w:p w14:paraId="1A67291E" w14:textId="0B7D5022" w:rsidR="00D026C7" w:rsidRPr="00101448" w:rsidRDefault="00D026C7" w:rsidP="00C17A98">
      <w:pPr>
        <w:spacing w:line="276" w:lineRule="auto"/>
        <w:ind w:left="720" w:hanging="720"/>
        <w:rPr>
          <w:rFonts w:cs="Times New Roman"/>
        </w:rPr>
      </w:pPr>
      <w:r w:rsidRPr="00A51B9A">
        <w:t>Statistics Canada. (20</w:t>
      </w:r>
      <w:r>
        <w:t>20</w:t>
      </w:r>
      <w:r w:rsidR="006B4F56">
        <w:t>b</w:t>
      </w:r>
      <w:r w:rsidRPr="00A51B9A">
        <w:t>). </w:t>
      </w:r>
      <w:r w:rsidRPr="008B273A">
        <w:rPr>
          <w:rStyle w:val="Emphasis"/>
          <w:i w:val="0"/>
          <w:iCs w:val="0"/>
        </w:rPr>
        <w:t xml:space="preserve">Table </w:t>
      </w:r>
      <w:r w:rsidRPr="008B273A">
        <w:rPr>
          <w:rStyle w:val="Emphasis"/>
          <w:rFonts w:eastAsiaTheme="majorEastAsia"/>
          <w:i w:val="0"/>
          <w:iCs w:val="0"/>
        </w:rPr>
        <w:t>18-10-0006-01</w:t>
      </w:r>
      <w:r w:rsidR="008B273A">
        <w:rPr>
          <w:rStyle w:val="Emphasis"/>
          <w:i w:val="0"/>
          <w:iCs w:val="0"/>
        </w:rPr>
        <w:t xml:space="preserve"> - </w:t>
      </w:r>
      <w:r w:rsidRPr="008B273A">
        <w:rPr>
          <w:rStyle w:val="Emphasis"/>
          <w:rFonts w:eastAsiaTheme="majorEastAsia"/>
          <w:i w:val="0"/>
          <w:iCs w:val="0"/>
        </w:rPr>
        <w:t>Consumer Price Index, monthly, seasonally adjusted</w:t>
      </w:r>
      <w:r w:rsidR="008B273A">
        <w:rPr>
          <w:rStyle w:val="Emphasis"/>
          <w:rFonts w:eastAsiaTheme="majorEastAsia"/>
          <w:i w:val="0"/>
          <w:iCs w:val="0"/>
        </w:rPr>
        <w:t xml:space="preserve"> [Table]</w:t>
      </w:r>
      <w:r>
        <w:rPr>
          <w:rStyle w:val="Emphasis"/>
          <w:rFonts w:eastAsiaTheme="majorEastAsia"/>
        </w:rPr>
        <w:t>.</w:t>
      </w:r>
      <w:r>
        <w:t xml:space="preserve"> </w:t>
      </w:r>
      <w:r w:rsidRPr="00A51B9A">
        <w:t>Retrieve</w:t>
      </w:r>
      <w:r>
        <w:t xml:space="preserve">d from </w:t>
      </w:r>
      <w:r w:rsidRPr="00947A0E">
        <w:t>https://doi.org/10.25318/1810000601-eng</w:t>
      </w:r>
    </w:p>
    <w:p w14:paraId="02A120E5" w14:textId="77777777" w:rsidR="00D026C7" w:rsidRDefault="00D026C7" w:rsidP="00C17A98">
      <w:pPr>
        <w:spacing w:line="276" w:lineRule="auto"/>
        <w:ind w:left="720" w:hanging="720"/>
      </w:pPr>
    </w:p>
    <w:p w14:paraId="7A779F1F" w14:textId="4C6A6CED" w:rsidR="00D026C7" w:rsidRDefault="00D026C7" w:rsidP="00C17A98">
      <w:pPr>
        <w:spacing w:line="276" w:lineRule="auto"/>
        <w:ind w:left="720" w:hanging="720"/>
      </w:pPr>
      <w:r w:rsidRPr="00A51B9A">
        <w:t>Statistics Canada. (20</w:t>
      </w:r>
      <w:r>
        <w:t>20</w:t>
      </w:r>
      <w:r w:rsidR="006B4F56">
        <w:t>c</w:t>
      </w:r>
      <w:r w:rsidRPr="00A51B9A">
        <w:t>). </w:t>
      </w:r>
      <w:r w:rsidRPr="008B273A">
        <w:rPr>
          <w:rStyle w:val="Emphasis"/>
          <w:i w:val="0"/>
          <w:iCs w:val="0"/>
        </w:rPr>
        <w:t xml:space="preserve">Table </w:t>
      </w:r>
      <w:r w:rsidRPr="008B273A">
        <w:rPr>
          <w:rStyle w:val="Emphasis"/>
          <w:rFonts w:eastAsiaTheme="majorEastAsia"/>
          <w:i w:val="0"/>
          <w:iCs w:val="0"/>
        </w:rPr>
        <w:t>36-10-0105-01</w:t>
      </w:r>
      <w:r w:rsidR="008B273A">
        <w:rPr>
          <w:rStyle w:val="Emphasis"/>
          <w:i w:val="0"/>
          <w:iCs w:val="0"/>
        </w:rPr>
        <w:t xml:space="preserve"> - </w:t>
      </w:r>
      <w:r w:rsidRPr="008B273A">
        <w:rPr>
          <w:rStyle w:val="Emphasis"/>
          <w:rFonts w:eastAsiaTheme="majorEastAsia"/>
          <w:i w:val="0"/>
          <w:iCs w:val="0"/>
        </w:rPr>
        <w:t>Gross national income and gross domestic income, indexes and related statistics, quarterly</w:t>
      </w:r>
      <w:r w:rsidR="008B273A">
        <w:rPr>
          <w:rStyle w:val="Emphasis"/>
          <w:rFonts w:eastAsiaTheme="majorEastAsia"/>
          <w:i w:val="0"/>
          <w:iCs w:val="0"/>
        </w:rPr>
        <w:t xml:space="preserve"> [Table]</w:t>
      </w:r>
      <w:r>
        <w:rPr>
          <w:rStyle w:val="Emphasis"/>
          <w:rFonts w:eastAsiaTheme="majorEastAsia"/>
        </w:rPr>
        <w:t>.</w:t>
      </w:r>
      <w:r>
        <w:t xml:space="preserve"> </w:t>
      </w:r>
      <w:r w:rsidRPr="00A51B9A">
        <w:t>Retrieve</w:t>
      </w:r>
      <w:r>
        <w:t xml:space="preserve">d from </w:t>
      </w:r>
      <w:r w:rsidRPr="00686896">
        <w:t>https://doi.org/10.25318/3610010501-eng</w:t>
      </w:r>
    </w:p>
    <w:p w14:paraId="5A204F5D" w14:textId="77777777" w:rsidR="00D026C7" w:rsidRPr="00686896" w:rsidRDefault="00D026C7" w:rsidP="00AD1ECB">
      <w:pPr>
        <w:spacing w:line="276" w:lineRule="auto"/>
        <w:ind w:left="720" w:hanging="720"/>
        <w:rPr>
          <w:rFonts w:cs="Times New Roman"/>
        </w:rPr>
      </w:pPr>
    </w:p>
    <w:p w14:paraId="2491914E" w14:textId="77777777" w:rsidR="00D026C7" w:rsidRPr="00101448" w:rsidRDefault="00D026C7" w:rsidP="00AD1ECB">
      <w:pPr>
        <w:spacing w:line="276" w:lineRule="auto"/>
        <w:ind w:left="720" w:hanging="720"/>
        <w:rPr>
          <w:rFonts w:cs="Times New Roman"/>
        </w:rPr>
      </w:pPr>
      <w:r w:rsidRPr="00101448">
        <w:rPr>
          <w:rFonts w:cs="Times New Roman"/>
        </w:rPr>
        <w:t xml:space="preserve">Stock, J. H., &amp; Watson, M. W. (2001). Vector Autoregressions. </w:t>
      </w:r>
      <w:r w:rsidRPr="00101448">
        <w:rPr>
          <w:rFonts w:cs="Times New Roman"/>
          <w:i/>
          <w:iCs/>
        </w:rPr>
        <w:t>Journal of Economic Perspectives</w:t>
      </w:r>
      <w:r w:rsidRPr="00101448">
        <w:rPr>
          <w:rFonts w:cs="Times New Roman"/>
        </w:rPr>
        <w:t xml:space="preserve">, </w:t>
      </w:r>
      <w:r w:rsidRPr="00101448">
        <w:rPr>
          <w:rFonts w:cs="Times New Roman"/>
          <w:i/>
          <w:iCs/>
        </w:rPr>
        <w:t>15</w:t>
      </w:r>
      <w:r w:rsidRPr="00101448">
        <w:rPr>
          <w:rFonts w:cs="Times New Roman"/>
        </w:rPr>
        <w:t>(4), 101–115. doi: 10.1257/jep.15.4.101</w:t>
      </w:r>
    </w:p>
    <w:p w14:paraId="7F803419" w14:textId="77777777" w:rsidR="00D026C7" w:rsidRPr="00101448" w:rsidRDefault="00D026C7" w:rsidP="00AD1ECB">
      <w:pPr>
        <w:spacing w:line="276" w:lineRule="auto"/>
        <w:ind w:left="720" w:hanging="720"/>
        <w:rPr>
          <w:rFonts w:cs="Times New Roman"/>
          <w:lang w:val="en-CA" w:eastAsia="en-CA"/>
        </w:rPr>
      </w:pPr>
    </w:p>
    <w:p w14:paraId="0DAA7F1D" w14:textId="77777777" w:rsidR="00D026C7" w:rsidRPr="00101448" w:rsidRDefault="00D026C7" w:rsidP="00AD1ECB">
      <w:pPr>
        <w:spacing w:line="276" w:lineRule="auto"/>
        <w:ind w:left="720" w:hanging="720"/>
        <w:rPr>
          <w:rFonts w:cs="Times New Roman"/>
          <w:lang w:val="en-CA" w:eastAsia="en-CA"/>
        </w:rPr>
      </w:pPr>
      <w:r w:rsidRPr="00101448">
        <w:rPr>
          <w:rFonts w:cs="Times New Roman"/>
          <w:lang w:val="en-CA" w:eastAsia="en-CA"/>
        </w:rPr>
        <w:t>Svensson, L. E. (1994). Estimating and Interpreting Forward Interest Rates: Sweden 1992 - 1994. doi: 10.3386/w4871</w:t>
      </w:r>
    </w:p>
    <w:p w14:paraId="60DB4124" w14:textId="77777777" w:rsidR="00D026C7" w:rsidRPr="00101448" w:rsidRDefault="00D026C7" w:rsidP="00AD1ECB">
      <w:pPr>
        <w:spacing w:line="276" w:lineRule="auto"/>
        <w:ind w:left="720" w:hanging="720"/>
        <w:rPr>
          <w:rFonts w:cs="Times New Roman"/>
          <w:lang w:val="en-CA" w:eastAsia="en-CA"/>
        </w:rPr>
      </w:pPr>
    </w:p>
    <w:p w14:paraId="146EC6C6" w14:textId="6A77DB81" w:rsidR="00D026C7" w:rsidRPr="00101448" w:rsidRDefault="00C43B11" w:rsidP="00AD1ECB">
      <w:pPr>
        <w:spacing w:line="276" w:lineRule="auto"/>
        <w:ind w:left="720" w:hanging="720"/>
        <w:rPr>
          <w:rFonts w:cs="Times New Roman"/>
        </w:rPr>
      </w:pPr>
      <w:r>
        <w:t xml:space="preserve">Wheelock, D. C., &amp; Wohar, M. E. (2009). Can the Term Spread Predict Output Growth and Recessions? A Survey of the Literature. </w:t>
      </w:r>
      <w:r>
        <w:rPr>
          <w:i/>
          <w:iCs/>
        </w:rPr>
        <w:t>Review - Federal Reserve Bank of St. Louis</w:t>
      </w:r>
      <w:r>
        <w:t xml:space="preserve">, </w:t>
      </w:r>
      <w:r>
        <w:rPr>
          <w:i/>
          <w:iCs/>
        </w:rPr>
        <w:t>91</w:t>
      </w:r>
      <w:r>
        <w:t>(Sep), 419–440. doi: 10.20955/r.91.419-440</w:t>
      </w:r>
    </w:p>
    <w:p w14:paraId="1C65E1FB" w14:textId="77777777" w:rsidR="00C43B11" w:rsidRDefault="00C43B11" w:rsidP="00AD1ECB">
      <w:pPr>
        <w:spacing w:line="276" w:lineRule="auto"/>
        <w:ind w:left="720" w:hanging="720"/>
        <w:rPr>
          <w:rFonts w:cs="Times New Roman"/>
        </w:rPr>
      </w:pPr>
    </w:p>
    <w:p w14:paraId="78CC4FBA" w14:textId="693E76F1" w:rsidR="00D026C7" w:rsidRPr="00101448" w:rsidRDefault="00D026C7" w:rsidP="00AD1ECB">
      <w:pPr>
        <w:spacing w:line="276" w:lineRule="auto"/>
        <w:ind w:left="720" w:hanging="720"/>
        <w:rPr>
          <w:rFonts w:cs="Times New Roman"/>
        </w:rPr>
      </w:pPr>
      <w:r w:rsidRPr="00101448">
        <w:rPr>
          <w:rFonts w:cs="Times New Roman"/>
        </w:rPr>
        <w:t xml:space="preserve">Wright, J. H. (2006). The Yield Curve and Predicting Recessions. </w:t>
      </w:r>
      <w:r w:rsidRPr="00101448">
        <w:rPr>
          <w:rFonts w:cs="Times New Roman"/>
          <w:i/>
          <w:iCs/>
        </w:rPr>
        <w:t>Finance and Economics Discussion Series</w:t>
      </w:r>
      <w:r w:rsidRPr="00101448">
        <w:rPr>
          <w:rFonts w:cs="Times New Roman"/>
        </w:rPr>
        <w:t xml:space="preserve">, </w:t>
      </w:r>
      <w:r w:rsidRPr="00101448">
        <w:rPr>
          <w:rFonts w:cs="Times New Roman"/>
          <w:i/>
          <w:iCs/>
        </w:rPr>
        <w:t>2006</w:t>
      </w:r>
      <w:r w:rsidRPr="00101448">
        <w:rPr>
          <w:rFonts w:cs="Times New Roman"/>
        </w:rPr>
        <w:t>(07), 1–19. doi: 10.17016/feds.2006.07</w:t>
      </w:r>
    </w:p>
    <w:p w14:paraId="2308797E" w14:textId="77777777" w:rsidR="00E6501F" w:rsidRPr="006B5B91" w:rsidRDefault="00E6501F" w:rsidP="00530E05">
      <w:pPr>
        <w:spacing w:line="240" w:lineRule="auto"/>
        <w:rPr>
          <w:rFonts w:eastAsia="Times New Roman" w:cs="Times New Roman"/>
          <w:lang w:val="en-CA" w:eastAsia="en-CA"/>
        </w:rPr>
      </w:pPr>
    </w:p>
    <w:p w14:paraId="17299D22" w14:textId="77777777" w:rsidR="00E6501F" w:rsidRPr="006B5B91" w:rsidRDefault="00E6501F" w:rsidP="00530E05">
      <w:pPr>
        <w:spacing w:line="240" w:lineRule="auto"/>
        <w:rPr>
          <w:rFonts w:eastAsia="Times New Roman" w:cs="Times New Roman"/>
          <w:lang w:val="en-CA" w:eastAsia="en-CA"/>
        </w:rPr>
      </w:pPr>
    </w:p>
    <w:p w14:paraId="23939593" w14:textId="4935CB90" w:rsidR="00275528" w:rsidRPr="006B5B91" w:rsidRDefault="00275528" w:rsidP="002F2DA4">
      <w:pPr>
        <w:spacing w:line="240" w:lineRule="auto"/>
        <w:rPr>
          <w:rFonts w:eastAsia="Times New Roman" w:cs="Times New Roman"/>
          <w:lang w:val="en-CA" w:eastAsia="en-CA"/>
        </w:rPr>
        <w:sectPr w:rsidR="00275528" w:rsidRPr="006B5B91">
          <w:pgSz w:w="12240" w:h="15840"/>
          <w:pgMar w:top="1440" w:right="1440" w:bottom="1440" w:left="1440" w:header="720" w:footer="720" w:gutter="0"/>
          <w:cols w:space="720"/>
          <w:docGrid w:linePitch="360"/>
        </w:sectPr>
      </w:pPr>
    </w:p>
    <w:p w14:paraId="4F04D6EF" w14:textId="480C6D9A" w:rsidR="00D026C7" w:rsidRPr="00AD1ECB" w:rsidRDefault="009352FB" w:rsidP="00A72B39">
      <w:pPr>
        <w:pStyle w:val="Heading1"/>
      </w:pPr>
      <w:bookmarkStart w:id="49" w:name="_Toc37338059"/>
      <w:bookmarkEnd w:id="0"/>
      <w:r w:rsidRPr="006B5B91">
        <w:lastRenderedPageBreak/>
        <w:t>Appendix</w:t>
      </w:r>
      <w:bookmarkEnd w:id="49"/>
    </w:p>
    <w:tbl>
      <w:tblPr>
        <w:tblW w:w="9248" w:type="dxa"/>
        <w:tblInd w:w="108" w:type="dxa"/>
        <w:tblLook w:val="04A0" w:firstRow="1" w:lastRow="0" w:firstColumn="1" w:lastColumn="0" w:noHBand="0" w:noVBand="1"/>
      </w:tblPr>
      <w:tblGrid>
        <w:gridCol w:w="3176"/>
        <w:gridCol w:w="1576"/>
        <w:gridCol w:w="956"/>
        <w:gridCol w:w="1436"/>
        <w:gridCol w:w="2104"/>
      </w:tblGrid>
      <w:tr w:rsidR="009352FB" w:rsidRPr="006B5B91" w14:paraId="097565AC" w14:textId="77777777" w:rsidTr="00653F64">
        <w:trPr>
          <w:trHeight w:val="300"/>
        </w:trPr>
        <w:tc>
          <w:tcPr>
            <w:tcW w:w="3176" w:type="dxa"/>
            <w:tcBorders>
              <w:top w:val="nil"/>
              <w:left w:val="nil"/>
              <w:bottom w:val="nil"/>
              <w:right w:val="nil"/>
            </w:tcBorders>
            <w:shd w:val="clear" w:color="auto" w:fill="auto"/>
            <w:noWrap/>
            <w:vAlign w:val="bottom"/>
            <w:hideMark/>
          </w:tcPr>
          <w:p w14:paraId="5DC17680" w14:textId="654619B4" w:rsidR="005E1A84" w:rsidRPr="00AD1ECB" w:rsidRDefault="005E1A84" w:rsidP="00AD1ECB">
            <w:pPr>
              <w:pStyle w:val="Heading2"/>
              <w:rPr>
                <w:rFonts w:eastAsia="Times New Roman"/>
              </w:rPr>
            </w:pPr>
            <w:bookmarkStart w:id="50" w:name="_Toc37338060"/>
            <w:r w:rsidRPr="00AD1ECB">
              <w:rPr>
                <w:rFonts w:eastAsia="Times New Roman"/>
              </w:rPr>
              <w:t>Appendix A</w:t>
            </w:r>
            <w:bookmarkEnd w:id="50"/>
          </w:p>
          <w:p w14:paraId="2AA2AD5B" w14:textId="705E5F94" w:rsidR="005E1A84" w:rsidRPr="006B5B91" w:rsidRDefault="005E1A84" w:rsidP="00AD1ECB">
            <w:pPr>
              <w:spacing w:line="480" w:lineRule="auto"/>
              <w:rPr>
                <w:rFonts w:eastAsia="Times New Roman" w:cs="Times New Roman"/>
                <w:lang w:val="en-CA" w:eastAsia="en-CA"/>
              </w:rPr>
            </w:pPr>
          </w:p>
        </w:tc>
        <w:tc>
          <w:tcPr>
            <w:tcW w:w="1576" w:type="dxa"/>
            <w:tcBorders>
              <w:top w:val="nil"/>
              <w:left w:val="nil"/>
              <w:bottom w:val="nil"/>
              <w:right w:val="nil"/>
            </w:tcBorders>
            <w:shd w:val="clear" w:color="auto" w:fill="auto"/>
            <w:noWrap/>
            <w:vAlign w:val="bottom"/>
            <w:hideMark/>
          </w:tcPr>
          <w:p w14:paraId="3DE138E7" w14:textId="77777777" w:rsidR="009352FB" w:rsidRPr="006B5B91" w:rsidRDefault="009352FB" w:rsidP="00EB1B3C">
            <w:pPr>
              <w:spacing w:line="240" w:lineRule="auto"/>
              <w:rPr>
                <w:rFonts w:eastAsia="Times New Roman" w:cs="Times New Roman"/>
                <w:sz w:val="20"/>
                <w:szCs w:val="20"/>
                <w:lang w:val="en-CA" w:eastAsia="en-CA"/>
              </w:rPr>
            </w:pPr>
          </w:p>
        </w:tc>
        <w:tc>
          <w:tcPr>
            <w:tcW w:w="956" w:type="dxa"/>
            <w:tcBorders>
              <w:top w:val="nil"/>
              <w:left w:val="nil"/>
              <w:bottom w:val="nil"/>
              <w:right w:val="nil"/>
            </w:tcBorders>
            <w:shd w:val="clear" w:color="auto" w:fill="auto"/>
            <w:noWrap/>
            <w:vAlign w:val="bottom"/>
            <w:hideMark/>
          </w:tcPr>
          <w:p w14:paraId="0450BC48" w14:textId="77777777" w:rsidR="009352FB" w:rsidRPr="006B5B91" w:rsidRDefault="009352FB" w:rsidP="00EB1B3C">
            <w:pPr>
              <w:spacing w:line="240" w:lineRule="auto"/>
              <w:rPr>
                <w:rFonts w:eastAsia="Times New Roman" w:cs="Times New Roman"/>
                <w:sz w:val="20"/>
                <w:szCs w:val="20"/>
                <w:lang w:val="en-CA" w:eastAsia="en-CA"/>
              </w:rPr>
            </w:pPr>
          </w:p>
        </w:tc>
        <w:tc>
          <w:tcPr>
            <w:tcW w:w="1436" w:type="dxa"/>
            <w:tcBorders>
              <w:top w:val="nil"/>
              <w:left w:val="nil"/>
              <w:bottom w:val="nil"/>
              <w:right w:val="nil"/>
            </w:tcBorders>
            <w:shd w:val="clear" w:color="auto" w:fill="auto"/>
            <w:noWrap/>
            <w:vAlign w:val="bottom"/>
            <w:hideMark/>
          </w:tcPr>
          <w:p w14:paraId="2853B8C6" w14:textId="77777777" w:rsidR="009352FB" w:rsidRPr="006B5B91" w:rsidRDefault="009352FB" w:rsidP="00EB1B3C">
            <w:pPr>
              <w:spacing w:line="240" w:lineRule="auto"/>
              <w:rPr>
                <w:rFonts w:eastAsia="Times New Roman" w:cs="Times New Roman"/>
                <w:sz w:val="20"/>
                <w:szCs w:val="20"/>
                <w:lang w:val="en-CA" w:eastAsia="en-CA"/>
              </w:rPr>
            </w:pPr>
          </w:p>
        </w:tc>
        <w:tc>
          <w:tcPr>
            <w:tcW w:w="2104" w:type="dxa"/>
            <w:tcBorders>
              <w:top w:val="nil"/>
              <w:left w:val="nil"/>
              <w:bottom w:val="nil"/>
              <w:right w:val="nil"/>
            </w:tcBorders>
            <w:shd w:val="clear" w:color="auto" w:fill="auto"/>
            <w:noWrap/>
            <w:vAlign w:val="bottom"/>
            <w:hideMark/>
          </w:tcPr>
          <w:p w14:paraId="2EE45AA0" w14:textId="77777777" w:rsidR="009352FB" w:rsidRPr="006B5B91" w:rsidRDefault="009352FB" w:rsidP="00EB1B3C">
            <w:pPr>
              <w:spacing w:line="240" w:lineRule="auto"/>
              <w:rPr>
                <w:rFonts w:eastAsia="Times New Roman" w:cs="Times New Roman"/>
                <w:sz w:val="20"/>
                <w:szCs w:val="20"/>
                <w:lang w:val="en-CA" w:eastAsia="en-CA"/>
              </w:rPr>
            </w:pPr>
          </w:p>
        </w:tc>
      </w:tr>
      <w:tr w:rsidR="00B86D3A" w:rsidRPr="00585797" w14:paraId="5BC8360E" w14:textId="77777777" w:rsidTr="00AC6D2B">
        <w:trPr>
          <w:trHeight w:val="315"/>
        </w:trPr>
        <w:tc>
          <w:tcPr>
            <w:tcW w:w="9248" w:type="dxa"/>
            <w:gridSpan w:val="5"/>
            <w:tcBorders>
              <w:top w:val="nil"/>
              <w:left w:val="nil"/>
              <w:bottom w:val="double" w:sz="6" w:space="0" w:color="auto"/>
              <w:right w:val="nil"/>
            </w:tcBorders>
            <w:shd w:val="clear" w:color="auto" w:fill="auto"/>
            <w:noWrap/>
            <w:vAlign w:val="center"/>
            <w:hideMark/>
          </w:tcPr>
          <w:p w14:paraId="29472DC1" w14:textId="5217EDC7" w:rsidR="00B86D3A" w:rsidRDefault="00B86D3A" w:rsidP="00AD1ECB">
            <w:bookmarkStart w:id="51" w:name="_Toc37261617"/>
            <w:r>
              <w:t xml:space="preserve">Table </w:t>
            </w:r>
            <w:r w:rsidR="009C4B5A">
              <w:fldChar w:fldCharType="begin"/>
            </w:r>
            <w:r w:rsidR="009C4B5A">
              <w:instrText xml:space="preserve"> SEQ Table \* ARABIC </w:instrText>
            </w:r>
            <w:r w:rsidR="009C4B5A">
              <w:fldChar w:fldCharType="separate"/>
            </w:r>
            <w:r w:rsidR="00AC0696">
              <w:rPr>
                <w:noProof/>
              </w:rPr>
              <w:t>11</w:t>
            </w:r>
            <w:bookmarkEnd w:id="51"/>
            <w:r w:rsidR="009C4B5A">
              <w:rPr>
                <w:noProof/>
              </w:rPr>
              <w:fldChar w:fldCharType="end"/>
            </w:r>
          </w:p>
          <w:p w14:paraId="473BCA2F" w14:textId="4BF5F4EC" w:rsidR="00B86D3A" w:rsidRPr="00585797" w:rsidRDefault="00B86D3A" w:rsidP="0048678E">
            <w:pPr>
              <w:spacing w:line="276" w:lineRule="auto"/>
              <w:rPr>
                <w:rFonts w:eastAsia="Times New Roman" w:cs="Times New Roman"/>
                <w:color w:val="000000"/>
                <w:lang w:val="en-CA" w:eastAsia="en-CA"/>
              </w:rPr>
            </w:pPr>
            <w:r w:rsidRPr="00AD1ECB">
              <w:rPr>
                <w:rFonts w:eastAsia="Times New Roman" w:cs="Times New Roman"/>
                <w:i/>
                <w:iCs/>
                <w:color w:val="000000"/>
                <w:lang w:val="en-CA" w:eastAsia="en-CA"/>
              </w:rPr>
              <w:t>Regression Results</w:t>
            </w:r>
            <w:r>
              <w:rPr>
                <w:rFonts w:eastAsia="Times New Roman" w:cs="Times New Roman"/>
                <w:color w:val="000000"/>
                <w:lang w:val="en-CA" w:eastAsia="en-CA"/>
              </w:rPr>
              <w:t xml:space="preserve"> of </w:t>
            </w:r>
            <w:r w:rsidRPr="00585797">
              <w:rPr>
                <w:rFonts w:eastAsia="Times New Roman" w:cs="Times New Roman"/>
                <w:i/>
                <w:iCs/>
                <w:color w:val="000000"/>
                <w:lang w:val="en-CA" w:eastAsia="en-CA"/>
              </w:rPr>
              <w:t>Historical Canadian Recession Forecasting</w:t>
            </w:r>
            <w:r>
              <w:rPr>
                <w:rFonts w:eastAsia="Times New Roman" w:cs="Times New Roman"/>
                <w:i/>
                <w:iCs/>
                <w:color w:val="000000"/>
                <w:lang w:val="en-CA" w:eastAsia="en-CA"/>
              </w:rPr>
              <w:t xml:space="preserve"> from </w:t>
            </w:r>
            <w:r w:rsidRPr="00585797">
              <w:rPr>
                <w:rFonts w:eastAsia="Times New Roman" w:cs="Times New Roman"/>
                <w:i/>
                <w:iCs/>
                <w:color w:val="000000"/>
                <w:lang w:val="en-CA" w:eastAsia="en-CA"/>
              </w:rPr>
              <w:t xml:space="preserve">1962 </w:t>
            </w:r>
            <w:r>
              <w:rPr>
                <w:rFonts w:eastAsia="Times New Roman" w:cs="Times New Roman"/>
                <w:i/>
                <w:iCs/>
                <w:color w:val="000000"/>
                <w:lang w:val="en-CA" w:eastAsia="en-CA"/>
              </w:rPr>
              <w:t>to</w:t>
            </w:r>
            <w:r w:rsidRPr="00585797">
              <w:rPr>
                <w:rFonts w:eastAsia="Times New Roman" w:cs="Times New Roman"/>
                <w:i/>
                <w:iCs/>
                <w:color w:val="000000"/>
                <w:lang w:val="en-CA" w:eastAsia="en-CA"/>
              </w:rPr>
              <w:t xml:space="preserve"> 2019</w:t>
            </w:r>
          </w:p>
        </w:tc>
      </w:tr>
      <w:tr w:rsidR="0048678E" w:rsidRPr="00585797" w14:paraId="3A660DD6" w14:textId="77777777" w:rsidTr="00DE57A5">
        <w:trPr>
          <w:trHeight w:val="570"/>
        </w:trPr>
        <w:tc>
          <w:tcPr>
            <w:tcW w:w="9248" w:type="dxa"/>
            <w:gridSpan w:val="5"/>
            <w:tcBorders>
              <w:top w:val="nil"/>
              <w:left w:val="nil"/>
            </w:tcBorders>
            <w:shd w:val="clear" w:color="auto" w:fill="auto"/>
            <w:noWrap/>
            <w:vAlign w:val="bottom"/>
            <w:hideMark/>
          </w:tcPr>
          <w:p w14:paraId="63BC59F9" w14:textId="77777777" w:rsidR="0048678E" w:rsidRDefault="0048678E" w:rsidP="0048678E">
            <w:pPr>
              <w:spacing w:line="240" w:lineRule="auto"/>
              <w:rPr>
                <w:rFonts w:eastAsiaTheme="minorEastAsia"/>
                <w:lang w:val="en-CA"/>
              </w:rPr>
            </w:pPr>
          </w:p>
          <w:p w14:paraId="4BD48225" w14:textId="01DC89A1" w:rsidR="0048678E" w:rsidRPr="00D223FC" w:rsidRDefault="009C4B5A" w:rsidP="0048678E">
            <w:pPr>
              <w:spacing w:line="240" w:lineRule="auto"/>
              <w:rPr>
                <w:rFonts w:eastAsia="Times New Roman" w:cs="Times New Roman"/>
                <w:lang w:val="en-CA"/>
              </w:rPr>
            </w:pPr>
            <m:oMathPara>
              <m:oMath>
                <m:func>
                  <m:funcPr>
                    <m:ctrlPr>
                      <w:rPr>
                        <w:rFonts w:ascii="Cambria Math" w:hAnsi="Cambria Math" w:cs="Times New Roman"/>
                        <w:lang w:val="en-CA"/>
                      </w:rPr>
                    </m:ctrlPr>
                  </m:funcPr>
                  <m:fName>
                    <m:r>
                      <m:rPr>
                        <m:sty m:val="p"/>
                      </m:rPr>
                      <w:rPr>
                        <w:rFonts w:ascii="Cambria Math" w:hAnsi="Cambria Math" w:cs="Times New Roman"/>
                        <w:lang w:val="en-CA"/>
                      </w:rPr>
                      <m:t>Pr</m:t>
                    </m:r>
                  </m:fName>
                  <m:e>
                    <m:d>
                      <m:dPr>
                        <m:ctrlPr>
                          <w:rPr>
                            <w:rFonts w:ascii="Cambria Math" w:hAnsi="Cambria Math" w:cs="Times New Roman"/>
                            <w:i/>
                            <w:lang w:val="en-CA"/>
                          </w:rPr>
                        </m:ctrlPr>
                      </m:dPr>
                      <m:e>
                        <m:sSub>
                          <m:sSubPr>
                            <m:ctrlPr>
                              <w:rPr>
                                <w:rFonts w:ascii="Cambria Math" w:hAnsi="Cambria Math" w:cs="Times New Roman"/>
                                <w:i/>
                                <w:lang w:val="en-CA"/>
                              </w:rPr>
                            </m:ctrlPr>
                          </m:sSubPr>
                          <m:e>
                            <m:r>
                              <w:rPr>
                                <w:rFonts w:ascii="Cambria Math" w:hAnsi="Cambria Math" w:cs="Times New Roman"/>
                                <w:lang w:val="en-CA"/>
                              </w:rPr>
                              <m:t>Recession</m:t>
                            </m:r>
                          </m:e>
                          <m:sub>
                            <m:r>
                              <w:rPr>
                                <w:rFonts w:ascii="Cambria Math" w:hAnsi="Cambria Math" w:cs="Times New Roman"/>
                                <w:lang w:val="en-CA"/>
                              </w:rPr>
                              <m:t>t→t+k</m:t>
                            </m:r>
                          </m:sub>
                        </m:sSub>
                        <m:r>
                          <w:rPr>
                            <w:rFonts w:ascii="Cambria Math" w:hAnsi="Cambria Math" w:cs="Times New Roman"/>
                            <w:lang w:val="en-CA"/>
                          </w:rPr>
                          <m:t>=1</m:t>
                        </m:r>
                      </m:e>
                    </m:d>
                  </m:e>
                </m:func>
                <m:r>
                  <w:rPr>
                    <w:rFonts w:ascii="Cambria Math" w:hAnsi="Cambria Math" w:cs="Times New Roman"/>
                    <w:lang w:val="en-CA"/>
                  </w:rPr>
                  <m:t>=ϕ</m:t>
                </m:r>
                <m:d>
                  <m:dPr>
                    <m:ctrlPr>
                      <w:rPr>
                        <w:rFonts w:ascii="Cambria Math" w:hAnsi="Cambria Math" w:cs="Times New Roman"/>
                        <w:i/>
                        <w:lang w:val="en-CA"/>
                      </w:rPr>
                    </m:ctrlPr>
                  </m:dPr>
                  <m:e>
                    <m:r>
                      <w:rPr>
                        <w:rFonts w:ascii="Cambria Math" w:hAnsi="Cambria Math" w:cs="Times New Roman"/>
                        <w:lang w:val="en-CA"/>
                      </w:rPr>
                      <m:t>α+β*</m:t>
                    </m:r>
                    <m:sSub>
                      <m:sSubPr>
                        <m:ctrlPr>
                          <w:rPr>
                            <w:rFonts w:ascii="Cambria Math" w:hAnsi="Cambria Math" w:cs="Times New Roman"/>
                            <w:i/>
                            <w:lang w:val="en-CA"/>
                          </w:rPr>
                        </m:ctrlPr>
                      </m:sSubPr>
                      <m:e>
                        <m:r>
                          <w:rPr>
                            <w:rFonts w:ascii="Cambria Math" w:hAnsi="Cambria Math" w:cs="Times New Roman"/>
                            <w:lang w:val="en-CA"/>
                          </w:rPr>
                          <m:t>SPREAD</m:t>
                        </m:r>
                      </m:e>
                      <m:sub>
                        <m:r>
                          <w:rPr>
                            <w:rFonts w:ascii="Cambria Math" w:hAnsi="Cambria Math" w:cs="Times New Roman"/>
                            <w:lang w:val="en-CA"/>
                          </w:rPr>
                          <m:t>t</m:t>
                        </m:r>
                      </m:sub>
                    </m:sSub>
                  </m:e>
                </m:d>
              </m:oMath>
            </m:oMathPara>
          </w:p>
          <w:p w14:paraId="668A53C3" w14:textId="77777777" w:rsidR="0048678E" w:rsidRPr="00585797" w:rsidRDefault="0048678E" w:rsidP="0048678E">
            <w:pPr>
              <w:spacing w:line="276" w:lineRule="auto"/>
              <w:rPr>
                <w:rFonts w:eastAsia="Times New Roman" w:cs="Times New Roman"/>
                <w:color w:val="000000"/>
                <w:lang w:val="en-CA" w:eastAsia="en-CA"/>
              </w:rPr>
            </w:pPr>
          </w:p>
          <w:p w14:paraId="3688D527" w14:textId="77777777" w:rsidR="0048678E" w:rsidRPr="00585797" w:rsidRDefault="0048678E" w:rsidP="0048678E">
            <w:pPr>
              <w:spacing w:line="276" w:lineRule="auto"/>
              <w:rPr>
                <w:rFonts w:eastAsia="Times New Roman" w:cs="Times New Roman"/>
                <w:sz w:val="20"/>
                <w:szCs w:val="20"/>
                <w:lang w:val="en-CA" w:eastAsia="en-CA"/>
              </w:rPr>
            </w:pPr>
          </w:p>
        </w:tc>
      </w:tr>
      <w:tr w:rsidR="009352FB" w:rsidRPr="00585797" w14:paraId="1AAEB8C9" w14:textId="77777777" w:rsidTr="00777877">
        <w:trPr>
          <w:trHeight w:val="300"/>
        </w:trPr>
        <w:tc>
          <w:tcPr>
            <w:tcW w:w="3176" w:type="dxa"/>
            <w:tcBorders>
              <w:top w:val="nil"/>
              <w:left w:val="nil"/>
              <w:bottom w:val="single" w:sz="4" w:space="0" w:color="auto"/>
              <w:right w:val="nil"/>
            </w:tcBorders>
            <w:shd w:val="clear" w:color="auto" w:fill="auto"/>
            <w:noWrap/>
            <w:vAlign w:val="center"/>
            <w:hideMark/>
          </w:tcPr>
          <w:p w14:paraId="782DAE52" w14:textId="77777777" w:rsidR="009352FB" w:rsidRPr="00777877" w:rsidRDefault="009352FB" w:rsidP="0048678E">
            <w:pPr>
              <w:spacing w:line="276" w:lineRule="auto"/>
              <w:rPr>
                <w:rFonts w:eastAsia="Times New Roman" w:cs="Times New Roman"/>
                <w:lang w:val="en-CA" w:eastAsia="en-CA"/>
              </w:rPr>
            </w:pPr>
            <w:r w:rsidRPr="00777877">
              <w:rPr>
                <w:rFonts w:eastAsia="Times New Roman" w:cs="Times New Roman"/>
                <w:lang w:val="en-CA" w:eastAsia="en-CA"/>
              </w:rPr>
              <w:t>Explanatory Variable</w:t>
            </w:r>
          </w:p>
        </w:tc>
        <w:tc>
          <w:tcPr>
            <w:tcW w:w="1576" w:type="dxa"/>
            <w:tcBorders>
              <w:top w:val="nil"/>
              <w:left w:val="nil"/>
              <w:bottom w:val="single" w:sz="4" w:space="0" w:color="auto"/>
              <w:right w:val="nil"/>
            </w:tcBorders>
            <w:shd w:val="clear" w:color="auto" w:fill="auto"/>
            <w:noWrap/>
            <w:vAlign w:val="center"/>
            <w:hideMark/>
          </w:tcPr>
          <w:p w14:paraId="0B8568FE" w14:textId="77777777" w:rsidR="009352FB" w:rsidRPr="00777877" w:rsidRDefault="009352FB" w:rsidP="0048678E">
            <w:pPr>
              <w:spacing w:line="276" w:lineRule="auto"/>
              <w:jc w:val="center"/>
              <w:rPr>
                <w:rFonts w:eastAsia="Times New Roman" w:cs="Times New Roman"/>
                <w:color w:val="000000"/>
                <w:lang w:val="en-CA" w:eastAsia="en-CA"/>
              </w:rPr>
            </w:pPr>
            <w:r w:rsidRPr="00777877">
              <w:rPr>
                <w:rFonts w:eastAsia="Times New Roman" w:cs="Times New Roman"/>
                <w:color w:val="000000"/>
                <w:lang w:val="en-CA" w:eastAsia="en-CA"/>
              </w:rPr>
              <w:t>β</w:t>
            </w:r>
          </w:p>
        </w:tc>
        <w:tc>
          <w:tcPr>
            <w:tcW w:w="956" w:type="dxa"/>
            <w:tcBorders>
              <w:top w:val="nil"/>
              <w:left w:val="nil"/>
              <w:bottom w:val="single" w:sz="4" w:space="0" w:color="auto"/>
              <w:right w:val="nil"/>
            </w:tcBorders>
            <w:shd w:val="clear" w:color="auto" w:fill="auto"/>
            <w:noWrap/>
            <w:vAlign w:val="center"/>
            <w:hideMark/>
          </w:tcPr>
          <w:p w14:paraId="18198CA7" w14:textId="77777777" w:rsidR="009352FB" w:rsidRPr="00777877" w:rsidRDefault="009352FB" w:rsidP="0048678E">
            <w:pPr>
              <w:spacing w:line="276" w:lineRule="auto"/>
              <w:jc w:val="center"/>
              <w:rPr>
                <w:rFonts w:eastAsia="Times New Roman" w:cs="Times New Roman"/>
                <w:color w:val="000000"/>
                <w:lang w:val="en-CA" w:eastAsia="en-CA"/>
              </w:rPr>
            </w:pPr>
            <w:r w:rsidRPr="00777877">
              <w:rPr>
                <w:rFonts w:eastAsia="Times New Roman" w:cs="Times New Roman"/>
                <w:color w:val="000000"/>
                <w:lang w:val="en-CA" w:eastAsia="en-CA"/>
              </w:rPr>
              <w:t>p-value</w:t>
            </w:r>
          </w:p>
        </w:tc>
        <w:tc>
          <w:tcPr>
            <w:tcW w:w="1436" w:type="dxa"/>
            <w:tcBorders>
              <w:top w:val="nil"/>
              <w:left w:val="nil"/>
              <w:bottom w:val="single" w:sz="4" w:space="0" w:color="auto"/>
              <w:right w:val="nil"/>
            </w:tcBorders>
            <w:shd w:val="clear" w:color="auto" w:fill="auto"/>
            <w:noWrap/>
            <w:vAlign w:val="center"/>
            <w:hideMark/>
          </w:tcPr>
          <w:p w14:paraId="273594DF" w14:textId="6FB0FB27" w:rsidR="009352FB" w:rsidRPr="00777877" w:rsidRDefault="007F5CE0" w:rsidP="0048678E">
            <w:pPr>
              <w:spacing w:line="276" w:lineRule="auto"/>
              <w:jc w:val="center"/>
              <w:rPr>
                <w:rFonts w:eastAsia="Times New Roman" w:cs="Times New Roman"/>
                <w:color w:val="000000"/>
                <w:vertAlign w:val="superscript"/>
                <w:lang w:val="en-CA" w:eastAsia="en-CA"/>
              </w:rPr>
            </w:pPr>
            <w:r>
              <w:rPr>
                <w:rFonts w:eastAsia="Times New Roman" w:cs="Times New Roman"/>
                <w:color w:val="000000"/>
                <w:lang w:val="en-CA" w:eastAsia="en-CA"/>
              </w:rPr>
              <w:t>Pseudo</w:t>
            </w:r>
            <w:r w:rsidR="009352FB" w:rsidRPr="00777877">
              <w:rPr>
                <w:rFonts w:eastAsia="Times New Roman" w:cs="Times New Roman"/>
                <w:color w:val="000000"/>
                <w:lang w:val="en-CA" w:eastAsia="en-CA"/>
              </w:rPr>
              <w:t xml:space="preserve"> R</w:t>
            </w:r>
            <w:r w:rsidR="00777877">
              <w:rPr>
                <w:rFonts w:eastAsia="Times New Roman" w:cs="Times New Roman"/>
                <w:color w:val="000000"/>
                <w:vertAlign w:val="superscript"/>
                <w:lang w:val="en-CA" w:eastAsia="en-CA"/>
              </w:rPr>
              <w:t>2</w:t>
            </w:r>
          </w:p>
        </w:tc>
        <w:tc>
          <w:tcPr>
            <w:tcW w:w="2104" w:type="dxa"/>
            <w:tcBorders>
              <w:top w:val="nil"/>
              <w:left w:val="nil"/>
              <w:bottom w:val="single" w:sz="4" w:space="0" w:color="auto"/>
              <w:right w:val="nil"/>
            </w:tcBorders>
            <w:shd w:val="clear" w:color="auto" w:fill="auto"/>
            <w:noWrap/>
            <w:vAlign w:val="center"/>
            <w:hideMark/>
          </w:tcPr>
          <w:p w14:paraId="4D9CFD50" w14:textId="77777777" w:rsidR="009352FB" w:rsidRPr="00777877" w:rsidRDefault="009352FB" w:rsidP="0048678E">
            <w:pPr>
              <w:spacing w:line="276" w:lineRule="auto"/>
              <w:jc w:val="center"/>
              <w:rPr>
                <w:rFonts w:eastAsia="Times New Roman" w:cs="Times New Roman"/>
                <w:color w:val="000000"/>
                <w:lang w:val="en-CA" w:eastAsia="en-CA"/>
              </w:rPr>
            </w:pPr>
            <w:r w:rsidRPr="00777877">
              <w:rPr>
                <w:rFonts w:eastAsia="Times New Roman" w:cs="Times New Roman"/>
                <w:color w:val="000000"/>
                <w:lang w:val="en-CA" w:eastAsia="en-CA"/>
              </w:rPr>
              <w:t>Observations</w:t>
            </w:r>
          </w:p>
        </w:tc>
      </w:tr>
      <w:tr w:rsidR="009352FB" w:rsidRPr="00585797" w14:paraId="5D1F2721" w14:textId="77777777" w:rsidTr="00777877">
        <w:trPr>
          <w:trHeight w:val="315"/>
        </w:trPr>
        <w:tc>
          <w:tcPr>
            <w:tcW w:w="3176" w:type="dxa"/>
            <w:tcBorders>
              <w:top w:val="single" w:sz="4" w:space="0" w:color="auto"/>
              <w:left w:val="nil"/>
              <w:bottom w:val="nil"/>
              <w:right w:val="nil"/>
            </w:tcBorders>
            <w:shd w:val="clear" w:color="auto" w:fill="auto"/>
            <w:noWrap/>
            <w:vAlign w:val="center"/>
            <w:hideMark/>
          </w:tcPr>
          <w:p w14:paraId="3BF3BEE0"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 xml:space="preserve"> </w:t>
            </w:r>
          </w:p>
        </w:tc>
        <w:tc>
          <w:tcPr>
            <w:tcW w:w="1576" w:type="dxa"/>
            <w:tcBorders>
              <w:top w:val="single" w:sz="4" w:space="0" w:color="auto"/>
              <w:left w:val="nil"/>
              <w:bottom w:val="nil"/>
              <w:right w:val="nil"/>
            </w:tcBorders>
            <w:shd w:val="clear" w:color="auto" w:fill="auto"/>
            <w:noWrap/>
            <w:vAlign w:val="center"/>
            <w:hideMark/>
          </w:tcPr>
          <w:p w14:paraId="10EE78A3" w14:textId="77777777" w:rsidR="009352FB" w:rsidRPr="00585797" w:rsidRDefault="009352FB" w:rsidP="0048678E">
            <w:pPr>
              <w:spacing w:line="276" w:lineRule="auto"/>
              <w:rPr>
                <w:rFonts w:eastAsia="Times New Roman" w:cs="Times New Roman"/>
                <w:color w:val="000000"/>
                <w:lang w:val="en-CA" w:eastAsia="en-CA"/>
              </w:rPr>
            </w:pPr>
          </w:p>
        </w:tc>
        <w:tc>
          <w:tcPr>
            <w:tcW w:w="956" w:type="dxa"/>
            <w:tcBorders>
              <w:top w:val="single" w:sz="4" w:space="0" w:color="auto"/>
              <w:left w:val="nil"/>
              <w:bottom w:val="nil"/>
              <w:right w:val="nil"/>
            </w:tcBorders>
            <w:shd w:val="clear" w:color="auto" w:fill="auto"/>
            <w:noWrap/>
            <w:vAlign w:val="bottom"/>
            <w:hideMark/>
          </w:tcPr>
          <w:p w14:paraId="2796AFDA"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1436" w:type="dxa"/>
            <w:tcBorders>
              <w:top w:val="single" w:sz="4" w:space="0" w:color="auto"/>
              <w:left w:val="nil"/>
              <w:bottom w:val="nil"/>
              <w:right w:val="nil"/>
            </w:tcBorders>
            <w:shd w:val="clear" w:color="auto" w:fill="auto"/>
            <w:noWrap/>
            <w:vAlign w:val="center"/>
            <w:hideMark/>
          </w:tcPr>
          <w:p w14:paraId="5AE4FF3B" w14:textId="77777777" w:rsidR="009352FB" w:rsidRPr="00585797" w:rsidRDefault="009352FB" w:rsidP="0048678E">
            <w:pPr>
              <w:spacing w:line="276" w:lineRule="auto"/>
              <w:rPr>
                <w:rFonts w:eastAsia="Times New Roman" w:cs="Times New Roman"/>
                <w:sz w:val="20"/>
                <w:szCs w:val="20"/>
                <w:lang w:val="en-CA" w:eastAsia="en-CA"/>
              </w:rPr>
            </w:pPr>
          </w:p>
        </w:tc>
        <w:tc>
          <w:tcPr>
            <w:tcW w:w="2104" w:type="dxa"/>
            <w:tcBorders>
              <w:top w:val="single" w:sz="4" w:space="0" w:color="auto"/>
              <w:left w:val="nil"/>
              <w:bottom w:val="nil"/>
              <w:right w:val="nil"/>
            </w:tcBorders>
            <w:shd w:val="clear" w:color="auto" w:fill="auto"/>
            <w:noWrap/>
            <w:vAlign w:val="bottom"/>
            <w:hideMark/>
          </w:tcPr>
          <w:p w14:paraId="1E206DC0" w14:textId="77777777" w:rsidR="009352FB" w:rsidRPr="00585797" w:rsidRDefault="009352FB" w:rsidP="0048678E">
            <w:pPr>
              <w:spacing w:line="276" w:lineRule="auto"/>
              <w:jc w:val="center"/>
              <w:rPr>
                <w:rFonts w:eastAsia="Times New Roman" w:cs="Times New Roman"/>
                <w:sz w:val="20"/>
                <w:szCs w:val="20"/>
                <w:lang w:val="en-CA" w:eastAsia="en-CA"/>
              </w:rPr>
            </w:pPr>
          </w:p>
        </w:tc>
      </w:tr>
      <w:tr w:rsidR="009352FB" w:rsidRPr="00585797" w14:paraId="566A5B01" w14:textId="77777777" w:rsidTr="00C17A98">
        <w:trPr>
          <w:trHeight w:val="300"/>
        </w:trPr>
        <w:tc>
          <w:tcPr>
            <w:tcW w:w="3176" w:type="dxa"/>
            <w:tcBorders>
              <w:top w:val="nil"/>
              <w:left w:val="nil"/>
              <w:bottom w:val="nil"/>
              <w:right w:val="nil"/>
            </w:tcBorders>
            <w:shd w:val="clear" w:color="auto" w:fill="auto"/>
            <w:noWrap/>
            <w:vAlign w:val="center"/>
            <w:hideMark/>
          </w:tcPr>
          <w:p w14:paraId="0F2D08AA"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10</w:t>
            </w:r>
            <w:r>
              <w:rPr>
                <w:rFonts w:eastAsia="Times New Roman" w:cs="Times New Roman"/>
                <w:color w:val="000000"/>
                <w:lang w:val="en-CA" w:eastAsia="en-CA"/>
              </w:rPr>
              <w:t>+</w:t>
            </w:r>
            <w:r w:rsidRPr="00585797">
              <w:rPr>
                <w:rFonts w:eastAsia="Times New Roman" w:cs="Times New Roman"/>
                <w:color w:val="000000"/>
                <w:lang w:val="en-CA" w:eastAsia="en-CA"/>
              </w:rPr>
              <w:t xml:space="preserve">y to </w:t>
            </w:r>
            <w:r>
              <w:rPr>
                <w:rFonts w:eastAsia="Times New Roman" w:cs="Times New Roman"/>
                <w:color w:val="000000"/>
                <w:lang w:val="en-CA" w:eastAsia="en-CA"/>
              </w:rPr>
              <w:t>1-3y</w:t>
            </w:r>
            <w:r w:rsidRPr="00585797">
              <w:rPr>
                <w:rFonts w:eastAsia="Times New Roman" w:cs="Times New Roman"/>
                <w:color w:val="000000"/>
                <w:lang w:val="en-CA" w:eastAsia="en-CA"/>
              </w:rPr>
              <w:t xml:space="preserve"> spread</w:t>
            </w:r>
          </w:p>
        </w:tc>
        <w:tc>
          <w:tcPr>
            <w:tcW w:w="1576" w:type="dxa"/>
            <w:tcBorders>
              <w:top w:val="nil"/>
              <w:left w:val="nil"/>
              <w:bottom w:val="nil"/>
              <w:right w:val="nil"/>
            </w:tcBorders>
            <w:shd w:val="clear" w:color="auto" w:fill="auto"/>
            <w:noWrap/>
            <w:vAlign w:val="center"/>
            <w:hideMark/>
          </w:tcPr>
          <w:p w14:paraId="4DB215E8" w14:textId="3C778509" w:rsidR="009352FB" w:rsidRPr="004E2E7D" w:rsidRDefault="009352FB" w:rsidP="0048678E">
            <w:pPr>
              <w:spacing w:line="276" w:lineRule="auto"/>
              <w:jc w:val="center"/>
              <w:rPr>
                <w:rFonts w:eastAsia="Times New Roman" w:cs="Times New Roman"/>
                <w:color w:val="000000"/>
                <w:vertAlign w:val="superscript"/>
                <w:lang w:val="en-CA" w:eastAsia="en-CA"/>
              </w:rPr>
            </w:pPr>
            <w:r w:rsidRPr="00585797">
              <w:rPr>
                <w:rFonts w:eastAsia="Times New Roman" w:cs="Times New Roman"/>
                <w:color w:val="000000"/>
                <w:lang w:val="en-CA" w:eastAsia="en-CA"/>
              </w:rPr>
              <w:t>-0.</w:t>
            </w:r>
            <w:r w:rsidR="007F5CE0">
              <w:rPr>
                <w:rFonts w:eastAsia="Times New Roman" w:cs="Times New Roman"/>
                <w:color w:val="000000"/>
                <w:lang w:val="en-CA" w:eastAsia="en-CA"/>
              </w:rPr>
              <w:t>0846</w:t>
            </w:r>
            <w:r>
              <w:rPr>
                <w:rFonts w:eastAsia="Times New Roman" w:cs="Times New Roman"/>
                <w:color w:val="000000"/>
                <w:vertAlign w:val="superscript"/>
                <w:lang w:val="en-CA" w:eastAsia="en-CA"/>
              </w:rPr>
              <w:t>***</w:t>
            </w:r>
          </w:p>
        </w:tc>
        <w:tc>
          <w:tcPr>
            <w:tcW w:w="956" w:type="dxa"/>
            <w:tcBorders>
              <w:top w:val="nil"/>
              <w:left w:val="nil"/>
              <w:bottom w:val="nil"/>
              <w:right w:val="nil"/>
            </w:tcBorders>
            <w:shd w:val="clear" w:color="auto" w:fill="auto"/>
            <w:noWrap/>
            <w:vAlign w:val="center"/>
            <w:hideMark/>
          </w:tcPr>
          <w:p w14:paraId="43FF4F4E"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0.000</w:t>
            </w:r>
          </w:p>
        </w:tc>
        <w:tc>
          <w:tcPr>
            <w:tcW w:w="1436" w:type="dxa"/>
            <w:tcBorders>
              <w:top w:val="nil"/>
              <w:left w:val="nil"/>
              <w:bottom w:val="nil"/>
              <w:right w:val="nil"/>
            </w:tcBorders>
            <w:shd w:val="clear" w:color="auto" w:fill="auto"/>
            <w:noWrap/>
            <w:vAlign w:val="center"/>
            <w:hideMark/>
          </w:tcPr>
          <w:p w14:paraId="34923E00"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0.2169</w:t>
            </w:r>
          </w:p>
        </w:tc>
        <w:tc>
          <w:tcPr>
            <w:tcW w:w="2104" w:type="dxa"/>
            <w:tcBorders>
              <w:top w:val="nil"/>
              <w:left w:val="nil"/>
              <w:bottom w:val="nil"/>
              <w:right w:val="nil"/>
            </w:tcBorders>
            <w:shd w:val="clear" w:color="auto" w:fill="auto"/>
            <w:noWrap/>
            <w:vAlign w:val="center"/>
            <w:hideMark/>
          </w:tcPr>
          <w:p w14:paraId="69615798"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629</w:t>
            </w:r>
          </w:p>
        </w:tc>
      </w:tr>
      <w:tr w:rsidR="009352FB" w:rsidRPr="00585797" w14:paraId="25441581" w14:textId="77777777" w:rsidTr="00C17A98">
        <w:trPr>
          <w:trHeight w:val="300"/>
        </w:trPr>
        <w:tc>
          <w:tcPr>
            <w:tcW w:w="3176" w:type="dxa"/>
            <w:tcBorders>
              <w:top w:val="nil"/>
              <w:left w:val="nil"/>
              <w:bottom w:val="nil"/>
              <w:right w:val="nil"/>
            </w:tcBorders>
            <w:shd w:val="clear" w:color="auto" w:fill="auto"/>
            <w:noWrap/>
            <w:vAlign w:val="center"/>
            <w:hideMark/>
          </w:tcPr>
          <w:p w14:paraId="493207B6" w14:textId="77777777" w:rsidR="009352FB" w:rsidRPr="00585797" w:rsidRDefault="009352FB" w:rsidP="0048678E">
            <w:pPr>
              <w:spacing w:line="276" w:lineRule="auto"/>
              <w:jc w:val="center"/>
              <w:rPr>
                <w:rFonts w:eastAsia="Times New Roman" w:cs="Times New Roman"/>
                <w:color w:val="000000"/>
                <w:lang w:val="en-CA" w:eastAsia="en-CA"/>
              </w:rPr>
            </w:pPr>
          </w:p>
        </w:tc>
        <w:tc>
          <w:tcPr>
            <w:tcW w:w="1576" w:type="dxa"/>
            <w:tcBorders>
              <w:top w:val="nil"/>
              <w:left w:val="nil"/>
              <w:bottom w:val="nil"/>
              <w:right w:val="nil"/>
            </w:tcBorders>
            <w:shd w:val="clear" w:color="auto" w:fill="auto"/>
            <w:noWrap/>
            <w:vAlign w:val="center"/>
            <w:hideMark/>
          </w:tcPr>
          <w:p w14:paraId="1F5E9C7F" w14:textId="408FA188" w:rsidR="009352FB" w:rsidRPr="00585797" w:rsidRDefault="009352FB" w:rsidP="0048678E">
            <w:pPr>
              <w:spacing w:line="276" w:lineRule="auto"/>
              <w:jc w:val="center"/>
              <w:rPr>
                <w:rFonts w:eastAsia="Times New Roman" w:cs="Times New Roman"/>
                <w:color w:val="000000"/>
                <w:lang w:val="en-CA" w:eastAsia="en-CA"/>
              </w:rPr>
            </w:pPr>
            <w:r>
              <w:rPr>
                <w:rFonts w:eastAsia="Times New Roman" w:cs="Times New Roman"/>
                <w:color w:val="000000"/>
                <w:lang w:val="en-CA" w:eastAsia="en-CA"/>
              </w:rPr>
              <w:t>(</w:t>
            </w:r>
            <w:r w:rsidRPr="00585797">
              <w:rPr>
                <w:rFonts w:eastAsia="Times New Roman" w:cs="Times New Roman"/>
                <w:color w:val="000000"/>
                <w:lang w:val="en-CA" w:eastAsia="en-CA"/>
              </w:rPr>
              <w:t>0.0</w:t>
            </w:r>
            <w:r w:rsidR="007F5CE0">
              <w:rPr>
                <w:rFonts w:eastAsia="Times New Roman" w:cs="Times New Roman"/>
                <w:color w:val="000000"/>
                <w:lang w:val="en-CA" w:eastAsia="en-CA"/>
              </w:rPr>
              <w:t>108</w:t>
            </w:r>
            <w:r>
              <w:rPr>
                <w:rFonts w:eastAsia="Times New Roman" w:cs="Times New Roman"/>
                <w:color w:val="000000"/>
                <w:lang w:val="en-CA" w:eastAsia="en-CA"/>
              </w:rPr>
              <w:t>)</w:t>
            </w:r>
          </w:p>
        </w:tc>
        <w:tc>
          <w:tcPr>
            <w:tcW w:w="956" w:type="dxa"/>
            <w:tcBorders>
              <w:top w:val="nil"/>
              <w:left w:val="nil"/>
              <w:bottom w:val="nil"/>
              <w:right w:val="nil"/>
            </w:tcBorders>
            <w:shd w:val="clear" w:color="auto" w:fill="auto"/>
            <w:noWrap/>
            <w:vAlign w:val="center"/>
            <w:hideMark/>
          </w:tcPr>
          <w:p w14:paraId="0BA683A4" w14:textId="77777777" w:rsidR="009352FB" w:rsidRPr="00585797" w:rsidRDefault="009352FB" w:rsidP="0048678E">
            <w:pPr>
              <w:spacing w:line="276" w:lineRule="auto"/>
              <w:jc w:val="center"/>
              <w:rPr>
                <w:rFonts w:eastAsia="Times New Roman" w:cs="Times New Roman"/>
                <w:color w:val="000000"/>
                <w:lang w:val="en-CA" w:eastAsia="en-CA"/>
              </w:rPr>
            </w:pPr>
          </w:p>
        </w:tc>
        <w:tc>
          <w:tcPr>
            <w:tcW w:w="1436" w:type="dxa"/>
            <w:tcBorders>
              <w:top w:val="nil"/>
              <w:left w:val="nil"/>
              <w:bottom w:val="nil"/>
              <w:right w:val="nil"/>
            </w:tcBorders>
            <w:shd w:val="clear" w:color="auto" w:fill="auto"/>
            <w:noWrap/>
            <w:vAlign w:val="center"/>
            <w:hideMark/>
          </w:tcPr>
          <w:p w14:paraId="0E14D358"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2104" w:type="dxa"/>
            <w:tcBorders>
              <w:top w:val="nil"/>
              <w:left w:val="nil"/>
              <w:bottom w:val="nil"/>
              <w:right w:val="nil"/>
            </w:tcBorders>
            <w:shd w:val="clear" w:color="auto" w:fill="auto"/>
            <w:noWrap/>
            <w:vAlign w:val="center"/>
            <w:hideMark/>
          </w:tcPr>
          <w:p w14:paraId="4FFC8340" w14:textId="77777777" w:rsidR="009352FB" w:rsidRPr="00585797" w:rsidRDefault="009352FB" w:rsidP="0048678E">
            <w:pPr>
              <w:spacing w:line="276" w:lineRule="auto"/>
              <w:jc w:val="center"/>
              <w:rPr>
                <w:rFonts w:eastAsia="Times New Roman" w:cs="Times New Roman"/>
                <w:sz w:val="20"/>
                <w:szCs w:val="20"/>
                <w:lang w:val="en-CA" w:eastAsia="en-CA"/>
              </w:rPr>
            </w:pPr>
          </w:p>
        </w:tc>
      </w:tr>
      <w:tr w:rsidR="009352FB" w:rsidRPr="00585797" w14:paraId="2D7FDE24" w14:textId="77777777" w:rsidTr="00C17A98">
        <w:trPr>
          <w:trHeight w:val="300"/>
        </w:trPr>
        <w:tc>
          <w:tcPr>
            <w:tcW w:w="3176" w:type="dxa"/>
            <w:tcBorders>
              <w:top w:val="nil"/>
              <w:left w:val="nil"/>
              <w:bottom w:val="nil"/>
              <w:right w:val="nil"/>
            </w:tcBorders>
            <w:shd w:val="clear" w:color="auto" w:fill="auto"/>
            <w:noWrap/>
            <w:vAlign w:val="center"/>
            <w:hideMark/>
          </w:tcPr>
          <w:p w14:paraId="3FF9B4E1"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1576" w:type="dxa"/>
            <w:tcBorders>
              <w:top w:val="nil"/>
              <w:left w:val="nil"/>
              <w:bottom w:val="nil"/>
              <w:right w:val="nil"/>
            </w:tcBorders>
            <w:shd w:val="clear" w:color="auto" w:fill="auto"/>
            <w:noWrap/>
            <w:vAlign w:val="center"/>
            <w:hideMark/>
          </w:tcPr>
          <w:p w14:paraId="699CEC5C" w14:textId="77777777" w:rsidR="009352FB" w:rsidRPr="00585797" w:rsidRDefault="009352FB" w:rsidP="0048678E">
            <w:pPr>
              <w:spacing w:line="276" w:lineRule="auto"/>
              <w:rPr>
                <w:rFonts w:eastAsia="Times New Roman" w:cs="Times New Roman"/>
                <w:sz w:val="20"/>
                <w:szCs w:val="20"/>
                <w:lang w:val="en-CA" w:eastAsia="en-CA"/>
              </w:rPr>
            </w:pPr>
          </w:p>
        </w:tc>
        <w:tc>
          <w:tcPr>
            <w:tcW w:w="956" w:type="dxa"/>
            <w:tcBorders>
              <w:top w:val="nil"/>
              <w:left w:val="nil"/>
              <w:bottom w:val="nil"/>
              <w:right w:val="nil"/>
            </w:tcBorders>
            <w:shd w:val="clear" w:color="auto" w:fill="auto"/>
            <w:noWrap/>
            <w:vAlign w:val="center"/>
            <w:hideMark/>
          </w:tcPr>
          <w:p w14:paraId="44247058"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1436" w:type="dxa"/>
            <w:tcBorders>
              <w:top w:val="nil"/>
              <w:left w:val="nil"/>
              <w:bottom w:val="nil"/>
              <w:right w:val="nil"/>
            </w:tcBorders>
            <w:shd w:val="clear" w:color="auto" w:fill="auto"/>
            <w:noWrap/>
            <w:vAlign w:val="center"/>
            <w:hideMark/>
          </w:tcPr>
          <w:p w14:paraId="44F6C187"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2104" w:type="dxa"/>
            <w:tcBorders>
              <w:top w:val="nil"/>
              <w:left w:val="nil"/>
              <w:bottom w:val="nil"/>
              <w:right w:val="nil"/>
            </w:tcBorders>
            <w:shd w:val="clear" w:color="auto" w:fill="auto"/>
            <w:noWrap/>
            <w:vAlign w:val="center"/>
            <w:hideMark/>
          </w:tcPr>
          <w:p w14:paraId="496B1E8D" w14:textId="77777777" w:rsidR="009352FB" w:rsidRPr="00585797" w:rsidRDefault="009352FB" w:rsidP="0048678E">
            <w:pPr>
              <w:spacing w:line="276" w:lineRule="auto"/>
              <w:jc w:val="center"/>
              <w:rPr>
                <w:rFonts w:eastAsia="Times New Roman" w:cs="Times New Roman"/>
                <w:sz w:val="20"/>
                <w:szCs w:val="20"/>
                <w:lang w:val="en-CA" w:eastAsia="en-CA"/>
              </w:rPr>
            </w:pPr>
          </w:p>
        </w:tc>
      </w:tr>
      <w:tr w:rsidR="009352FB" w:rsidRPr="00585797" w14:paraId="7153BCC8" w14:textId="77777777" w:rsidTr="00C17A98">
        <w:trPr>
          <w:trHeight w:val="300"/>
        </w:trPr>
        <w:tc>
          <w:tcPr>
            <w:tcW w:w="3176" w:type="dxa"/>
            <w:tcBorders>
              <w:top w:val="nil"/>
              <w:left w:val="nil"/>
              <w:bottom w:val="nil"/>
              <w:right w:val="nil"/>
            </w:tcBorders>
            <w:shd w:val="clear" w:color="auto" w:fill="auto"/>
            <w:noWrap/>
            <w:vAlign w:val="center"/>
            <w:hideMark/>
          </w:tcPr>
          <w:p w14:paraId="1D79D988"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10</w:t>
            </w:r>
            <w:r>
              <w:rPr>
                <w:rFonts w:eastAsia="Times New Roman" w:cs="Times New Roman"/>
                <w:color w:val="000000"/>
                <w:lang w:val="en-CA" w:eastAsia="en-CA"/>
              </w:rPr>
              <w:t>+</w:t>
            </w:r>
            <w:r w:rsidRPr="00585797">
              <w:rPr>
                <w:rFonts w:eastAsia="Times New Roman" w:cs="Times New Roman"/>
                <w:color w:val="000000"/>
                <w:lang w:val="en-CA" w:eastAsia="en-CA"/>
              </w:rPr>
              <w:t>y to 3m spread</w:t>
            </w:r>
          </w:p>
        </w:tc>
        <w:tc>
          <w:tcPr>
            <w:tcW w:w="1576" w:type="dxa"/>
            <w:tcBorders>
              <w:top w:val="nil"/>
              <w:left w:val="nil"/>
              <w:bottom w:val="nil"/>
              <w:right w:val="nil"/>
            </w:tcBorders>
            <w:shd w:val="clear" w:color="auto" w:fill="auto"/>
            <w:noWrap/>
            <w:vAlign w:val="center"/>
            <w:hideMark/>
          </w:tcPr>
          <w:p w14:paraId="669AF0B3" w14:textId="4704259B" w:rsidR="009352FB" w:rsidRPr="004E2E7D" w:rsidRDefault="009352FB" w:rsidP="0048678E">
            <w:pPr>
              <w:spacing w:line="276" w:lineRule="auto"/>
              <w:jc w:val="center"/>
              <w:rPr>
                <w:rFonts w:eastAsia="Times New Roman" w:cs="Times New Roman"/>
                <w:color w:val="000000"/>
                <w:vertAlign w:val="superscript"/>
                <w:lang w:val="en-CA" w:eastAsia="en-CA"/>
              </w:rPr>
            </w:pPr>
            <w:r w:rsidRPr="00585797">
              <w:rPr>
                <w:rFonts w:eastAsia="Times New Roman" w:cs="Times New Roman"/>
                <w:color w:val="000000"/>
                <w:lang w:val="en-CA" w:eastAsia="en-CA"/>
              </w:rPr>
              <w:t>-0.0</w:t>
            </w:r>
            <w:r w:rsidR="007F5CE0">
              <w:rPr>
                <w:rFonts w:eastAsia="Times New Roman" w:cs="Times New Roman"/>
                <w:color w:val="000000"/>
                <w:lang w:val="en-CA" w:eastAsia="en-CA"/>
              </w:rPr>
              <w:t>902</w:t>
            </w:r>
            <w:r>
              <w:rPr>
                <w:rFonts w:eastAsia="Times New Roman" w:cs="Times New Roman"/>
                <w:color w:val="000000"/>
                <w:vertAlign w:val="superscript"/>
                <w:lang w:val="en-CA" w:eastAsia="en-CA"/>
              </w:rPr>
              <w:t>***</w:t>
            </w:r>
          </w:p>
        </w:tc>
        <w:tc>
          <w:tcPr>
            <w:tcW w:w="956" w:type="dxa"/>
            <w:tcBorders>
              <w:top w:val="nil"/>
              <w:left w:val="nil"/>
              <w:bottom w:val="nil"/>
              <w:right w:val="nil"/>
            </w:tcBorders>
            <w:shd w:val="clear" w:color="auto" w:fill="auto"/>
            <w:noWrap/>
            <w:vAlign w:val="center"/>
            <w:hideMark/>
          </w:tcPr>
          <w:p w14:paraId="6110E901"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0.000</w:t>
            </w:r>
          </w:p>
        </w:tc>
        <w:tc>
          <w:tcPr>
            <w:tcW w:w="1436" w:type="dxa"/>
            <w:tcBorders>
              <w:top w:val="nil"/>
              <w:left w:val="nil"/>
              <w:bottom w:val="nil"/>
              <w:right w:val="nil"/>
            </w:tcBorders>
            <w:shd w:val="clear" w:color="auto" w:fill="auto"/>
            <w:noWrap/>
            <w:vAlign w:val="center"/>
            <w:hideMark/>
          </w:tcPr>
          <w:p w14:paraId="60C7AD5E"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0.3048</w:t>
            </w:r>
          </w:p>
        </w:tc>
        <w:tc>
          <w:tcPr>
            <w:tcW w:w="2104" w:type="dxa"/>
            <w:tcBorders>
              <w:top w:val="nil"/>
              <w:left w:val="nil"/>
              <w:bottom w:val="nil"/>
              <w:right w:val="nil"/>
            </w:tcBorders>
            <w:shd w:val="clear" w:color="auto" w:fill="auto"/>
            <w:noWrap/>
            <w:vAlign w:val="center"/>
            <w:hideMark/>
          </w:tcPr>
          <w:p w14:paraId="6752DF77"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629</w:t>
            </w:r>
          </w:p>
        </w:tc>
      </w:tr>
      <w:tr w:rsidR="009352FB" w:rsidRPr="00585797" w14:paraId="6040399C" w14:textId="77777777" w:rsidTr="00C17A98">
        <w:trPr>
          <w:trHeight w:val="300"/>
        </w:trPr>
        <w:tc>
          <w:tcPr>
            <w:tcW w:w="3176" w:type="dxa"/>
            <w:tcBorders>
              <w:top w:val="nil"/>
              <w:left w:val="nil"/>
              <w:bottom w:val="nil"/>
              <w:right w:val="nil"/>
            </w:tcBorders>
            <w:shd w:val="clear" w:color="auto" w:fill="auto"/>
            <w:noWrap/>
            <w:vAlign w:val="center"/>
            <w:hideMark/>
          </w:tcPr>
          <w:p w14:paraId="347E3BB8" w14:textId="77777777" w:rsidR="009352FB" w:rsidRPr="00585797" w:rsidRDefault="009352FB" w:rsidP="0048678E">
            <w:pPr>
              <w:spacing w:line="276" w:lineRule="auto"/>
              <w:jc w:val="center"/>
              <w:rPr>
                <w:rFonts w:eastAsia="Times New Roman" w:cs="Times New Roman"/>
                <w:color w:val="000000"/>
                <w:lang w:val="en-CA" w:eastAsia="en-CA"/>
              </w:rPr>
            </w:pPr>
          </w:p>
        </w:tc>
        <w:tc>
          <w:tcPr>
            <w:tcW w:w="1576" w:type="dxa"/>
            <w:tcBorders>
              <w:top w:val="nil"/>
              <w:left w:val="nil"/>
              <w:bottom w:val="nil"/>
              <w:right w:val="nil"/>
            </w:tcBorders>
            <w:shd w:val="clear" w:color="auto" w:fill="auto"/>
            <w:noWrap/>
            <w:vAlign w:val="center"/>
            <w:hideMark/>
          </w:tcPr>
          <w:p w14:paraId="69C5CD72" w14:textId="2001A612" w:rsidR="009352FB" w:rsidRPr="00585797" w:rsidRDefault="009352FB" w:rsidP="0048678E">
            <w:pPr>
              <w:spacing w:line="276" w:lineRule="auto"/>
              <w:jc w:val="center"/>
              <w:rPr>
                <w:rFonts w:eastAsia="Times New Roman" w:cs="Times New Roman"/>
                <w:color w:val="000000"/>
                <w:lang w:val="en-CA" w:eastAsia="en-CA"/>
              </w:rPr>
            </w:pPr>
            <w:r>
              <w:rPr>
                <w:rFonts w:eastAsia="Times New Roman" w:cs="Times New Roman"/>
                <w:color w:val="000000"/>
                <w:lang w:val="en-CA" w:eastAsia="en-CA"/>
              </w:rPr>
              <w:t>(</w:t>
            </w:r>
            <w:r w:rsidRPr="00585797">
              <w:rPr>
                <w:rFonts w:eastAsia="Times New Roman" w:cs="Times New Roman"/>
                <w:color w:val="000000"/>
                <w:lang w:val="en-CA" w:eastAsia="en-CA"/>
              </w:rPr>
              <w:t>0.0</w:t>
            </w:r>
            <w:r w:rsidR="007F5CE0">
              <w:rPr>
                <w:rFonts w:eastAsia="Times New Roman" w:cs="Times New Roman"/>
                <w:color w:val="000000"/>
                <w:lang w:val="en-CA" w:eastAsia="en-CA"/>
              </w:rPr>
              <w:t>121</w:t>
            </w:r>
            <w:r>
              <w:rPr>
                <w:rFonts w:eastAsia="Times New Roman" w:cs="Times New Roman"/>
                <w:color w:val="000000"/>
                <w:lang w:val="en-CA" w:eastAsia="en-CA"/>
              </w:rPr>
              <w:t>)</w:t>
            </w:r>
          </w:p>
        </w:tc>
        <w:tc>
          <w:tcPr>
            <w:tcW w:w="956" w:type="dxa"/>
            <w:tcBorders>
              <w:top w:val="nil"/>
              <w:left w:val="nil"/>
              <w:bottom w:val="nil"/>
              <w:right w:val="nil"/>
            </w:tcBorders>
            <w:shd w:val="clear" w:color="auto" w:fill="auto"/>
            <w:noWrap/>
            <w:vAlign w:val="center"/>
            <w:hideMark/>
          </w:tcPr>
          <w:p w14:paraId="646772D1" w14:textId="77777777" w:rsidR="009352FB" w:rsidRPr="00585797" w:rsidRDefault="009352FB" w:rsidP="0048678E">
            <w:pPr>
              <w:spacing w:line="276" w:lineRule="auto"/>
              <w:jc w:val="center"/>
              <w:rPr>
                <w:rFonts w:eastAsia="Times New Roman" w:cs="Times New Roman"/>
                <w:color w:val="000000"/>
                <w:lang w:val="en-CA" w:eastAsia="en-CA"/>
              </w:rPr>
            </w:pPr>
          </w:p>
        </w:tc>
        <w:tc>
          <w:tcPr>
            <w:tcW w:w="1436" w:type="dxa"/>
            <w:tcBorders>
              <w:top w:val="nil"/>
              <w:left w:val="nil"/>
              <w:bottom w:val="nil"/>
              <w:right w:val="nil"/>
            </w:tcBorders>
            <w:shd w:val="clear" w:color="auto" w:fill="auto"/>
            <w:noWrap/>
            <w:vAlign w:val="center"/>
            <w:hideMark/>
          </w:tcPr>
          <w:p w14:paraId="6FACA50C" w14:textId="77777777" w:rsidR="009352FB" w:rsidRPr="00585797" w:rsidRDefault="009352FB" w:rsidP="0048678E">
            <w:pPr>
              <w:spacing w:line="276" w:lineRule="auto"/>
              <w:jc w:val="center"/>
              <w:rPr>
                <w:rFonts w:eastAsia="Times New Roman" w:cs="Times New Roman"/>
                <w:sz w:val="20"/>
                <w:szCs w:val="20"/>
                <w:lang w:val="en-CA" w:eastAsia="en-CA"/>
              </w:rPr>
            </w:pPr>
          </w:p>
        </w:tc>
        <w:tc>
          <w:tcPr>
            <w:tcW w:w="2104" w:type="dxa"/>
            <w:tcBorders>
              <w:top w:val="nil"/>
              <w:left w:val="nil"/>
              <w:bottom w:val="nil"/>
              <w:right w:val="nil"/>
            </w:tcBorders>
            <w:shd w:val="clear" w:color="auto" w:fill="auto"/>
            <w:noWrap/>
            <w:vAlign w:val="center"/>
            <w:hideMark/>
          </w:tcPr>
          <w:p w14:paraId="4D44B77E" w14:textId="77777777" w:rsidR="009352FB" w:rsidRPr="00585797" w:rsidRDefault="009352FB" w:rsidP="0048678E">
            <w:pPr>
              <w:spacing w:line="276" w:lineRule="auto"/>
              <w:jc w:val="center"/>
              <w:rPr>
                <w:rFonts w:eastAsia="Times New Roman" w:cs="Times New Roman"/>
                <w:sz w:val="20"/>
                <w:szCs w:val="20"/>
                <w:lang w:val="en-CA" w:eastAsia="en-CA"/>
              </w:rPr>
            </w:pPr>
          </w:p>
        </w:tc>
      </w:tr>
      <w:tr w:rsidR="009352FB" w:rsidRPr="00585797" w14:paraId="7546F3E7" w14:textId="77777777" w:rsidTr="00653F64">
        <w:trPr>
          <w:trHeight w:val="315"/>
        </w:trPr>
        <w:tc>
          <w:tcPr>
            <w:tcW w:w="3176" w:type="dxa"/>
            <w:tcBorders>
              <w:top w:val="nil"/>
              <w:left w:val="nil"/>
              <w:bottom w:val="double" w:sz="6" w:space="0" w:color="auto"/>
              <w:right w:val="nil"/>
            </w:tcBorders>
            <w:shd w:val="clear" w:color="auto" w:fill="auto"/>
            <w:noWrap/>
            <w:vAlign w:val="center"/>
            <w:hideMark/>
          </w:tcPr>
          <w:p w14:paraId="1AEEF189"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 </w:t>
            </w:r>
          </w:p>
        </w:tc>
        <w:tc>
          <w:tcPr>
            <w:tcW w:w="1576" w:type="dxa"/>
            <w:tcBorders>
              <w:top w:val="nil"/>
              <w:left w:val="nil"/>
              <w:bottom w:val="double" w:sz="6" w:space="0" w:color="auto"/>
              <w:right w:val="nil"/>
            </w:tcBorders>
            <w:shd w:val="clear" w:color="auto" w:fill="auto"/>
            <w:noWrap/>
            <w:vAlign w:val="center"/>
            <w:hideMark/>
          </w:tcPr>
          <w:p w14:paraId="5BB4E2C5"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 </w:t>
            </w:r>
          </w:p>
        </w:tc>
        <w:tc>
          <w:tcPr>
            <w:tcW w:w="956" w:type="dxa"/>
            <w:tcBorders>
              <w:top w:val="nil"/>
              <w:left w:val="nil"/>
              <w:bottom w:val="double" w:sz="6" w:space="0" w:color="auto"/>
              <w:right w:val="nil"/>
            </w:tcBorders>
            <w:shd w:val="clear" w:color="auto" w:fill="auto"/>
            <w:noWrap/>
            <w:vAlign w:val="center"/>
            <w:hideMark/>
          </w:tcPr>
          <w:p w14:paraId="456C7CC7" w14:textId="77777777" w:rsidR="009352FB" w:rsidRPr="00585797" w:rsidRDefault="009352FB" w:rsidP="0048678E">
            <w:pPr>
              <w:spacing w:line="276" w:lineRule="auto"/>
              <w:jc w:val="center"/>
              <w:rPr>
                <w:rFonts w:eastAsia="Times New Roman" w:cs="Times New Roman"/>
                <w:color w:val="000000"/>
                <w:lang w:val="en-CA" w:eastAsia="en-CA"/>
              </w:rPr>
            </w:pPr>
            <w:r w:rsidRPr="00585797">
              <w:rPr>
                <w:rFonts w:eastAsia="Times New Roman" w:cs="Times New Roman"/>
                <w:color w:val="000000"/>
                <w:lang w:val="en-CA" w:eastAsia="en-CA"/>
              </w:rPr>
              <w:t> </w:t>
            </w:r>
          </w:p>
        </w:tc>
        <w:tc>
          <w:tcPr>
            <w:tcW w:w="1436" w:type="dxa"/>
            <w:tcBorders>
              <w:top w:val="nil"/>
              <w:left w:val="nil"/>
              <w:bottom w:val="double" w:sz="6" w:space="0" w:color="auto"/>
              <w:right w:val="nil"/>
            </w:tcBorders>
            <w:shd w:val="clear" w:color="auto" w:fill="auto"/>
            <w:noWrap/>
            <w:vAlign w:val="bottom"/>
            <w:hideMark/>
          </w:tcPr>
          <w:p w14:paraId="6DFBB6A2"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 </w:t>
            </w:r>
          </w:p>
        </w:tc>
        <w:tc>
          <w:tcPr>
            <w:tcW w:w="2104" w:type="dxa"/>
            <w:tcBorders>
              <w:top w:val="nil"/>
              <w:left w:val="nil"/>
              <w:bottom w:val="double" w:sz="6" w:space="0" w:color="auto"/>
              <w:right w:val="nil"/>
            </w:tcBorders>
            <w:shd w:val="clear" w:color="auto" w:fill="auto"/>
            <w:noWrap/>
            <w:vAlign w:val="bottom"/>
            <w:hideMark/>
          </w:tcPr>
          <w:p w14:paraId="6C9A449C" w14:textId="77777777" w:rsidR="009352FB" w:rsidRPr="00585797" w:rsidRDefault="009352FB" w:rsidP="0048678E">
            <w:pPr>
              <w:spacing w:line="276" w:lineRule="auto"/>
              <w:rPr>
                <w:rFonts w:eastAsia="Times New Roman" w:cs="Times New Roman"/>
                <w:color w:val="000000"/>
                <w:lang w:val="en-CA" w:eastAsia="en-CA"/>
              </w:rPr>
            </w:pPr>
            <w:r w:rsidRPr="00585797">
              <w:rPr>
                <w:rFonts w:eastAsia="Times New Roman" w:cs="Times New Roman"/>
                <w:color w:val="000000"/>
                <w:lang w:val="en-CA" w:eastAsia="en-CA"/>
              </w:rPr>
              <w:t> </w:t>
            </w:r>
          </w:p>
        </w:tc>
      </w:tr>
      <w:tr w:rsidR="009352FB" w:rsidRPr="00573C52" w14:paraId="209F1486" w14:textId="77777777" w:rsidTr="00C17A98">
        <w:trPr>
          <w:trHeight w:val="315"/>
        </w:trPr>
        <w:tc>
          <w:tcPr>
            <w:tcW w:w="9248" w:type="dxa"/>
            <w:gridSpan w:val="5"/>
            <w:tcBorders>
              <w:top w:val="nil"/>
              <w:left w:val="nil"/>
              <w:bottom w:val="nil"/>
            </w:tcBorders>
            <w:shd w:val="clear" w:color="auto" w:fill="auto"/>
            <w:noWrap/>
            <w:vAlign w:val="bottom"/>
            <w:hideMark/>
          </w:tcPr>
          <w:p w14:paraId="3E07E007" w14:textId="52D342A9" w:rsidR="009352FB" w:rsidRPr="00573C52" w:rsidRDefault="009352FB" w:rsidP="00EB1B3C">
            <w:pPr>
              <w:spacing w:line="240" w:lineRule="auto"/>
              <w:rPr>
                <w:rFonts w:cs="Times New Roman"/>
                <w:color w:val="000000"/>
              </w:rPr>
            </w:pPr>
            <w:r w:rsidRPr="00573C52">
              <w:rPr>
                <w:rFonts w:cs="Times New Roman"/>
                <w:color w:val="000000"/>
              </w:rPr>
              <w:t>*</w:t>
            </w:r>
            <w:r w:rsidR="00605A92" w:rsidRPr="00573C52">
              <w:rPr>
                <w:rFonts w:cs="Times New Roman"/>
                <w:color w:val="000000"/>
              </w:rPr>
              <w:t>Notes: Results are marginal effects that show the estimated increase in the probability of transitioning to a recession within the stated time horizon when the spread fell by one standard deviation from its mean. Standard errors are in parentheses. The level of significance is indicated by the number of stars: * significant at 10%; ** significant at 5%; *** significant at 1%.</w:t>
            </w:r>
          </w:p>
          <w:p w14:paraId="4F2A30CD" w14:textId="77777777" w:rsidR="009352FB" w:rsidRPr="00573C52" w:rsidRDefault="009352FB" w:rsidP="00EB1B3C">
            <w:pPr>
              <w:spacing w:line="240" w:lineRule="auto"/>
              <w:rPr>
                <w:rFonts w:eastAsia="Times New Roman" w:cs="Times New Roman"/>
                <w:lang w:val="en-CA" w:eastAsia="en-CA"/>
              </w:rPr>
            </w:pPr>
          </w:p>
        </w:tc>
      </w:tr>
    </w:tbl>
    <w:p w14:paraId="78096142" w14:textId="1FD58AE8" w:rsidR="005E1A84" w:rsidRDefault="005E1A84" w:rsidP="009352FB">
      <w:pPr>
        <w:rPr>
          <w:rFonts w:cs="Times New Roman"/>
        </w:rPr>
      </w:pPr>
    </w:p>
    <w:p w14:paraId="5E3EB794" w14:textId="77777777" w:rsidR="00A72B39" w:rsidRDefault="00A72B39" w:rsidP="009352FB">
      <w:pPr>
        <w:rPr>
          <w:rFonts w:cs="Times New Roman"/>
        </w:rPr>
      </w:pPr>
    </w:p>
    <w:p w14:paraId="5AF8B325" w14:textId="02E378AD" w:rsidR="005E1A84" w:rsidRDefault="005E1A84" w:rsidP="00AD1ECB">
      <w:pPr>
        <w:pStyle w:val="Heading2"/>
        <w:rPr>
          <w:rFonts w:cs="Times New Roman"/>
        </w:rPr>
      </w:pPr>
      <w:bookmarkStart w:id="52" w:name="_Toc37338061"/>
      <w:r w:rsidRPr="00C8172C">
        <w:t>Appendix B</w:t>
      </w:r>
      <w:bookmarkEnd w:id="52"/>
    </w:p>
    <w:tbl>
      <w:tblPr>
        <w:tblW w:w="10020" w:type="dxa"/>
        <w:tblLook w:val="04A0" w:firstRow="1" w:lastRow="0" w:firstColumn="1" w:lastColumn="0" w:noHBand="0" w:noVBand="1"/>
      </w:tblPr>
      <w:tblGrid>
        <w:gridCol w:w="6096"/>
        <w:gridCol w:w="3924"/>
      </w:tblGrid>
      <w:tr w:rsidR="008A1161" w:rsidRPr="008A1161" w14:paraId="33853A07" w14:textId="77777777" w:rsidTr="00D06D8C">
        <w:trPr>
          <w:trHeight w:val="300"/>
        </w:trPr>
        <w:tc>
          <w:tcPr>
            <w:tcW w:w="6096" w:type="dxa"/>
            <w:tcBorders>
              <w:top w:val="nil"/>
              <w:left w:val="nil"/>
              <w:bottom w:val="nil"/>
              <w:right w:val="nil"/>
            </w:tcBorders>
            <w:shd w:val="clear" w:color="auto" w:fill="auto"/>
            <w:noWrap/>
            <w:vAlign w:val="center"/>
            <w:hideMark/>
          </w:tcPr>
          <w:p w14:paraId="09DE943E" w14:textId="6CE33C02" w:rsidR="008A1161" w:rsidRPr="00AD1ECB" w:rsidRDefault="00C03F2F" w:rsidP="00AD1ECB">
            <w:bookmarkStart w:id="53" w:name="_Toc37261618"/>
            <w:r>
              <w:t xml:space="preserve">Table </w:t>
            </w:r>
            <w:r w:rsidR="009C4B5A">
              <w:fldChar w:fldCharType="begin"/>
            </w:r>
            <w:r w:rsidR="009C4B5A">
              <w:instrText xml:space="preserve"> SEQ Table \* ARABIC </w:instrText>
            </w:r>
            <w:r w:rsidR="009C4B5A">
              <w:fldChar w:fldCharType="separate"/>
            </w:r>
            <w:r w:rsidR="00AC0696">
              <w:rPr>
                <w:noProof/>
              </w:rPr>
              <w:t>12</w:t>
            </w:r>
            <w:bookmarkEnd w:id="53"/>
            <w:r w:rsidR="009C4B5A">
              <w:rPr>
                <w:noProof/>
              </w:rPr>
              <w:fldChar w:fldCharType="end"/>
            </w:r>
          </w:p>
        </w:tc>
        <w:tc>
          <w:tcPr>
            <w:tcW w:w="3924" w:type="dxa"/>
            <w:tcBorders>
              <w:top w:val="nil"/>
              <w:left w:val="nil"/>
              <w:bottom w:val="nil"/>
              <w:right w:val="nil"/>
            </w:tcBorders>
            <w:shd w:val="clear" w:color="auto" w:fill="auto"/>
            <w:noWrap/>
            <w:vAlign w:val="center"/>
            <w:hideMark/>
          </w:tcPr>
          <w:p w14:paraId="3AE9B9AF" w14:textId="77777777" w:rsidR="008A1161" w:rsidRPr="008A1161" w:rsidRDefault="008A1161" w:rsidP="0048678E">
            <w:pPr>
              <w:spacing w:line="276" w:lineRule="auto"/>
              <w:rPr>
                <w:rFonts w:eastAsia="Times New Roman" w:cs="Times New Roman"/>
                <w:color w:val="000000"/>
                <w:lang w:val="en-CA" w:eastAsia="en-CA"/>
              </w:rPr>
            </w:pPr>
          </w:p>
        </w:tc>
      </w:tr>
      <w:tr w:rsidR="008A1161" w:rsidRPr="008A1161" w14:paraId="267C4EBE" w14:textId="77777777" w:rsidTr="00D06D8C">
        <w:trPr>
          <w:trHeight w:val="315"/>
        </w:trPr>
        <w:tc>
          <w:tcPr>
            <w:tcW w:w="6096" w:type="dxa"/>
            <w:tcBorders>
              <w:top w:val="nil"/>
              <w:left w:val="nil"/>
              <w:bottom w:val="double" w:sz="6" w:space="0" w:color="auto"/>
              <w:right w:val="nil"/>
            </w:tcBorders>
            <w:shd w:val="clear" w:color="auto" w:fill="auto"/>
            <w:noWrap/>
            <w:vAlign w:val="center"/>
            <w:hideMark/>
          </w:tcPr>
          <w:p w14:paraId="190FF503" w14:textId="77777777" w:rsidR="008A1161" w:rsidRPr="008A1161" w:rsidRDefault="008A1161" w:rsidP="0048678E">
            <w:pPr>
              <w:spacing w:line="276" w:lineRule="auto"/>
              <w:rPr>
                <w:rFonts w:eastAsia="Times New Roman" w:cs="Times New Roman"/>
                <w:i/>
                <w:iCs/>
                <w:color w:val="000000"/>
                <w:lang w:val="en-CA" w:eastAsia="en-CA"/>
              </w:rPr>
            </w:pPr>
            <w:r w:rsidRPr="008A1161">
              <w:rPr>
                <w:rFonts w:eastAsia="Times New Roman" w:cs="Times New Roman"/>
                <w:i/>
                <w:iCs/>
                <w:color w:val="000000"/>
                <w:lang w:val="en-CA" w:eastAsia="en-CA"/>
              </w:rPr>
              <w:t xml:space="preserve">OECD Recession Dating Component Series </w:t>
            </w:r>
          </w:p>
        </w:tc>
        <w:tc>
          <w:tcPr>
            <w:tcW w:w="3924" w:type="dxa"/>
            <w:tcBorders>
              <w:top w:val="nil"/>
              <w:left w:val="nil"/>
              <w:bottom w:val="double" w:sz="6" w:space="0" w:color="auto"/>
              <w:right w:val="nil"/>
            </w:tcBorders>
            <w:shd w:val="clear" w:color="auto" w:fill="auto"/>
            <w:noWrap/>
            <w:vAlign w:val="center"/>
            <w:hideMark/>
          </w:tcPr>
          <w:p w14:paraId="14373F19"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 </w:t>
            </w:r>
          </w:p>
        </w:tc>
      </w:tr>
      <w:tr w:rsidR="008A1161" w:rsidRPr="008A1161" w14:paraId="462F1CF1" w14:textId="77777777" w:rsidTr="00D06D8C">
        <w:trPr>
          <w:trHeight w:val="315"/>
        </w:trPr>
        <w:tc>
          <w:tcPr>
            <w:tcW w:w="6096" w:type="dxa"/>
            <w:tcBorders>
              <w:top w:val="double" w:sz="6" w:space="0" w:color="auto"/>
              <w:left w:val="nil"/>
              <w:bottom w:val="single" w:sz="4" w:space="0" w:color="auto"/>
              <w:right w:val="nil"/>
            </w:tcBorders>
            <w:shd w:val="clear" w:color="auto" w:fill="auto"/>
            <w:noWrap/>
            <w:vAlign w:val="center"/>
            <w:hideMark/>
          </w:tcPr>
          <w:p w14:paraId="0C38D7C6" w14:textId="77777777" w:rsidR="008A1161" w:rsidRDefault="008A1161" w:rsidP="0048678E">
            <w:pPr>
              <w:spacing w:line="276" w:lineRule="auto"/>
              <w:rPr>
                <w:rFonts w:eastAsia="Times New Roman" w:cs="Times New Roman"/>
                <w:color w:val="000000"/>
                <w:lang w:val="en-CA" w:eastAsia="en-CA"/>
              </w:rPr>
            </w:pPr>
          </w:p>
          <w:p w14:paraId="09E58C65" w14:textId="6D55B620"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Component Series (Unit)</w:t>
            </w:r>
          </w:p>
        </w:tc>
        <w:tc>
          <w:tcPr>
            <w:tcW w:w="3924" w:type="dxa"/>
            <w:tcBorders>
              <w:top w:val="double" w:sz="6" w:space="0" w:color="auto"/>
              <w:left w:val="nil"/>
              <w:bottom w:val="single" w:sz="4" w:space="0" w:color="auto"/>
              <w:right w:val="nil"/>
            </w:tcBorders>
            <w:shd w:val="clear" w:color="auto" w:fill="auto"/>
            <w:noWrap/>
            <w:vAlign w:val="center"/>
            <w:hideMark/>
          </w:tcPr>
          <w:p w14:paraId="3C0DB86B" w14:textId="77777777" w:rsidR="008A1161" w:rsidRDefault="008A1161" w:rsidP="0048678E">
            <w:pPr>
              <w:spacing w:line="276" w:lineRule="auto"/>
              <w:rPr>
                <w:rFonts w:eastAsia="Times New Roman" w:cs="Times New Roman"/>
                <w:color w:val="000000"/>
                <w:lang w:val="en-CA" w:eastAsia="en-CA"/>
              </w:rPr>
            </w:pPr>
          </w:p>
          <w:p w14:paraId="4647A91A" w14:textId="7BBA7B00"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Source</w:t>
            </w:r>
          </w:p>
        </w:tc>
      </w:tr>
      <w:tr w:rsidR="008A1161" w:rsidRPr="008A1161" w14:paraId="1A664528" w14:textId="77777777" w:rsidTr="00D06D8C">
        <w:trPr>
          <w:trHeight w:val="300"/>
        </w:trPr>
        <w:tc>
          <w:tcPr>
            <w:tcW w:w="6096" w:type="dxa"/>
            <w:tcBorders>
              <w:top w:val="single" w:sz="4" w:space="0" w:color="auto"/>
              <w:left w:val="nil"/>
              <w:bottom w:val="nil"/>
              <w:right w:val="nil"/>
            </w:tcBorders>
            <w:shd w:val="clear" w:color="auto" w:fill="auto"/>
            <w:noWrap/>
            <w:vAlign w:val="center"/>
            <w:hideMark/>
          </w:tcPr>
          <w:p w14:paraId="1F507999" w14:textId="77777777" w:rsidR="008A1161" w:rsidRDefault="008A1161" w:rsidP="0048678E">
            <w:pPr>
              <w:spacing w:line="276" w:lineRule="auto"/>
              <w:rPr>
                <w:rFonts w:eastAsia="Times New Roman" w:cs="Times New Roman"/>
                <w:color w:val="000000"/>
                <w:lang w:val="en-CA" w:eastAsia="en-CA"/>
              </w:rPr>
            </w:pPr>
          </w:p>
          <w:p w14:paraId="187622DE" w14:textId="62B563E9"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Deflated Monetary aggregate M1 (2010 cad)</w:t>
            </w:r>
          </w:p>
        </w:tc>
        <w:tc>
          <w:tcPr>
            <w:tcW w:w="3924" w:type="dxa"/>
            <w:tcBorders>
              <w:top w:val="single" w:sz="4" w:space="0" w:color="auto"/>
              <w:left w:val="nil"/>
              <w:bottom w:val="nil"/>
              <w:right w:val="nil"/>
            </w:tcBorders>
            <w:shd w:val="clear" w:color="auto" w:fill="auto"/>
            <w:noWrap/>
            <w:vAlign w:val="center"/>
            <w:hideMark/>
          </w:tcPr>
          <w:p w14:paraId="4E9320FF" w14:textId="77777777" w:rsidR="008A1161" w:rsidRDefault="008A1161" w:rsidP="0048678E">
            <w:pPr>
              <w:spacing w:line="276" w:lineRule="auto"/>
              <w:rPr>
                <w:rFonts w:eastAsia="Times New Roman" w:cs="Times New Roman"/>
                <w:color w:val="000000"/>
                <w:lang w:val="en-CA" w:eastAsia="en-CA"/>
              </w:rPr>
            </w:pPr>
          </w:p>
          <w:p w14:paraId="072465E9" w14:textId="7568BFCD"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Statistics Canada</w:t>
            </w:r>
          </w:p>
        </w:tc>
      </w:tr>
      <w:tr w:rsidR="008A1161" w:rsidRPr="008A1161" w14:paraId="3BE4543D" w14:textId="77777777" w:rsidTr="00D06D8C">
        <w:trPr>
          <w:trHeight w:val="300"/>
        </w:trPr>
        <w:tc>
          <w:tcPr>
            <w:tcW w:w="6096" w:type="dxa"/>
            <w:tcBorders>
              <w:top w:val="nil"/>
              <w:left w:val="nil"/>
              <w:bottom w:val="nil"/>
              <w:right w:val="nil"/>
            </w:tcBorders>
            <w:shd w:val="clear" w:color="auto" w:fill="auto"/>
            <w:noWrap/>
            <w:vAlign w:val="center"/>
            <w:hideMark/>
          </w:tcPr>
          <w:p w14:paraId="6077DB22"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Interest rate spreads (% p.a.)</w:t>
            </w:r>
          </w:p>
        </w:tc>
        <w:tc>
          <w:tcPr>
            <w:tcW w:w="3924" w:type="dxa"/>
            <w:tcBorders>
              <w:top w:val="nil"/>
              <w:left w:val="nil"/>
              <w:bottom w:val="nil"/>
              <w:right w:val="nil"/>
            </w:tcBorders>
            <w:shd w:val="clear" w:color="auto" w:fill="auto"/>
            <w:noWrap/>
            <w:vAlign w:val="center"/>
            <w:hideMark/>
          </w:tcPr>
          <w:p w14:paraId="711E8BC1"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Statistics Canada</w:t>
            </w:r>
          </w:p>
        </w:tc>
      </w:tr>
      <w:tr w:rsidR="008A1161" w:rsidRPr="008A1161" w14:paraId="2BB3879F" w14:textId="77777777" w:rsidTr="00D06D8C">
        <w:trPr>
          <w:trHeight w:val="300"/>
        </w:trPr>
        <w:tc>
          <w:tcPr>
            <w:tcW w:w="6096" w:type="dxa"/>
            <w:tcBorders>
              <w:top w:val="nil"/>
              <w:left w:val="nil"/>
              <w:bottom w:val="nil"/>
              <w:right w:val="nil"/>
            </w:tcBorders>
            <w:shd w:val="clear" w:color="auto" w:fill="auto"/>
            <w:noWrap/>
            <w:vAlign w:val="center"/>
            <w:hideMark/>
          </w:tcPr>
          <w:p w14:paraId="41807C01" w14:textId="63C6C5F9"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Inverted ratio of inventories to shipmen</w:t>
            </w:r>
            <w:r>
              <w:rPr>
                <w:rFonts w:eastAsia="Times New Roman" w:cs="Times New Roman"/>
                <w:color w:val="000000"/>
                <w:lang w:val="en-CA" w:eastAsia="en-CA"/>
              </w:rPr>
              <w:t>t</w:t>
            </w:r>
            <w:r w:rsidRPr="008A1161">
              <w:rPr>
                <w:rFonts w:eastAsia="Times New Roman" w:cs="Times New Roman"/>
                <w:color w:val="000000"/>
                <w:lang w:val="en-CA" w:eastAsia="en-CA"/>
              </w:rPr>
              <w:t>s</w:t>
            </w:r>
          </w:p>
        </w:tc>
        <w:tc>
          <w:tcPr>
            <w:tcW w:w="3924" w:type="dxa"/>
            <w:tcBorders>
              <w:top w:val="nil"/>
              <w:left w:val="nil"/>
              <w:bottom w:val="nil"/>
              <w:right w:val="nil"/>
            </w:tcBorders>
            <w:shd w:val="clear" w:color="auto" w:fill="auto"/>
            <w:noWrap/>
            <w:vAlign w:val="center"/>
            <w:hideMark/>
          </w:tcPr>
          <w:p w14:paraId="79221604"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Statistics Canada</w:t>
            </w:r>
          </w:p>
        </w:tc>
      </w:tr>
      <w:tr w:rsidR="008A1161" w:rsidRPr="008A1161" w14:paraId="0B1DD062" w14:textId="77777777" w:rsidTr="00D06D8C">
        <w:trPr>
          <w:trHeight w:val="300"/>
        </w:trPr>
        <w:tc>
          <w:tcPr>
            <w:tcW w:w="6096" w:type="dxa"/>
            <w:tcBorders>
              <w:top w:val="nil"/>
              <w:left w:val="nil"/>
              <w:bottom w:val="nil"/>
              <w:right w:val="nil"/>
            </w:tcBorders>
            <w:shd w:val="clear" w:color="auto" w:fill="auto"/>
            <w:noWrap/>
            <w:vAlign w:val="center"/>
            <w:hideMark/>
          </w:tcPr>
          <w:p w14:paraId="2166B575"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Stock prices: S&amp;P/TSX composite index (2015=100)</w:t>
            </w:r>
          </w:p>
        </w:tc>
        <w:tc>
          <w:tcPr>
            <w:tcW w:w="3924" w:type="dxa"/>
            <w:tcBorders>
              <w:top w:val="nil"/>
              <w:left w:val="nil"/>
              <w:bottom w:val="nil"/>
              <w:right w:val="nil"/>
            </w:tcBorders>
            <w:shd w:val="clear" w:color="auto" w:fill="auto"/>
            <w:noWrap/>
            <w:vAlign w:val="center"/>
            <w:hideMark/>
          </w:tcPr>
          <w:p w14:paraId="7C4C030C"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Statistics Canada</w:t>
            </w:r>
          </w:p>
        </w:tc>
      </w:tr>
      <w:tr w:rsidR="008A1161" w:rsidRPr="008A1161" w14:paraId="59316365" w14:textId="77777777" w:rsidTr="00D06D8C">
        <w:trPr>
          <w:trHeight w:val="300"/>
        </w:trPr>
        <w:tc>
          <w:tcPr>
            <w:tcW w:w="6096" w:type="dxa"/>
            <w:tcBorders>
              <w:top w:val="nil"/>
              <w:left w:val="nil"/>
              <w:bottom w:val="nil"/>
              <w:right w:val="nil"/>
            </w:tcBorders>
            <w:shd w:val="clear" w:color="auto" w:fill="auto"/>
            <w:noWrap/>
            <w:vAlign w:val="center"/>
            <w:hideMark/>
          </w:tcPr>
          <w:p w14:paraId="11CFFE2B"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Consumer - Confidence indicator (2015 = 100)</w:t>
            </w:r>
          </w:p>
        </w:tc>
        <w:tc>
          <w:tcPr>
            <w:tcW w:w="3924" w:type="dxa"/>
            <w:tcBorders>
              <w:top w:val="nil"/>
              <w:left w:val="nil"/>
              <w:bottom w:val="nil"/>
              <w:right w:val="nil"/>
            </w:tcBorders>
            <w:shd w:val="clear" w:color="auto" w:fill="auto"/>
            <w:noWrap/>
            <w:vAlign w:val="center"/>
            <w:hideMark/>
          </w:tcPr>
          <w:p w14:paraId="735684CB"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Conference Board of Canada</w:t>
            </w:r>
          </w:p>
        </w:tc>
      </w:tr>
      <w:tr w:rsidR="008A1161" w:rsidRPr="008A1161" w14:paraId="265FC691" w14:textId="77777777" w:rsidTr="00D06D8C">
        <w:trPr>
          <w:trHeight w:val="315"/>
        </w:trPr>
        <w:tc>
          <w:tcPr>
            <w:tcW w:w="6096" w:type="dxa"/>
            <w:tcBorders>
              <w:top w:val="nil"/>
              <w:left w:val="nil"/>
              <w:bottom w:val="double" w:sz="6" w:space="0" w:color="auto"/>
              <w:right w:val="nil"/>
            </w:tcBorders>
            <w:shd w:val="clear" w:color="auto" w:fill="auto"/>
            <w:noWrap/>
            <w:vAlign w:val="center"/>
            <w:hideMark/>
          </w:tcPr>
          <w:p w14:paraId="56BEF913" w14:textId="771B05AB"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Manufacturing - Industrial con</w:t>
            </w:r>
            <w:r>
              <w:rPr>
                <w:rFonts w:eastAsia="Times New Roman" w:cs="Times New Roman"/>
                <w:color w:val="000000"/>
                <w:lang w:val="en-CA" w:eastAsia="en-CA"/>
              </w:rPr>
              <w:t>fid</w:t>
            </w:r>
            <w:r w:rsidRPr="008A1161">
              <w:rPr>
                <w:rFonts w:eastAsia="Times New Roman" w:cs="Times New Roman"/>
                <w:color w:val="000000"/>
                <w:lang w:val="en-CA" w:eastAsia="en-CA"/>
              </w:rPr>
              <w:t>ence indicator (USA - PMI)</w:t>
            </w:r>
          </w:p>
        </w:tc>
        <w:tc>
          <w:tcPr>
            <w:tcW w:w="3924" w:type="dxa"/>
            <w:tcBorders>
              <w:top w:val="nil"/>
              <w:left w:val="nil"/>
              <w:bottom w:val="double" w:sz="6" w:space="0" w:color="auto"/>
              <w:right w:val="nil"/>
            </w:tcBorders>
            <w:shd w:val="clear" w:color="auto" w:fill="auto"/>
            <w:noWrap/>
            <w:vAlign w:val="center"/>
            <w:hideMark/>
          </w:tcPr>
          <w:p w14:paraId="77663081" w14:textId="7777777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Institute of Supply Management USA</w:t>
            </w:r>
          </w:p>
        </w:tc>
      </w:tr>
      <w:tr w:rsidR="008A1161" w:rsidRPr="008A1161" w14:paraId="51410AE1" w14:textId="77777777" w:rsidTr="00D06D8C">
        <w:trPr>
          <w:trHeight w:val="50"/>
        </w:trPr>
        <w:tc>
          <w:tcPr>
            <w:tcW w:w="6096" w:type="dxa"/>
            <w:tcBorders>
              <w:top w:val="nil"/>
              <w:left w:val="nil"/>
              <w:bottom w:val="nil"/>
              <w:right w:val="nil"/>
            </w:tcBorders>
            <w:shd w:val="clear" w:color="auto" w:fill="auto"/>
            <w:noWrap/>
            <w:vAlign w:val="center"/>
            <w:hideMark/>
          </w:tcPr>
          <w:p w14:paraId="43516C56" w14:textId="6E518D67" w:rsidR="008A1161" w:rsidRPr="008A1161" w:rsidRDefault="008A1161" w:rsidP="0048678E">
            <w:pPr>
              <w:spacing w:line="276" w:lineRule="auto"/>
              <w:rPr>
                <w:rFonts w:eastAsia="Times New Roman" w:cs="Times New Roman"/>
                <w:color w:val="000000"/>
                <w:lang w:val="en-CA" w:eastAsia="en-CA"/>
              </w:rPr>
            </w:pPr>
            <w:r w:rsidRPr="008A1161">
              <w:rPr>
                <w:rFonts w:eastAsia="Times New Roman" w:cs="Times New Roman"/>
                <w:color w:val="000000"/>
                <w:lang w:val="en-CA" w:eastAsia="en-CA"/>
              </w:rPr>
              <w:t>*Source: OECD (2020</w:t>
            </w:r>
            <w:r w:rsidR="0053092F">
              <w:rPr>
                <w:rFonts w:eastAsia="Times New Roman" w:cs="Times New Roman"/>
                <w:color w:val="000000"/>
                <w:lang w:val="en-CA" w:eastAsia="en-CA"/>
              </w:rPr>
              <w:t>b</w:t>
            </w:r>
            <w:r w:rsidRPr="008A1161">
              <w:rPr>
                <w:rFonts w:eastAsia="Times New Roman" w:cs="Times New Roman"/>
                <w:color w:val="000000"/>
                <w:lang w:val="en-CA" w:eastAsia="en-CA"/>
              </w:rPr>
              <w:t>).</w:t>
            </w:r>
          </w:p>
        </w:tc>
        <w:tc>
          <w:tcPr>
            <w:tcW w:w="3924" w:type="dxa"/>
            <w:tcBorders>
              <w:top w:val="nil"/>
              <w:left w:val="nil"/>
              <w:bottom w:val="nil"/>
              <w:right w:val="nil"/>
            </w:tcBorders>
            <w:shd w:val="clear" w:color="auto" w:fill="auto"/>
            <w:noWrap/>
            <w:vAlign w:val="center"/>
            <w:hideMark/>
          </w:tcPr>
          <w:p w14:paraId="25B5F9E8" w14:textId="77777777" w:rsidR="008A1161" w:rsidRPr="008A1161" w:rsidRDefault="008A1161" w:rsidP="0048678E">
            <w:pPr>
              <w:spacing w:line="276" w:lineRule="auto"/>
              <w:rPr>
                <w:rFonts w:eastAsia="Times New Roman" w:cs="Times New Roman"/>
                <w:color w:val="000000"/>
                <w:lang w:val="en-CA" w:eastAsia="en-CA"/>
              </w:rPr>
            </w:pPr>
          </w:p>
        </w:tc>
      </w:tr>
    </w:tbl>
    <w:p w14:paraId="42700F89" w14:textId="77777777" w:rsidR="00653F64" w:rsidRPr="006B5B91" w:rsidRDefault="00653F64" w:rsidP="0048678E">
      <w:pPr>
        <w:spacing w:line="276" w:lineRule="auto"/>
        <w:rPr>
          <w:rFonts w:cs="Times New Roman"/>
        </w:rPr>
      </w:pPr>
    </w:p>
    <w:sectPr w:rsidR="00653F64" w:rsidRPr="006B5B9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B754E7" w14:textId="77777777" w:rsidR="009C4B5A" w:rsidRDefault="009C4B5A" w:rsidP="009F3C68">
      <w:pPr>
        <w:spacing w:line="240" w:lineRule="auto"/>
      </w:pPr>
      <w:r>
        <w:separator/>
      </w:r>
    </w:p>
  </w:endnote>
  <w:endnote w:type="continuationSeparator" w:id="0">
    <w:p w14:paraId="25C521A3" w14:textId="77777777" w:rsidR="009C4B5A" w:rsidRDefault="009C4B5A" w:rsidP="009F3C6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C8F83E" w14:textId="77777777" w:rsidR="009C4B5A" w:rsidRDefault="009C4B5A" w:rsidP="009F3C68">
      <w:pPr>
        <w:spacing w:line="240" w:lineRule="auto"/>
      </w:pPr>
      <w:r>
        <w:separator/>
      </w:r>
    </w:p>
  </w:footnote>
  <w:footnote w:type="continuationSeparator" w:id="0">
    <w:p w14:paraId="4B05C22B" w14:textId="77777777" w:rsidR="009C4B5A" w:rsidRDefault="009C4B5A" w:rsidP="009F3C68">
      <w:pPr>
        <w:spacing w:line="240" w:lineRule="auto"/>
      </w:pPr>
      <w:r>
        <w:continuationSeparator/>
      </w:r>
    </w:p>
  </w:footnote>
  <w:footnote w:id="1">
    <w:p w14:paraId="67B26762" w14:textId="59298110" w:rsidR="00D52943" w:rsidRPr="00ED1975" w:rsidRDefault="00D52943">
      <w:pPr>
        <w:pStyle w:val="FootnoteText"/>
        <w:rPr>
          <w:lang w:val="en-CA"/>
        </w:rPr>
      </w:pPr>
      <w:r>
        <w:rPr>
          <w:rStyle w:val="FootnoteReference"/>
        </w:rPr>
        <w:footnoteRef/>
      </w:r>
      <w:r>
        <w:t xml:space="preserve"> </w:t>
      </w:r>
      <w:r>
        <w:rPr>
          <w:lang w:val="en-CA"/>
        </w:rPr>
        <w:t>The difference between yields of two debt securities with different maturity dates.</w:t>
      </w:r>
    </w:p>
  </w:footnote>
  <w:footnote w:id="2">
    <w:p w14:paraId="1013DD23" w14:textId="6310815A" w:rsidR="00D52943" w:rsidRPr="000B0BE4" w:rsidRDefault="00D52943">
      <w:pPr>
        <w:pStyle w:val="FootnoteText"/>
        <w:rPr>
          <w:lang w:val="en-CA"/>
        </w:rPr>
      </w:pPr>
      <w:r>
        <w:rPr>
          <w:rStyle w:val="FootnoteReference"/>
        </w:rPr>
        <w:footnoteRef/>
      </w:r>
      <w:r>
        <w:t xml:space="preserve"> </w:t>
      </w:r>
      <w:r>
        <w:rPr>
          <w:lang w:val="en-CA"/>
        </w:rPr>
        <w:t>Explanation of how the forward rate is calculated is included in section: Methodology 3.2.</w:t>
      </w:r>
    </w:p>
  </w:footnote>
  <w:footnote w:id="3">
    <w:p w14:paraId="51E03FD6" w14:textId="2A22CC45" w:rsidR="00D52943" w:rsidRPr="00FB1FF8" w:rsidRDefault="00D52943">
      <w:pPr>
        <w:pStyle w:val="FootnoteText"/>
        <w:rPr>
          <w:lang w:val="en-CA"/>
        </w:rPr>
      </w:pPr>
      <w:r>
        <w:rPr>
          <w:rStyle w:val="FootnoteReference"/>
        </w:rPr>
        <w:footnoteRef/>
      </w:r>
      <w:r>
        <w:t xml:space="preserve"> </w:t>
      </w:r>
      <w:r>
        <w:rPr>
          <w:lang w:val="en-CA"/>
        </w:rPr>
        <w:t>Other countries in the study include Belgium, France, Japan, Netherlands, U</w:t>
      </w:r>
      <w:r w:rsidR="00FB4751">
        <w:rPr>
          <w:lang w:val="en-CA"/>
        </w:rPr>
        <w:t>.</w:t>
      </w:r>
      <w:r>
        <w:rPr>
          <w:lang w:val="en-CA"/>
        </w:rPr>
        <w:t>K</w:t>
      </w:r>
      <w:r w:rsidR="00FB4751">
        <w:rPr>
          <w:lang w:val="en-CA"/>
        </w:rPr>
        <w:t>.</w:t>
      </w:r>
      <w:r>
        <w:rPr>
          <w:lang w:val="en-CA"/>
        </w:rPr>
        <w:t>, and U.S.</w:t>
      </w:r>
    </w:p>
  </w:footnote>
  <w:footnote w:id="4">
    <w:p w14:paraId="17FE3CDC" w14:textId="7465EBAA" w:rsidR="00D52943" w:rsidRPr="00603186" w:rsidRDefault="00D52943" w:rsidP="00ED4356">
      <w:pPr>
        <w:pStyle w:val="FootnoteText"/>
        <w:rPr>
          <w:lang w:val="en-CA"/>
        </w:rPr>
      </w:pPr>
      <w:r>
        <w:rPr>
          <w:rStyle w:val="FootnoteReference"/>
        </w:rPr>
        <w:footnoteRef/>
      </w:r>
      <w:r>
        <w:t xml:space="preserve"> </w:t>
      </w:r>
      <w:r>
        <w:rPr>
          <w:lang w:val="en-CA"/>
        </w:rPr>
        <w:t xml:space="preserve">Yield spread for this analysis is either the 10y-2y spread, the 10y-3m spread, or the near-term forward spread. </w:t>
      </w:r>
    </w:p>
  </w:footnote>
  <w:footnote w:id="5">
    <w:p w14:paraId="0F71899C" w14:textId="38F1224B" w:rsidR="00D52943" w:rsidRPr="009920CC" w:rsidRDefault="00D52943" w:rsidP="00ED4356">
      <w:pPr>
        <w:pStyle w:val="FootnoteText"/>
        <w:rPr>
          <w:lang w:val="en-CA"/>
        </w:rPr>
      </w:pPr>
      <w:r>
        <w:rPr>
          <w:rStyle w:val="FootnoteReference"/>
        </w:rPr>
        <w:footnoteRef/>
      </w:r>
      <w:r>
        <w:t xml:space="preserve"> </w:t>
      </w:r>
      <w:bookmarkStart w:id="13" w:name="_Hlk36636951"/>
      <w:r>
        <w:rPr>
          <w:lang w:val="en-CA"/>
        </w:rPr>
        <w:t>Estrella and Hardouvelis (1991), Estrella and Mishkin (1997), Haubrich and Dombrosky (1996), Bonser-Neal and Morley (1997), Dotsey (1998), Hamilton and Kim (2002), and Hvozdenska (2015).</w:t>
      </w:r>
      <w:bookmarkEnd w:id="13"/>
    </w:p>
  </w:footnote>
  <w:footnote w:id="6">
    <w:p w14:paraId="7FE29FAC" w14:textId="4512AACD" w:rsidR="00D52943" w:rsidRPr="00594DBC" w:rsidRDefault="00D52943">
      <w:pPr>
        <w:pStyle w:val="FootnoteText"/>
        <w:rPr>
          <w:lang w:val="en-CA"/>
        </w:rPr>
      </w:pPr>
      <w:r>
        <w:rPr>
          <w:rStyle w:val="FootnoteReference"/>
        </w:rPr>
        <w:footnoteRef/>
      </w:r>
      <w:r>
        <w:t xml:space="preserve"> </w:t>
      </w:r>
      <w:r>
        <w:rPr>
          <w:rFonts w:cs="Times New Roman"/>
          <w:sz w:val="24"/>
          <w:lang w:val="en-CA"/>
        </w:rPr>
        <w:t>Table 36-10-0105.</w:t>
      </w:r>
    </w:p>
  </w:footnote>
  <w:footnote w:id="7">
    <w:p w14:paraId="02085D27" w14:textId="55043387" w:rsidR="00D52943" w:rsidRPr="00594DBC" w:rsidRDefault="00D52943">
      <w:pPr>
        <w:pStyle w:val="FootnoteText"/>
        <w:rPr>
          <w:lang w:val="en-CA"/>
        </w:rPr>
      </w:pPr>
      <w:r>
        <w:rPr>
          <w:rStyle w:val="FootnoteReference"/>
        </w:rPr>
        <w:footnoteRef/>
      </w:r>
      <w:r>
        <w:t xml:space="preserve"> </w:t>
      </w:r>
      <w:r>
        <w:rPr>
          <w:rFonts w:cs="Times New Roman"/>
          <w:sz w:val="24"/>
          <w:lang w:val="en-CA"/>
        </w:rPr>
        <w:t xml:space="preserve">Table 18-10-0006. </w:t>
      </w:r>
    </w:p>
  </w:footnote>
  <w:footnote w:id="8">
    <w:p w14:paraId="3EDD3037" w14:textId="1ACC4833" w:rsidR="00D52943" w:rsidRPr="000077C6" w:rsidRDefault="00D52943">
      <w:pPr>
        <w:pStyle w:val="FootnoteText"/>
        <w:rPr>
          <w:lang w:val="en-CA"/>
        </w:rPr>
      </w:pPr>
      <w:r>
        <w:rPr>
          <w:rStyle w:val="FootnoteReference"/>
        </w:rPr>
        <w:footnoteRef/>
      </w:r>
      <w:r>
        <w:t xml:space="preserve"> Appendix B provides a breakdown of the component series used to define Canadian recessions based on the OECD’s methodology.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D09F82" w14:textId="734E06B9" w:rsidR="00D52943" w:rsidRDefault="00D52943">
    <w:pPr>
      <w:pStyle w:val="Header"/>
    </w:pPr>
    <w:r>
      <w:t xml:space="preserve">THE NEAR-TERM FORWARD SPREAD                                                                                  </w:t>
    </w:r>
    <w:r>
      <w:fldChar w:fldCharType="begin"/>
    </w:r>
    <w:r>
      <w:instrText xml:space="preserve"> PAGE   \* MERGEFORMAT </w:instrText>
    </w:r>
    <w:r>
      <w:fldChar w:fldCharType="separate"/>
    </w:r>
    <w:r>
      <w:rPr>
        <w:noProof/>
      </w:rPr>
      <w:t>32</w:t>
    </w:r>
    <w:r>
      <w:rPr>
        <w:noProof/>
      </w:rPr>
      <w:fldChar w:fldCharType="end"/>
    </w:r>
  </w:p>
  <w:p w14:paraId="04D31E90" w14:textId="5A9F49AD" w:rsidR="00D52943" w:rsidRDefault="00D529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45AE15" w14:textId="6752FABC" w:rsidR="00D52943" w:rsidRDefault="00D52943">
    <w:pPr>
      <w:pStyle w:val="Header"/>
      <w:jc w:val="right"/>
    </w:pPr>
  </w:p>
  <w:p w14:paraId="09246591" w14:textId="1B844D1A" w:rsidR="00D52943" w:rsidRPr="007A21D3" w:rsidRDefault="00D52943">
    <w:pPr>
      <w:pStyle w:val="Header"/>
      <w:rPr>
        <w:lang w:val="en-CA"/>
      </w:rPr>
    </w:pPr>
    <w:r>
      <w:rPr>
        <w:lang w:val="en-CA"/>
      </w:rPr>
      <w:t xml:space="preserve">Running head: NEAR-TERM FORWARD SPREAD                                                                    </w:t>
    </w:r>
    <w:r w:rsidRPr="007A21D3">
      <w:rPr>
        <w:lang w:val="en-CA"/>
      </w:rPr>
      <w:fldChar w:fldCharType="begin"/>
    </w:r>
    <w:r w:rsidRPr="007A21D3">
      <w:rPr>
        <w:lang w:val="en-CA"/>
      </w:rPr>
      <w:instrText xml:space="preserve"> PAGE   \* MERGEFORMAT </w:instrText>
    </w:r>
    <w:r w:rsidRPr="007A21D3">
      <w:rPr>
        <w:lang w:val="en-CA"/>
      </w:rPr>
      <w:fldChar w:fldCharType="separate"/>
    </w:r>
    <w:r>
      <w:rPr>
        <w:noProof/>
        <w:lang w:val="en-CA"/>
      </w:rPr>
      <w:t>1</w:t>
    </w:r>
    <w:r w:rsidRPr="007A21D3">
      <w:rPr>
        <w:noProof/>
        <w:lang w:val="en-C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12A4615C"/>
    <w:multiLevelType w:val="hybridMultilevel"/>
    <w:tmpl w:val="AFF828F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3F3F1E3A"/>
    <w:multiLevelType w:val="hybridMultilevel"/>
    <w:tmpl w:val="5A6C4AE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53A52B0F"/>
    <w:multiLevelType w:val="hybridMultilevel"/>
    <w:tmpl w:val="6FFCAE4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F657DB3"/>
    <w:multiLevelType w:val="hybridMultilevel"/>
    <w:tmpl w:val="CEDC7F7A"/>
    <w:lvl w:ilvl="0" w:tplc="00D09990">
      <w:start w:val="1"/>
      <w:numFmt w:val="lowerLetter"/>
      <w:lvlText w:val="%1."/>
      <w:lvlJc w:val="left"/>
      <w:pPr>
        <w:ind w:left="1080" w:hanging="360"/>
      </w:pPr>
      <w:rPr>
        <w:rFonts w:hint="default"/>
        <w:b w:val="0"/>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6" w15:restartNumberingAfterBreak="0">
    <w:nsid w:val="642C25C7"/>
    <w:multiLevelType w:val="hybridMultilevel"/>
    <w:tmpl w:val="37D4339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 w15:restartNumberingAfterBreak="0">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D771859"/>
    <w:multiLevelType w:val="hybridMultilevel"/>
    <w:tmpl w:val="6FFCAE4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0"/>
  </w:num>
  <w:num w:numId="2">
    <w:abstractNumId w:val="13"/>
  </w:num>
  <w:num w:numId="3">
    <w:abstractNumId w:val="19"/>
  </w:num>
  <w:num w:numId="4">
    <w:abstractNumId w:val="15"/>
  </w:num>
  <w:num w:numId="5">
    <w:abstractNumId w:val="16"/>
  </w:num>
  <w:num w:numId="6">
    <w:abstractNumId w:val="11"/>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9"/>
    <w:lvlOverride w:ilvl="0">
      <w:startOverride w:val="1"/>
    </w:lvlOverride>
  </w:num>
  <w:num w:numId="18">
    <w:abstractNumId w:val="18"/>
  </w:num>
  <w:num w:numId="19">
    <w:abstractNumId w:val="14"/>
  </w:num>
  <w:num w:numId="20">
    <w:abstractNumId w:val="12"/>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CA" w:vendorID="64" w:dllVersion="6" w:nlCheck="1" w:checkStyle="0"/>
  <w:activeWritingStyle w:appName="MSWord" w:lang="en-CA" w:vendorID="64" w:dllVersion="6" w:nlCheck="1" w:checkStyle="1"/>
  <w:activeWritingStyle w:appName="MSWord" w:lang="en-US" w:vendorID="64" w:dllVersion="6" w:nlCheck="1" w:checkStyle="1"/>
  <w:activeWritingStyle w:appName="MSWord" w:lang="en-US" w:vendorID="64" w:dllVersion="4096" w:nlCheck="1" w:checkStyle="0"/>
  <w:activeWritingStyle w:appName="MSWord" w:lang="en-CA" w:vendorID="64" w:dllVersion="4096" w:nlCheck="1" w:checkStyle="0"/>
  <w:activeWritingStyle w:appName="MSWord" w:lang="fr-CA" w:vendorID="64" w:dllVersion="4096" w:nlCheck="1" w:checkStyle="0"/>
  <w:activeWritingStyle w:appName="MSWord" w:lang="en-GB" w:vendorID="64" w:dllVersion="409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A" w:vendorID="64" w:dllVersion="0" w:nlCheck="1" w:checkStyle="0"/>
  <w:proofState w:grammar="clean"/>
  <w:attachedTemplate r:id="rId1"/>
  <w:linkStyl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4DD"/>
    <w:rsid w:val="00006EB1"/>
    <w:rsid w:val="000077C6"/>
    <w:rsid w:val="00010B89"/>
    <w:rsid w:val="00011624"/>
    <w:rsid w:val="000140A6"/>
    <w:rsid w:val="000149D0"/>
    <w:rsid w:val="000208D2"/>
    <w:rsid w:val="0002476E"/>
    <w:rsid w:val="0002581A"/>
    <w:rsid w:val="000313D8"/>
    <w:rsid w:val="00031F7B"/>
    <w:rsid w:val="000348A5"/>
    <w:rsid w:val="00046663"/>
    <w:rsid w:val="00050E85"/>
    <w:rsid w:val="000641EC"/>
    <w:rsid w:val="00071285"/>
    <w:rsid w:val="00080EC6"/>
    <w:rsid w:val="000848F6"/>
    <w:rsid w:val="000852EE"/>
    <w:rsid w:val="00087100"/>
    <w:rsid w:val="0008726F"/>
    <w:rsid w:val="00095014"/>
    <w:rsid w:val="00097C37"/>
    <w:rsid w:val="000A441B"/>
    <w:rsid w:val="000A5626"/>
    <w:rsid w:val="000B0BE4"/>
    <w:rsid w:val="000C0080"/>
    <w:rsid w:val="000C07F3"/>
    <w:rsid w:val="000C4299"/>
    <w:rsid w:val="000C6190"/>
    <w:rsid w:val="000C7C3D"/>
    <w:rsid w:val="000D55C4"/>
    <w:rsid w:val="000D669A"/>
    <w:rsid w:val="000E20FA"/>
    <w:rsid w:val="000E32EC"/>
    <w:rsid w:val="000E5435"/>
    <w:rsid w:val="000E7F8B"/>
    <w:rsid w:val="000F057B"/>
    <w:rsid w:val="000F302B"/>
    <w:rsid w:val="000F3B89"/>
    <w:rsid w:val="000F4482"/>
    <w:rsid w:val="00102920"/>
    <w:rsid w:val="001049C0"/>
    <w:rsid w:val="001051B6"/>
    <w:rsid w:val="00110297"/>
    <w:rsid w:val="0011085C"/>
    <w:rsid w:val="00110AC6"/>
    <w:rsid w:val="00110C88"/>
    <w:rsid w:val="00111B46"/>
    <w:rsid w:val="001136C5"/>
    <w:rsid w:val="001208AF"/>
    <w:rsid w:val="00123C9A"/>
    <w:rsid w:val="001312D8"/>
    <w:rsid w:val="00131950"/>
    <w:rsid w:val="00134C9B"/>
    <w:rsid w:val="00134D6B"/>
    <w:rsid w:val="001412E8"/>
    <w:rsid w:val="001552DA"/>
    <w:rsid w:val="001562F0"/>
    <w:rsid w:val="001566BF"/>
    <w:rsid w:val="00157C28"/>
    <w:rsid w:val="00160E8D"/>
    <w:rsid w:val="00166B98"/>
    <w:rsid w:val="001711A1"/>
    <w:rsid w:val="00174F75"/>
    <w:rsid w:val="0017630A"/>
    <w:rsid w:val="0018068D"/>
    <w:rsid w:val="00197AED"/>
    <w:rsid w:val="00197C0D"/>
    <w:rsid w:val="00197CAA"/>
    <w:rsid w:val="001A06C7"/>
    <w:rsid w:val="001A08C0"/>
    <w:rsid w:val="001A6C73"/>
    <w:rsid w:val="001B285F"/>
    <w:rsid w:val="001B29FA"/>
    <w:rsid w:val="001B3785"/>
    <w:rsid w:val="001B3A8A"/>
    <w:rsid w:val="001B4F78"/>
    <w:rsid w:val="001B7EB5"/>
    <w:rsid w:val="001C005D"/>
    <w:rsid w:val="001C0796"/>
    <w:rsid w:val="001C3B78"/>
    <w:rsid w:val="001C5C65"/>
    <w:rsid w:val="001C5F21"/>
    <w:rsid w:val="001D0CD4"/>
    <w:rsid w:val="001D133D"/>
    <w:rsid w:val="001D730B"/>
    <w:rsid w:val="001E0F24"/>
    <w:rsid w:val="001E6FA6"/>
    <w:rsid w:val="001E76FF"/>
    <w:rsid w:val="001F64E5"/>
    <w:rsid w:val="001F6AEF"/>
    <w:rsid w:val="001F70D0"/>
    <w:rsid w:val="001F7FB0"/>
    <w:rsid w:val="002009DC"/>
    <w:rsid w:val="00203296"/>
    <w:rsid w:val="00203425"/>
    <w:rsid w:val="002042FB"/>
    <w:rsid w:val="0021001C"/>
    <w:rsid w:val="002116FF"/>
    <w:rsid w:val="002266D4"/>
    <w:rsid w:val="0023022D"/>
    <w:rsid w:val="00230AB8"/>
    <w:rsid w:val="0023613D"/>
    <w:rsid w:val="0024125A"/>
    <w:rsid w:val="0024134E"/>
    <w:rsid w:val="00241853"/>
    <w:rsid w:val="00243776"/>
    <w:rsid w:val="00246938"/>
    <w:rsid w:val="0025035F"/>
    <w:rsid w:val="00254CAC"/>
    <w:rsid w:val="00262DFD"/>
    <w:rsid w:val="00265387"/>
    <w:rsid w:val="002662FB"/>
    <w:rsid w:val="00275528"/>
    <w:rsid w:val="00281A52"/>
    <w:rsid w:val="00285027"/>
    <w:rsid w:val="00292A23"/>
    <w:rsid w:val="002A4931"/>
    <w:rsid w:val="002B0C4B"/>
    <w:rsid w:val="002B2518"/>
    <w:rsid w:val="002B323D"/>
    <w:rsid w:val="002B3472"/>
    <w:rsid w:val="002B3A36"/>
    <w:rsid w:val="002B6C36"/>
    <w:rsid w:val="002C0612"/>
    <w:rsid w:val="002C0714"/>
    <w:rsid w:val="002D2119"/>
    <w:rsid w:val="002D4514"/>
    <w:rsid w:val="002D5C87"/>
    <w:rsid w:val="002D71FA"/>
    <w:rsid w:val="002E6FFB"/>
    <w:rsid w:val="002E7CD2"/>
    <w:rsid w:val="002F1108"/>
    <w:rsid w:val="002F16C9"/>
    <w:rsid w:val="002F2DA4"/>
    <w:rsid w:val="002F66A8"/>
    <w:rsid w:val="002F7385"/>
    <w:rsid w:val="0030222E"/>
    <w:rsid w:val="00311F58"/>
    <w:rsid w:val="00314D8C"/>
    <w:rsid w:val="00315199"/>
    <w:rsid w:val="00321F38"/>
    <w:rsid w:val="0032217D"/>
    <w:rsid w:val="00322EE8"/>
    <w:rsid w:val="0032320D"/>
    <w:rsid w:val="00323FD3"/>
    <w:rsid w:val="00330347"/>
    <w:rsid w:val="00334D57"/>
    <w:rsid w:val="00342E90"/>
    <w:rsid w:val="003504E9"/>
    <w:rsid w:val="00352658"/>
    <w:rsid w:val="00364C3D"/>
    <w:rsid w:val="00365CBC"/>
    <w:rsid w:val="00372714"/>
    <w:rsid w:val="00372D98"/>
    <w:rsid w:val="00374A09"/>
    <w:rsid w:val="0037657B"/>
    <w:rsid w:val="0037670A"/>
    <w:rsid w:val="00381C3D"/>
    <w:rsid w:val="0038313F"/>
    <w:rsid w:val="0038549B"/>
    <w:rsid w:val="003874AA"/>
    <w:rsid w:val="003A5281"/>
    <w:rsid w:val="003B1D26"/>
    <w:rsid w:val="003B3E34"/>
    <w:rsid w:val="003B4432"/>
    <w:rsid w:val="003C0FD3"/>
    <w:rsid w:val="003C27DB"/>
    <w:rsid w:val="003C4F32"/>
    <w:rsid w:val="003C5A49"/>
    <w:rsid w:val="003D1A6F"/>
    <w:rsid w:val="003D4253"/>
    <w:rsid w:val="003D5D98"/>
    <w:rsid w:val="003D6486"/>
    <w:rsid w:val="003D772D"/>
    <w:rsid w:val="003E3616"/>
    <w:rsid w:val="003E598D"/>
    <w:rsid w:val="003F0860"/>
    <w:rsid w:val="003F1A4D"/>
    <w:rsid w:val="003F31C9"/>
    <w:rsid w:val="003F6512"/>
    <w:rsid w:val="00400FD2"/>
    <w:rsid w:val="00402B90"/>
    <w:rsid w:val="0041164D"/>
    <w:rsid w:val="004143C1"/>
    <w:rsid w:val="00414F9D"/>
    <w:rsid w:val="00417C18"/>
    <w:rsid w:val="004319CF"/>
    <w:rsid w:val="00434DCA"/>
    <w:rsid w:val="00435A15"/>
    <w:rsid w:val="00440314"/>
    <w:rsid w:val="0044490B"/>
    <w:rsid w:val="0044723A"/>
    <w:rsid w:val="0045057E"/>
    <w:rsid w:val="004518ED"/>
    <w:rsid w:val="00456BB2"/>
    <w:rsid w:val="004605E0"/>
    <w:rsid w:val="00461D46"/>
    <w:rsid w:val="00464F21"/>
    <w:rsid w:val="00465597"/>
    <w:rsid w:val="0046686F"/>
    <w:rsid w:val="00470E9B"/>
    <w:rsid w:val="00475E29"/>
    <w:rsid w:val="00476BDC"/>
    <w:rsid w:val="00477297"/>
    <w:rsid w:val="004800C5"/>
    <w:rsid w:val="00480155"/>
    <w:rsid w:val="004814A0"/>
    <w:rsid w:val="0048526F"/>
    <w:rsid w:val="00486195"/>
    <w:rsid w:val="004863C2"/>
    <w:rsid w:val="0048678E"/>
    <w:rsid w:val="00494909"/>
    <w:rsid w:val="004A1A89"/>
    <w:rsid w:val="004A36B6"/>
    <w:rsid w:val="004A6C5D"/>
    <w:rsid w:val="004B4457"/>
    <w:rsid w:val="004B7702"/>
    <w:rsid w:val="004B7971"/>
    <w:rsid w:val="004C08CF"/>
    <w:rsid w:val="004C6EC4"/>
    <w:rsid w:val="004D1CF5"/>
    <w:rsid w:val="004D4EF8"/>
    <w:rsid w:val="004E2E7D"/>
    <w:rsid w:val="004E4F38"/>
    <w:rsid w:val="004F280C"/>
    <w:rsid w:val="004F2824"/>
    <w:rsid w:val="00503103"/>
    <w:rsid w:val="00506C7B"/>
    <w:rsid w:val="005117B0"/>
    <w:rsid w:val="0053092F"/>
    <w:rsid w:val="00530E05"/>
    <w:rsid w:val="00531CC2"/>
    <w:rsid w:val="00536017"/>
    <w:rsid w:val="005377DE"/>
    <w:rsid w:val="00541FB5"/>
    <w:rsid w:val="00556CA7"/>
    <w:rsid w:val="00562AD7"/>
    <w:rsid w:val="00564882"/>
    <w:rsid w:val="00573C52"/>
    <w:rsid w:val="00574631"/>
    <w:rsid w:val="00575FFB"/>
    <w:rsid w:val="0057660A"/>
    <w:rsid w:val="005814C3"/>
    <w:rsid w:val="005820FD"/>
    <w:rsid w:val="005830D4"/>
    <w:rsid w:val="00585797"/>
    <w:rsid w:val="00586020"/>
    <w:rsid w:val="005947DF"/>
    <w:rsid w:val="00594DBC"/>
    <w:rsid w:val="00594E2B"/>
    <w:rsid w:val="00594E5A"/>
    <w:rsid w:val="00594FBF"/>
    <w:rsid w:val="00595B31"/>
    <w:rsid w:val="00596974"/>
    <w:rsid w:val="005979DB"/>
    <w:rsid w:val="005A04E8"/>
    <w:rsid w:val="005A67B8"/>
    <w:rsid w:val="005B5D11"/>
    <w:rsid w:val="005C379A"/>
    <w:rsid w:val="005C7872"/>
    <w:rsid w:val="005D13A0"/>
    <w:rsid w:val="005D56FC"/>
    <w:rsid w:val="005E05BB"/>
    <w:rsid w:val="005E11AE"/>
    <w:rsid w:val="005E128F"/>
    <w:rsid w:val="005E1A84"/>
    <w:rsid w:val="005E1B87"/>
    <w:rsid w:val="005E1D4C"/>
    <w:rsid w:val="005E3B09"/>
    <w:rsid w:val="005E49B7"/>
    <w:rsid w:val="005F36E5"/>
    <w:rsid w:val="005F39D5"/>
    <w:rsid w:val="005F4CD2"/>
    <w:rsid w:val="005F514F"/>
    <w:rsid w:val="005F644C"/>
    <w:rsid w:val="00602BB8"/>
    <w:rsid w:val="00603186"/>
    <w:rsid w:val="00603DD8"/>
    <w:rsid w:val="00605A92"/>
    <w:rsid w:val="00606368"/>
    <w:rsid w:val="00610EBF"/>
    <w:rsid w:val="0061111C"/>
    <w:rsid w:val="006141B0"/>
    <w:rsid w:val="006148E9"/>
    <w:rsid w:val="00615D89"/>
    <w:rsid w:val="00616F84"/>
    <w:rsid w:val="0062015A"/>
    <w:rsid w:val="00623E75"/>
    <w:rsid w:val="00624782"/>
    <w:rsid w:val="0062746F"/>
    <w:rsid w:val="00627D4D"/>
    <w:rsid w:val="00630B45"/>
    <w:rsid w:val="00630BDF"/>
    <w:rsid w:val="0063589B"/>
    <w:rsid w:val="00641957"/>
    <w:rsid w:val="00641CC4"/>
    <w:rsid w:val="00641FCC"/>
    <w:rsid w:val="0064287C"/>
    <w:rsid w:val="00642E97"/>
    <w:rsid w:val="006434B5"/>
    <w:rsid w:val="006443D3"/>
    <w:rsid w:val="00644400"/>
    <w:rsid w:val="00653F64"/>
    <w:rsid w:val="00655514"/>
    <w:rsid w:val="00657A29"/>
    <w:rsid w:val="00661792"/>
    <w:rsid w:val="0066416F"/>
    <w:rsid w:val="006706D6"/>
    <w:rsid w:val="00671004"/>
    <w:rsid w:val="0067131C"/>
    <w:rsid w:val="00673BAF"/>
    <w:rsid w:val="0069390B"/>
    <w:rsid w:val="006959BB"/>
    <w:rsid w:val="00697AE8"/>
    <w:rsid w:val="006B10E7"/>
    <w:rsid w:val="006B12C4"/>
    <w:rsid w:val="006B2B7B"/>
    <w:rsid w:val="006B369F"/>
    <w:rsid w:val="006B49C6"/>
    <w:rsid w:val="006B4F56"/>
    <w:rsid w:val="006B5B91"/>
    <w:rsid w:val="006B6526"/>
    <w:rsid w:val="006D0131"/>
    <w:rsid w:val="006D1B42"/>
    <w:rsid w:val="006D2852"/>
    <w:rsid w:val="006D5A4A"/>
    <w:rsid w:val="006D620D"/>
    <w:rsid w:val="006E2207"/>
    <w:rsid w:val="006E488A"/>
    <w:rsid w:val="006E49C5"/>
    <w:rsid w:val="006E49FE"/>
    <w:rsid w:val="007057DF"/>
    <w:rsid w:val="007151CB"/>
    <w:rsid w:val="007162A6"/>
    <w:rsid w:val="00726FD7"/>
    <w:rsid w:val="00733461"/>
    <w:rsid w:val="00736A51"/>
    <w:rsid w:val="00741D67"/>
    <w:rsid w:val="007463B8"/>
    <w:rsid w:val="00750DB7"/>
    <w:rsid w:val="00757840"/>
    <w:rsid w:val="007604DD"/>
    <w:rsid w:val="00763E2B"/>
    <w:rsid w:val="00763F4D"/>
    <w:rsid w:val="007670B2"/>
    <w:rsid w:val="007720DA"/>
    <w:rsid w:val="00773218"/>
    <w:rsid w:val="00775E5C"/>
    <w:rsid w:val="0077637B"/>
    <w:rsid w:val="00777877"/>
    <w:rsid w:val="00781C40"/>
    <w:rsid w:val="00782763"/>
    <w:rsid w:val="00785994"/>
    <w:rsid w:val="00787179"/>
    <w:rsid w:val="00791186"/>
    <w:rsid w:val="00791914"/>
    <w:rsid w:val="007942DD"/>
    <w:rsid w:val="007A21D3"/>
    <w:rsid w:val="007A38C0"/>
    <w:rsid w:val="007B0BC3"/>
    <w:rsid w:val="007B12C5"/>
    <w:rsid w:val="007C6676"/>
    <w:rsid w:val="007D4F42"/>
    <w:rsid w:val="007E027B"/>
    <w:rsid w:val="007E587B"/>
    <w:rsid w:val="007F0366"/>
    <w:rsid w:val="007F0AAE"/>
    <w:rsid w:val="007F3C03"/>
    <w:rsid w:val="007F5753"/>
    <w:rsid w:val="007F5CE0"/>
    <w:rsid w:val="007F71AF"/>
    <w:rsid w:val="008015D4"/>
    <w:rsid w:val="00803E5C"/>
    <w:rsid w:val="00814448"/>
    <w:rsid w:val="00816035"/>
    <w:rsid w:val="008205CA"/>
    <w:rsid w:val="0082107A"/>
    <w:rsid w:val="008257B3"/>
    <w:rsid w:val="00825BB2"/>
    <w:rsid w:val="0082660F"/>
    <w:rsid w:val="00826A99"/>
    <w:rsid w:val="00841436"/>
    <w:rsid w:val="00845995"/>
    <w:rsid w:val="00855DD4"/>
    <w:rsid w:val="00856CE1"/>
    <w:rsid w:val="008636AC"/>
    <w:rsid w:val="00876FFE"/>
    <w:rsid w:val="008776A1"/>
    <w:rsid w:val="00883023"/>
    <w:rsid w:val="008835A7"/>
    <w:rsid w:val="00893B9A"/>
    <w:rsid w:val="008941D5"/>
    <w:rsid w:val="00894A15"/>
    <w:rsid w:val="008961B0"/>
    <w:rsid w:val="008A1161"/>
    <w:rsid w:val="008A36BC"/>
    <w:rsid w:val="008A38CF"/>
    <w:rsid w:val="008A518A"/>
    <w:rsid w:val="008A6085"/>
    <w:rsid w:val="008B273A"/>
    <w:rsid w:val="008B6F8B"/>
    <w:rsid w:val="008C7BC9"/>
    <w:rsid w:val="008D084A"/>
    <w:rsid w:val="008D12CE"/>
    <w:rsid w:val="008D1D52"/>
    <w:rsid w:val="008D4DBE"/>
    <w:rsid w:val="008E0915"/>
    <w:rsid w:val="008E13AC"/>
    <w:rsid w:val="008E1574"/>
    <w:rsid w:val="008E42F6"/>
    <w:rsid w:val="008E4F28"/>
    <w:rsid w:val="008E6EBF"/>
    <w:rsid w:val="008F1078"/>
    <w:rsid w:val="008F46CC"/>
    <w:rsid w:val="008F5B69"/>
    <w:rsid w:val="008F5D8A"/>
    <w:rsid w:val="008F6040"/>
    <w:rsid w:val="009021B5"/>
    <w:rsid w:val="00902781"/>
    <w:rsid w:val="00904CC0"/>
    <w:rsid w:val="00907239"/>
    <w:rsid w:val="00914057"/>
    <w:rsid w:val="009142B3"/>
    <w:rsid w:val="009142EC"/>
    <w:rsid w:val="00914A57"/>
    <w:rsid w:val="009250E2"/>
    <w:rsid w:val="00925EF3"/>
    <w:rsid w:val="00926A5A"/>
    <w:rsid w:val="00926EBC"/>
    <w:rsid w:val="00930084"/>
    <w:rsid w:val="00931E67"/>
    <w:rsid w:val="00932772"/>
    <w:rsid w:val="009352FB"/>
    <w:rsid w:val="00936D4A"/>
    <w:rsid w:val="00937CBD"/>
    <w:rsid w:val="00940DAD"/>
    <w:rsid w:val="00947236"/>
    <w:rsid w:val="009511AB"/>
    <w:rsid w:val="00954A11"/>
    <w:rsid w:val="0096031F"/>
    <w:rsid w:val="00962F7D"/>
    <w:rsid w:val="00964D28"/>
    <w:rsid w:val="00966EB9"/>
    <w:rsid w:val="00970249"/>
    <w:rsid w:val="00971BD8"/>
    <w:rsid w:val="00972EDD"/>
    <w:rsid w:val="00976459"/>
    <w:rsid w:val="00976908"/>
    <w:rsid w:val="00982016"/>
    <w:rsid w:val="00986BF5"/>
    <w:rsid w:val="009904A6"/>
    <w:rsid w:val="009920CC"/>
    <w:rsid w:val="00992C51"/>
    <w:rsid w:val="00994FD6"/>
    <w:rsid w:val="009956D3"/>
    <w:rsid w:val="009958EB"/>
    <w:rsid w:val="00997CC4"/>
    <w:rsid w:val="009A4B70"/>
    <w:rsid w:val="009A6D73"/>
    <w:rsid w:val="009B08D8"/>
    <w:rsid w:val="009B29A9"/>
    <w:rsid w:val="009B4EE6"/>
    <w:rsid w:val="009B504F"/>
    <w:rsid w:val="009B5FD6"/>
    <w:rsid w:val="009C4B5A"/>
    <w:rsid w:val="009C7766"/>
    <w:rsid w:val="009D5B00"/>
    <w:rsid w:val="009D5C66"/>
    <w:rsid w:val="009E123F"/>
    <w:rsid w:val="009E3F19"/>
    <w:rsid w:val="009F139A"/>
    <w:rsid w:val="009F3C68"/>
    <w:rsid w:val="009F6FE8"/>
    <w:rsid w:val="00A000D5"/>
    <w:rsid w:val="00A02A56"/>
    <w:rsid w:val="00A03664"/>
    <w:rsid w:val="00A15CDD"/>
    <w:rsid w:val="00A209C5"/>
    <w:rsid w:val="00A27839"/>
    <w:rsid w:val="00A32F76"/>
    <w:rsid w:val="00A346B3"/>
    <w:rsid w:val="00A36291"/>
    <w:rsid w:val="00A43633"/>
    <w:rsid w:val="00A43832"/>
    <w:rsid w:val="00A43B41"/>
    <w:rsid w:val="00A60450"/>
    <w:rsid w:val="00A62691"/>
    <w:rsid w:val="00A62BE8"/>
    <w:rsid w:val="00A63107"/>
    <w:rsid w:val="00A6326F"/>
    <w:rsid w:val="00A64150"/>
    <w:rsid w:val="00A70BC8"/>
    <w:rsid w:val="00A713EB"/>
    <w:rsid w:val="00A72B39"/>
    <w:rsid w:val="00A7413F"/>
    <w:rsid w:val="00A74C50"/>
    <w:rsid w:val="00A761CC"/>
    <w:rsid w:val="00A76742"/>
    <w:rsid w:val="00A8104E"/>
    <w:rsid w:val="00A87358"/>
    <w:rsid w:val="00A93C1B"/>
    <w:rsid w:val="00AA5B6A"/>
    <w:rsid w:val="00AA716F"/>
    <w:rsid w:val="00AA72C0"/>
    <w:rsid w:val="00AA7741"/>
    <w:rsid w:val="00AB4000"/>
    <w:rsid w:val="00AB7A2A"/>
    <w:rsid w:val="00AB7E04"/>
    <w:rsid w:val="00AC0696"/>
    <w:rsid w:val="00AC139B"/>
    <w:rsid w:val="00AC241D"/>
    <w:rsid w:val="00AC2D9F"/>
    <w:rsid w:val="00AC6D2B"/>
    <w:rsid w:val="00AD04D1"/>
    <w:rsid w:val="00AD1ECB"/>
    <w:rsid w:val="00AD3BB5"/>
    <w:rsid w:val="00AD4A3A"/>
    <w:rsid w:val="00AE388A"/>
    <w:rsid w:val="00AE5D83"/>
    <w:rsid w:val="00AF03C6"/>
    <w:rsid w:val="00AF0E41"/>
    <w:rsid w:val="00AF1F79"/>
    <w:rsid w:val="00AF30EF"/>
    <w:rsid w:val="00AF3F70"/>
    <w:rsid w:val="00AF4323"/>
    <w:rsid w:val="00AF5002"/>
    <w:rsid w:val="00AF70EE"/>
    <w:rsid w:val="00B05A6A"/>
    <w:rsid w:val="00B131D6"/>
    <w:rsid w:val="00B1631F"/>
    <w:rsid w:val="00B205FE"/>
    <w:rsid w:val="00B23C48"/>
    <w:rsid w:val="00B23C8F"/>
    <w:rsid w:val="00B248B2"/>
    <w:rsid w:val="00B25D0F"/>
    <w:rsid w:val="00B3300C"/>
    <w:rsid w:val="00B35925"/>
    <w:rsid w:val="00B403DA"/>
    <w:rsid w:val="00B43DDB"/>
    <w:rsid w:val="00B448B1"/>
    <w:rsid w:val="00B55D14"/>
    <w:rsid w:val="00B604F8"/>
    <w:rsid w:val="00B62641"/>
    <w:rsid w:val="00B6502C"/>
    <w:rsid w:val="00B66D60"/>
    <w:rsid w:val="00B730C3"/>
    <w:rsid w:val="00B7380A"/>
    <w:rsid w:val="00B75D32"/>
    <w:rsid w:val="00B81273"/>
    <w:rsid w:val="00B8473C"/>
    <w:rsid w:val="00B866EA"/>
    <w:rsid w:val="00B86D3A"/>
    <w:rsid w:val="00B90C0D"/>
    <w:rsid w:val="00B91FF6"/>
    <w:rsid w:val="00BA058A"/>
    <w:rsid w:val="00BA5D23"/>
    <w:rsid w:val="00BB582A"/>
    <w:rsid w:val="00BB5A4C"/>
    <w:rsid w:val="00BB68C2"/>
    <w:rsid w:val="00BC5C32"/>
    <w:rsid w:val="00BC714C"/>
    <w:rsid w:val="00BD2070"/>
    <w:rsid w:val="00BE0AAE"/>
    <w:rsid w:val="00BE5EEB"/>
    <w:rsid w:val="00BE6774"/>
    <w:rsid w:val="00BF2E4C"/>
    <w:rsid w:val="00BF5614"/>
    <w:rsid w:val="00BF59BE"/>
    <w:rsid w:val="00BF60BE"/>
    <w:rsid w:val="00BF7D73"/>
    <w:rsid w:val="00C01078"/>
    <w:rsid w:val="00C01279"/>
    <w:rsid w:val="00C01354"/>
    <w:rsid w:val="00C016EB"/>
    <w:rsid w:val="00C01DA7"/>
    <w:rsid w:val="00C01F55"/>
    <w:rsid w:val="00C02D7B"/>
    <w:rsid w:val="00C03F2F"/>
    <w:rsid w:val="00C069FC"/>
    <w:rsid w:val="00C100F4"/>
    <w:rsid w:val="00C12DF1"/>
    <w:rsid w:val="00C14467"/>
    <w:rsid w:val="00C14CE2"/>
    <w:rsid w:val="00C15F93"/>
    <w:rsid w:val="00C17A98"/>
    <w:rsid w:val="00C3188A"/>
    <w:rsid w:val="00C32845"/>
    <w:rsid w:val="00C43B11"/>
    <w:rsid w:val="00C44D9D"/>
    <w:rsid w:val="00C547DC"/>
    <w:rsid w:val="00C64A97"/>
    <w:rsid w:val="00C6729F"/>
    <w:rsid w:val="00C71985"/>
    <w:rsid w:val="00C74F9C"/>
    <w:rsid w:val="00C7734F"/>
    <w:rsid w:val="00C8172C"/>
    <w:rsid w:val="00C8731F"/>
    <w:rsid w:val="00C94EA8"/>
    <w:rsid w:val="00C95278"/>
    <w:rsid w:val="00CA5BC6"/>
    <w:rsid w:val="00CB44C9"/>
    <w:rsid w:val="00CC0640"/>
    <w:rsid w:val="00CD063A"/>
    <w:rsid w:val="00CD1D46"/>
    <w:rsid w:val="00CD4765"/>
    <w:rsid w:val="00CD5467"/>
    <w:rsid w:val="00CD5B25"/>
    <w:rsid w:val="00CD5D52"/>
    <w:rsid w:val="00CD6A15"/>
    <w:rsid w:val="00CD6E61"/>
    <w:rsid w:val="00CE08D5"/>
    <w:rsid w:val="00CE1D7F"/>
    <w:rsid w:val="00CE640B"/>
    <w:rsid w:val="00CE6C8D"/>
    <w:rsid w:val="00CE70D7"/>
    <w:rsid w:val="00CE7EFE"/>
    <w:rsid w:val="00CF0151"/>
    <w:rsid w:val="00CF687D"/>
    <w:rsid w:val="00CF7629"/>
    <w:rsid w:val="00D00225"/>
    <w:rsid w:val="00D026C7"/>
    <w:rsid w:val="00D0689C"/>
    <w:rsid w:val="00D06985"/>
    <w:rsid w:val="00D06D8C"/>
    <w:rsid w:val="00D070B3"/>
    <w:rsid w:val="00D13329"/>
    <w:rsid w:val="00D1380E"/>
    <w:rsid w:val="00D17D49"/>
    <w:rsid w:val="00D21ACA"/>
    <w:rsid w:val="00D223FC"/>
    <w:rsid w:val="00D25062"/>
    <w:rsid w:val="00D30463"/>
    <w:rsid w:val="00D32965"/>
    <w:rsid w:val="00D33E96"/>
    <w:rsid w:val="00D3497E"/>
    <w:rsid w:val="00D37B9D"/>
    <w:rsid w:val="00D413EC"/>
    <w:rsid w:val="00D52943"/>
    <w:rsid w:val="00D71369"/>
    <w:rsid w:val="00D74AAE"/>
    <w:rsid w:val="00D866B6"/>
    <w:rsid w:val="00D90A01"/>
    <w:rsid w:val="00D94955"/>
    <w:rsid w:val="00D9702A"/>
    <w:rsid w:val="00D9751D"/>
    <w:rsid w:val="00DA26E0"/>
    <w:rsid w:val="00DA5E82"/>
    <w:rsid w:val="00DA6535"/>
    <w:rsid w:val="00DA6BF2"/>
    <w:rsid w:val="00DB23AC"/>
    <w:rsid w:val="00DB3C09"/>
    <w:rsid w:val="00DC3947"/>
    <w:rsid w:val="00DD3599"/>
    <w:rsid w:val="00DD3DFE"/>
    <w:rsid w:val="00DD5B2D"/>
    <w:rsid w:val="00DE0E5C"/>
    <w:rsid w:val="00DE2CF5"/>
    <w:rsid w:val="00DE5301"/>
    <w:rsid w:val="00DE57A5"/>
    <w:rsid w:val="00DF1D09"/>
    <w:rsid w:val="00DF25F0"/>
    <w:rsid w:val="00DF5705"/>
    <w:rsid w:val="00E026D5"/>
    <w:rsid w:val="00E03882"/>
    <w:rsid w:val="00E06CD9"/>
    <w:rsid w:val="00E1533C"/>
    <w:rsid w:val="00E21552"/>
    <w:rsid w:val="00E2444B"/>
    <w:rsid w:val="00E26B95"/>
    <w:rsid w:val="00E3125B"/>
    <w:rsid w:val="00E31309"/>
    <w:rsid w:val="00E31F78"/>
    <w:rsid w:val="00E33920"/>
    <w:rsid w:val="00E33F59"/>
    <w:rsid w:val="00E35E2B"/>
    <w:rsid w:val="00E42BB0"/>
    <w:rsid w:val="00E431EC"/>
    <w:rsid w:val="00E445FF"/>
    <w:rsid w:val="00E45A8A"/>
    <w:rsid w:val="00E51874"/>
    <w:rsid w:val="00E60362"/>
    <w:rsid w:val="00E60A68"/>
    <w:rsid w:val="00E6501F"/>
    <w:rsid w:val="00E72E43"/>
    <w:rsid w:val="00E74608"/>
    <w:rsid w:val="00E7787E"/>
    <w:rsid w:val="00E908D2"/>
    <w:rsid w:val="00E90C0A"/>
    <w:rsid w:val="00E92198"/>
    <w:rsid w:val="00E97FCD"/>
    <w:rsid w:val="00EA0D0B"/>
    <w:rsid w:val="00EA2754"/>
    <w:rsid w:val="00EA2F14"/>
    <w:rsid w:val="00EB1B3C"/>
    <w:rsid w:val="00EB259B"/>
    <w:rsid w:val="00EB528D"/>
    <w:rsid w:val="00EB5902"/>
    <w:rsid w:val="00EB674B"/>
    <w:rsid w:val="00EB70DF"/>
    <w:rsid w:val="00EC1B57"/>
    <w:rsid w:val="00EC3C40"/>
    <w:rsid w:val="00EC3D04"/>
    <w:rsid w:val="00EC5371"/>
    <w:rsid w:val="00EC5E64"/>
    <w:rsid w:val="00EC7BB5"/>
    <w:rsid w:val="00ED1975"/>
    <w:rsid w:val="00ED1EA3"/>
    <w:rsid w:val="00ED2E9A"/>
    <w:rsid w:val="00ED4356"/>
    <w:rsid w:val="00ED5298"/>
    <w:rsid w:val="00ED5573"/>
    <w:rsid w:val="00EE4D99"/>
    <w:rsid w:val="00EE55D3"/>
    <w:rsid w:val="00EE62D4"/>
    <w:rsid w:val="00EE756A"/>
    <w:rsid w:val="00EF38B4"/>
    <w:rsid w:val="00EF4839"/>
    <w:rsid w:val="00F025C2"/>
    <w:rsid w:val="00F10756"/>
    <w:rsid w:val="00F11343"/>
    <w:rsid w:val="00F12726"/>
    <w:rsid w:val="00F15BA4"/>
    <w:rsid w:val="00F17B04"/>
    <w:rsid w:val="00F22782"/>
    <w:rsid w:val="00F30499"/>
    <w:rsid w:val="00F36D5F"/>
    <w:rsid w:val="00F40EB5"/>
    <w:rsid w:val="00F447A4"/>
    <w:rsid w:val="00F4552E"/>
    <w:rsid w:val="00F460C4"/>
    <w:rsid w:val="00F47CFA"/>
    <w:rsid w:val="00F57653"/>
    <w:rsid w:val="00F64A26"/>
    <w:rsid w:val="00F65A20"/>
    <w:rsid w:val="00F65E80"/>
    <w:rsid w:val="00F72298"/>
    <w:rsid w:val="00F75FB2"/>
    <w:rsid w:val="00F813AE"/>
    <w:rsid w:val="00F83762"/>
    <w:rsid w:val="00F85046"/>
    <w:rsid w:val="00F95907"/>
    <w:rsid w:val="00FB1C7A"/>
    <w:rsid w:val="00FB1FF8"/>
    <w:rsid w:val="00FB4751"/>
    <w:rsid w:val="00FC0E71"/>
    <w:rsid w:val="00FC232D"/>
    <w:rsid w:val="00FC415D"/>
    <w:rsid w:val="00FD0B8D"/>
    <w:rsid w:val="00FD2AC1"/>
    <w:rsid w:val="00FD53F2"/>
    <w:rsid w:val="00FD7F16"/>
    <w:rsid w:val="00FE1C2F"/>
    <w:rsid w:val="00FE219D"/>
    <w:rsid w:val="00FE3E1B"/>
    <w:rsid w:val="00FE3E2F"/>
    <w:rsid w:val="00FE42A5"/>
    <w:rsid w:val="00FF01F3"/>
    <w:rsid w:val="00FF2453"/>
    <w:rsid w:val="00FF470E"/>
    <w:rsid w:val="00FF6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81F50"/>
  <w15:docId w15:val="{614F3C6F-074A-4671-AF7B-12E5B9C45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4" w:qFormat="1"/>
    <w:lsdException w:name="heading 2" w:semiHidden="1" w:uiPriority="4"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lsdException w:name="List Number" w:semiHidden="1" w:uiPriority="9"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PA Normal"/>
    <w:qFormat/>
    <w:rsid w:val="00C547DC"/>
    <w:pPr>
      <w:spacing w:after="0" w:line="360" w:lineRule="auto"/>
    </w:pPr>
    <w:rPr>
      <w:rFonts w:ascii="Times New Roman" w:eastAsiaTheme="minorHAnsi" w:hAnsi="Times New Roman"/>
      <w:sz w:val="24"/>
      <w:szCs w:val="24"/>
      <w:lang w:val="en-GB"/>
    </w:rPr>
  </w:style>
  <w:style w:type="paragraph" w:styleId="Heading1">
    <w:name w:val="heading 1"/>
    <w:aliases w:val="APA Heading 1"/>
    <w:basedOn w:val="Normal"/>
    <w:next w:val="Normal"/>
    <w:link w:val="Heading1Char"/>
    <w:uiPriority w:val="4"/>
    <w:qFormat/>
    <w:rsid w:val="00C547DC"/>
    <w:pPr>
      <w:keepNext/>
      <w:keepLines/>
      <w:pageBreakBefore/>
      <w:spacing w:line="480" w:lineRule="auto"/>
      <w:jc w:val="center"/>
      <w:outlineLvl w:val="0"/>
    </w:pPr>
    <w:rPr>
      <w:rFonts w:eastAsiaTheme="majorEastAsia" w:cstheme="majorBidi"/>
      <w:b/>
      <w:bCs/>
      <w:kern w:val="24"/>
      <w:lang w:val="en-US" w:eastAsia="ja-JP"/>
    </w:rPr>
  </w:style>
  <w:style w:type="paragraph" w:styleId="Heading2">
    <w:name w:val="heading 2"/>
    <w:aliases w:val="APA Heading 2"/>
    <w:basedOn w:val="Normal"/>
    <w:next w:val="Normal"/>
    <w:link w:val="Heading2Char"/>
    <w:uiPriority w:val="4"/>
    <w:unhideWhenUsed/>
    <w:qFormat/>
    <w:rsid w:val="00C547DC"/>
    <w:pPr>
      <w:keepNext/>
      <w:keepLines/>
      <w:spacing w:line="480" w:lineRule="auto"/>
      <w:outlineLvl w:val="1"/>
    </w:pPr>
    <w:rPr>
      <w:rFonts w:eastAsiaTheme="majorEastAsia" w:cstheme="majorBidi"/>
      <w:b/>
      <w:bCs/>
      <w:kern w:val="24"/>
      <w:lang w:val="en-US" w:eastAsia="ja-JP"/>
    </w:rPr>
  </w:style>
  <w:style w:type="paragraph" w:styleId="Heading3">
    <w:name w:val="heading 3"/>
    <w:aliases w:val="APA Heading 3"/>
    <w:basedOn w:val="Normal"/>
    <w:next w:val="Normal"/>
    <w:link w:val="Heading3Char"/>
    <w:uiPriority w:val="9"/>
    <w:unhideWhenUsed/>
    <w:qFormat/>
    <w:rsid w:val="00C547DC"/>
    <w:pPr>
      <w:keepNext/>
      <w:keepLines/>
      <w:spacing w:before="40"/>
      <w:ind w:left="720"/>
      <w:outlineLvl w:val="2"/>
    </w:pPr>
    <w:rPr>
      <w:rFonts w:eastAsiaTheme="majorEastAsia" w:cstheme="majorBidi"/>
      <w:b/>
      <w:color w:val="000000" w:themeColor="text1"/>
    </w:rPr>
  </w:style>
  <w:style w:type="paragraph" w:styleId="Heading4">
    <w:name w:val="heading 4"/>
    <w:aliases w:val="APA Heading 4"/>
    <w:basedOn w:val="Normal"/>
    <w:next w:val="Normal"/>
    <w:link w:val="Heading4Char"/>
    <w:uiPriority w:val="9"/>
    <w:unhideWhenUsed/>
    <w:qFormat/>
    <w:rsid w:val="00C547DC"/>
    <w:pPr>
      <w:keepNext/>
      <w:keepLines/>
      <w:spacing w:before="40"/>
      <w:ind w:left="720"/>
      <w:outlineLvl w:val="3"/>
    </w:pPr>
    <w:rPr>
      <w:rFonts w:eastAsiaTheme="majorEastAsia" w:cstheme="majorBidi"/>
      <w:b/>
      <w:i/>
      <w:iCs/>
      <w:color w:val="000000" w:themeColor="text1"/>
    </w:rPr>
  </w:style>
  <w:style w:type="paragraph" w:styleId="Heading5">
    <w:name w:val="heading 5"/>
    <w:aliases w:val="APA Heading 5"/>
    <w:basedOn w:val="Normal"/>
    <w:next w:val="Normal"/>
    <w:link w:val="Heading5Char"/>
    <w:uiPriority w:val="9"/>
    <w:unhideWhenUsed/>
    <w:qFormat/>
    <w:rsid w:val="00C547DC"/>
    <w:pPr>
      <w:keepNext/>
      <w:keepLines/>
      <w:spacing w:before="40"/>
      <w:ind w:left="720"/>
      <w:outlineLvl w:val="4"/>
    </w:pPr>
    <w:rPr>
      <w:rFonts w:eastAsiaTheme="majorEastAsia" w:cstheme="majorBidi"/>
      <w:i/>
      <w:color w:val="000000" w:themeColor="text1"/>
    </w:rPr>
  </w:style>
  <w:style w:type="paragraph" w:styleId="Heading6">
    <w:name w:val="heading 6"/>
    <w:basedOn w:val="Normal"/>
    <w:next w:val="Normal"/>
    <w:link w:val="Heading6Char"/>
    <w:uiPriority w:val="9"/>
    <w:semiHidden/>
    <w:unhideWhenUsed/>
    <w:qFormat/>
    <w:rsid w:val="00011624"/>
    <w:pPr>
      <w:keepNext/>
      <w:keepLines/>
      <w:spacing w:before="4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011624"/>
    <w:pPr>
      <w:keepNext/>
      <w:keepLines/>
      <w:spacing w:before="4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011624"/>
    <w:pPr>
      <w:keepNext/>
      <w:keepLines/>
      <w:spacing w:before="4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011624"/>
    <w:pPr>
      <w:keepNext/>
      <w:keepLines/>
      <w:spacing w:before="4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rsid w:val="00C547DC"/>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547DC"/>
  </w:style>
  <w:style w:type="character" w:customStyle="1" w:styleId="Heading1Char">
    <w:name w:val="Heading 1 Char"/>
    <w:aliases w:val="APA Heading 1 Char"/>
    <w:basedOn w:val="DefaultParagraphFont"/>
    <w:link w:val="Heading1"/>
    <w:uiPriority w:val="4"/>
    <w:rsid w:val="00C547DC"/>
    <w:rPr>
      <w:rFonts w:ascii="Times New Roman" w:eastAsiaTheme="majorEastAsia" w:hAnsi="Times New Roman" w:cstheme="majorBidi"/>
      <w:b/>
      <w:bCs/>
      <w:kern w:val="24"/>
      <w:sz w:val="24"/>
      <w:szCs w:val="24"/>
      <w:lang w:eastAsia="ja-JP"/>
    </w:rPr>
  </w:style>
  <w:style w:type="character" w:customStyle="1" w:styleId="Heading2Char">
    <w:name w:val="Heading 2 Char"/>
    <w:aliases w:val="APA Heading 2 Char"/>
    <w:basedOn w:val="DefaultParagraphFont"/>
    <w:link w:val="Heading2"/>
    <w:uiPriority w:val="4"/>
    <w:rsid w:val="00C547DC"/>
    <w:rPr>
      <w:rFonts w:ascii="Times New Roman" w:eastAsiaTheme="majorEastAsia" w:hAnsi="Times New Roman" w:cstheme="majorBidi"/>
      <w:b/>
      <w:bCs/>
      <w:kern w:val="24"/>
      <w:sz w:val="24"/>
      <w:szCs w:val="24"/>
      <w:lang w:eastAsia="ja-JP"/>
    </w:rPr>
  </w:style>
  <w:style w:type="character" w:customStyle="1" w:styleId="Heading3Char">
    <w:name w:val="Heading 3 Char"/>
    <w:aliases w:val="APA Heading 3 Char"/>
    <w:basedOn w:val="DefaultParagraphFont"/>
    <w:link w:val="Heading3"/>
    <w:uiPriority w:val="9"/>
    <w:rsid w:val="00C547DC"/>
    <w:rPr>
      <w:rFonts w:ascii="Times New Roman" w:eastAsiaTheme="majorEastAsia" w:hAnsi="Times New Roman" w:cstheme="majorBidi"/>
      <w:b/>
      <w:color w:val="000000" w:themeColor="text1"/>
      <w:sz w:val="24"/>
      <w:szCs w:val="24"/>
      <w:lang w:val="en-GB"/>
    </w:rPr>
  </w:style>
  <w:style w:type="character" w:customStyle="1" w:styleId="Heading4Char">
    <w:name w:val="Heading 4 Char"/>
    <w:aliases w:val="APA Heading 4 Char"/>
    <w:basedOn w:val="DefaultParagraphFont"/>
    <w:link w:val="Heading4"/>
    <w:uiPriority w:val="9"/>
    <w:rsid w:val="00C547DC"/>
    <w:rPr>
      <w:rFonts w:ascii="Times New Roman" w:eastAsiaTheme="majorEastAsia" w:hAnsi="Times New Roman" w:cstheme="majorBidi"/>
      <w:b/>
      <w:i/>
      <w:iCs/>
      <w:color w:val="000000" w:themeColor="text1"/>
      <w:sz w:val="24"/>
      <w:szCs w:val="24"/>
      <w:lang w:val="en-GB"/>
    </w:rPr>
  </w:style>
  <w:style w:type="character" w:customStyle="1" w:styleId="Heading5Char">
    <w:name w:val="Heading 5 Char"/>
    <w:aliases w:val="APA Heading 5 Char"/>
    <w:basedOn w:val="DefaultParagraphFont"/>
    <w:link w:val="Heading5"/>
    <w:uiPriority w:val="9"/>
    <w:rsid w:val="00C547DC"/>
    <w:rPr>
      <w:rFonts w:ascii="Times New Roman" w:eastAsiaTheme="majorEastAsia" w:hAnsi="Times New Roman" w:cstheme="majorBidi"/>
      <w:i/>
      <w:color w:val="000000" w:themeColor="text1"/>
      <w:sz w:val="24"/>
      <w:szCs w:val="24"/>
      <w:lang w:val="en-GB"/>
    </w:rPr>
  </w:style>
  <w:style w:type="character" w:customStyle="1" w:styleId="Heading6Char">
    <w:name w:val="Heading 6 Char"/>
    <w:basedOn w:val="DefaultParagraphFont"/>
    <w:link w:val="Heading6"/>
    <w:uiPriority w:val="9"/>
    <w:semiHidden/>
    <w:rsid w:val="00011624"/>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011624"/>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011624"/>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011624"/>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unhideWhenUsed/>
    <w:qFormat/>
    <w:rsid w:val="00011624"/>
    <w:pPr>
      <w:spacing w:line="240" w:lineRule="auto"/>
    </w:pPr>
    <w:rPr>
      <w:b/>
      <w:bCs/>
      <w:smallCaps/>
      <w:color w:val="595959" w:themeColor="text1" w:themeTint="A6"/>
      <w:spacing w:val="6"/>
    </w:rPr>
  </w:style>
  <w:style w:type="paragraph" w:styleId="Title">
    <w:name w:val="Title"/>
    <w:aliases w:val="APA Title"/>
    <w:basedOn w:val="Normal"/>
    <w:next w:val="Normal"/>
    <w:link w:val="TitleChar"/>
    <w:uiPriority w:val="10"/>
    <w:qFormat/>
    <w:rsid w:val="00C547DC"/>
    <w:pPr>
      <w:contextualSpacing/>
      <w:jc w:val="center"/>
    </w:pPr>
    <w:rPr>
      <w:rFonts w:eastAsiaTheme="majorEastAsia" w:cstheme="majorBidi"/>
      <w:spacing w:val="-10"/>
      <w:kern w:val="28"/>
      <w:szCs w:val="56"/>
    </w:rPr>
  </w:style>
  <w:style w:type="character" w:customStyle="1" w:styleId="TitleChar">
    <w:name w:val="Title Char"/>
    <w:aliases w:val="APA Title Char"/>
    <w:basedOn w:val="DefaultParagraphFont"/>
    <w:link w:val="Title"/>
    <w:uiPriority w:val="10"/>
    <w:rsid w:val="00C547DC"/>
    <w:rPr>
      <w:rFonts w:ascii="Times New Roman" w:eastAsiaTheme="majorEastAsia" w:hAnsi="Times New Roman" w:cstheme="majorBidi"/>
      <w:spacing w:val="-10"/>
      <w:kern w:val="28"/>
      <w:sz w:val="24"/>
      <w:szCs w:val="56"/>
      <w:lang w:val="en-GB"/>
    </w:rPr>
  </w:style>
  <w:style w:type="paragraph" w:styleId="Subtitle">
    <w:name w:val="Subtitle"/>
    <w:basedOn w:val="Normal"/>
    <w:next w:val="Normal"/>
    <w:link w:val="SubtitleChar"/>
    <w:uiPriority w:val="11"/>
    <w:qFormat/>
    <w:rsid w:val="00011624"/>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011624"/>
    <w:rPr>
      <w:rFonts w:asciiTheme="majorHAnsi" w:eastAsiaTheme="majorEastAsia" w:hAnsiTheme="majorHAnsi" w:cstheme="majorBidi"/>
      <w:sz w:val="24"/>
      <w:szCs w:val="24"/>
    </w:rPr>
  </w:style>
  <w:style w:type="character" w:styleId="Strong">
    <w:name w:val="Strong"/>
    <w:basedOn w:val="DefaultParagraphFont"/>
    <w:uiPriority w:val="22"/>
    <w:rsid w:val="00C547DC"/>
    <w:rPr>
      <w:b/>
      <w:bCs/>
    </w:rPr>
  </w:style>
  <w:style w:type="character" w:styleId="Emphasis">
    <w:name w:val="Emphasis"/>
    <w:basedOn w:val="DefaultParagraphFont"/>
    <w:uiPriority w:val="20"/>
    <w:qFormat/>
    <w:rsid w:val="00011624"/>
    <w:rPr>
      <w:i/>
      <w:iCs/>
    </w:rPr>
  </w:style>
  <w:style w:type="paragraph" w:styleId="NoSpacing">
    <w:name w:val="No Spacing"/>
    <w:aliases w:val="No Indent"/>
    <w:uiPriority w:val="1"/>
    <w:qFormat/>
    <w:rsid w:val="00011624"/>
    <w:pPr>
      <w:spacing w:after="0" w:line="240" w:lineRule="auto"/>
    </w:pPr>
  </w:style>
  <w:style w:type="paragraph" w:styleId="Quote">
    <w:name w:val="Quote"/>
    <w:basedOn w:val="Normal"/>
    <w:next w:val="Normal"/>
    <w:link w:val="QuoteChar"/>
    <w:uiPriority w:val="29"/>
    <w:qFormat/>
    <w:rsid w:val="00011624"/>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011624"/>
    <w:rPr>
      <w:i/>
      <w:iCs/>
      <w:color w:val="404040" w:themeColor="text1" w:themeTint="BF"/>
    </w:rPr>
  </w:style>
  <w:style w:type="paragraph" w:styleId="IntenseQuote">
    <w:name w:val="Intense Quote"/>
    <w:basedOn w:val="Normal"/>
    <w:next w:val="Normal"/>
    <w:link w:val="IntenseQuoteChar"/>
    <w:uiPriority w:val="30"/>
    <w:qFormat/>
    <w:rsid w:val="00011624"/>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011624"/>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011624"/>
    <w:rPr>
      <w:i/>
      <w:iCs/>
      <w:color w:val="404040" w:themeColor="text1" w:themeTint="BF"/>
    </w:rPr>
  </w:style>
  <w:style w:type="character" w:styleId="IntenseEmphasis">
    <w:name w:val="Intense Emphasis"/>
    <w:basedOn w:val="DefaultParagraphFont"/>
    <w:uiPriority w:val="21"/>
    <w:qFormat/>
    <w:rsid w:val="00011624"/>
    <w:rPr>
      <w:b/>
      <w:bCs/>
      <w:i/>
      <w:iCs/>
    </w:rPr>
  </w:style>
  <w:style w:type="character" w:styleId="SubtleReference">
    <w:name w:val="Subtle Reference"/>
    <w:basedOn w:val="DefaultParagraphFont"/>
    <w:uiPriority w:val="31"/>
    <w:qFormat/>
    <w:rsid w:val="00011624"/>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11624"/>
    <w:rPr>
      <w:b/>
      <w:bCs/>
      <w:smallCaps/>
      <w:spacing w:val="5"/>
      <w:u w:val="single"/>
    </w:rPr>
  </w:style>
  <w:style w:type="character" w:styleId="BookTitle">
    <w:name w:val="Book Title"/>
    <w:basedOn w:val="DefaultParagraphFont"/>
    <w:uiPriority w:val="33"/>
    <w:qFormat/>
    <w:rsid w:val="00011624"/>
    <w:rPr>
      <w:b/>
      <w:bCs/>
      <w:smallCaps/>
    </w:rPr>
  </w:style>
  <w:style w:type="paragraph" w:styleId="TOCHeading">
    <w:name w:val="TOC Heading"/>
    <w:basedOn w:val="Heading1"/>
    <w:next w:val="Normal"/>
    <w:uiPriority w:val="39"/>
    <w:unhideWhenUsed/>
    <w:qFormat/>
    <w:rsid w:val="00011624"/>
    <w:pPr>
      <w:outlineLvl w:val="9"/>
    </w:pPr>
  </w:style>
  <w:style w:type="paragraph" w:styleId="TOC1">
    <w:name w:val="toc 1"/>
    <w:basedOn w:val="Normal"/>
    <w:next w:val="Normal"/>
    <w:autoRedefine/>
    <w:uiPriority w:val="39"/>
    <w:unhideWhenUsed/>
    <w:rsid w:val="00402B90"/>
    <w:pPr>
      <w:spacing w:after="100"/>
    </w:pPr>
  </w:style>
  <w:style w:type="character" w:styleId="Hyperlink">
    <w:name w:val="Hyperlink"/>
    <w:basedOn w:val="DefaultParagraphFont"/>
    <w:uiPriority w:val="99"/>
    <w:unhideWhenUsed/>
    <w:rsid w:val="00402B90"/>
    <w:rPr>
      <w:color w:val="0563C1" w:themeColor="hyperlink"/>
      <w:u w:val="single"/>
    </w:rPr>
  </w:style>
  <w:style w:type="paragraph" w:styleId="Header">
    <w:name w:val="header"/>
    <w:basedOn w:val="Normal"/>
    <w:link w:val="HeaderChar"/>
    <w:uiPriority w:val="99"/>
    <w:unhideWhenUsed/>
    <w:rsid w:val="00011624"/>
    <w:pPr>
      <w:spacing w:line="240" w:lineRule="auto"/>
    </w:pPr>
  </w:style>
  <w:style w:type="character" w:customStyle="1" w:styleId="HeaderChar">
    <w:name w:val="Header Char"/>
    <w:basedOn w:val="DefaultParagraphFont"/>
    <w:link w:val="Header"/>
    <w:uiPriority w:val="99"/>
    <w:rsid w:val="00011624"/>
    <w:rPr>
      <w:kern w:val="24"/>
      <w:sz w:val="24"/>
      <w:szCs w:val="24"/>
      <w:lang w:eastAsia="ja-JP"/>
    </w:rPr>
  </w:style>
  <w:style w:type="paragraph" w:styleId="Footer">
    <w:name w:val="footer"/>
    <w:basedOn w:val="Normal"/>
    <w:link w:val="FooterChar"/>
    <w:uiPriority w:val="99"/>
    <w:unhideWhenUsed/>
    <w:rsid w:val="00011624"/>
    <w:pPr>
      <w:spacing w:line="240" w:lineRule="auto"/>
    </w:pPr>
  </w:style>
  <w:style w:type="character" w:customStyle="1" w:styleId="FooterChar">
    <w:name w:val="Footer Char"/>
    <w:basedOn w:val="DefaultParagraphFont"/>
    <w:link w:val="Footer"/>
    <w:uiPriority w:val="99"/>
    <w:rsid w:val="00011624"/>
    <w:rPr>
      <w:kern w:val="24"/>
      <w:sz w:val="24"/>
      <w:szCs w:val="24"/>
      <w:lang w:eastAsia="ja-JP"/>
    </w:rPr>
  </w:style>
  <w:style w:type="character" w:customStyle="1" w:styleId="post-content">
    <w:name w:val="post-content"/>
    <w:basedOn w:val="DefaultParagraphFont"/>
    <w:rsid w:val="005830D4"/>
  </w:style>
  <w:style w:type="paragraph" w:styleId="TOC2">
    <w:name w:val="toc 2"/>
    <w:basedOn w:val="Normal"/>
    <w:next w:val="Normal"/>
    <w:autoRedefine/>
    <w:uiPriority w:val="39"/>
    <w:unhideWhenUsed/>
    <w:rsid w:val="00A43633"/>
    <w:pPr>
      <w:spacing w:after="100"/>
      <w:ind w:left="220"/>
    </w:pPr>
  </w:style>
  <w:style w:type="paragraph" w:styleId="BalloonText">
    <w:name w:val="Balloon Text"/>
    <w:basedOn w:val="Normal"/>
    <w:link w:val="BalloonTextChar"/>
    <w:uiPriority w:val="99"/>
    <w:semiHidden/>
    <w:unhideWhenUsed/>
    <w:rsid w:val="00011624"/>
    <w:pPr>
      <w:spacing w:line="240" w:lineRule="auto"/>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011624"/>
    <w:rPr>
      <w:rFonts w:ascii="Segoe UI" w:hAnsi="Segoe UI" w:cs="Segoe UI"/>
      <w:kern w:val="24"/>
      <w:szCs w:val="18"/>
      <w:lang w:eastAsia="ja-JP"/>
    </w:rPr>
  </w:style>
  <w:style w:type="character" w:styleId="PlaceholderText">
    <w:name w:val="Placeholder Text"/>
    <w:basedOn w:val="DefaultParagraphFont"/>
    <w:uiPriority w:val="99"/>
    <w:semiHidden/>
    <w:rsid w:val="00011624"/>
    <w:rPr>
      <w:color w:val="404040" w:themeColor="text1" w:themeTint="BF"/>
    </w:rPr>
  </w:style>
  <w:style w:type="paragraph" w:styleId="ListParagraph">
    <w:name w:val="List Paragraph"/>
    <w:aliases w:val="APA List"/>
    <w:basedOn w:val="Normal"/>
    <w:uiPriority w:val="34"/>
    <w:qFormat/>
    <w:rsid w:val="00C547DC"/>
    <w:pPr>
      <w:ind w:left="720"/>
      <w:contextualSpacing/>
    </w:pPr>
  </w:style>
  <w:style w:type="paragraph" w:customStyle="1" w:styleId="series-notes">
    <w:name w:val="series-notes"/>
    <w:basedOn w:val="Normal"/>
    <w:rsid w:val="0038313F"/>
    <w:pPr>
      <w:spacing w:before="100" w:beforeAutospacing="1" w:after="100" w:afterAutospacing="1" w:line="240" w:lineRule="auto"/>
    </w:pPr>
    <w:rPr>
      <w:rFonts w:eastAsia="Times New Roman" w:cs="Times New Roman"/>
      <w:lang w:val="en-CA" w:eastAsia="en-CA"/>
    </w:rPr>
  </w:style>
  <w:style w:type="paragraph" w:customStyle="1" w:styleId="citation">
    <w:name w:val="citation"/>
    <w:basedOn w:val="Normal"/>
    <w:rsid w:val="0038313F"/>
    <w:pPr>
      <w:spacing w:before="100" w:beforeAutospacing="1" w:after="100" w:afterAutospacing="1" w:line="240" w:lineRule="auto"/>
    </w:pPr>
    <w:rPr>
      <w:rFonts w:eastAsia="Times New Roman" w:cs="Times New Roman"/>
      <w:lang w:val="en-CA" w:eastAsia="en-CA"/>
    </w:rPr>
  </w:style>
  <w:style w:type="character" w:customStyle="1" w:styleId="UnresolvedMention1">
    <w:name w:val="Unresolved Mention1"/>
    <w:basedOn w:val="DefaultParagraphFont"/>
    <w:uiPriority w:val="99"/>
    <w:semiHidden/>
    <w:unhideWhenUsed/>
    <w:rsid w:val="000848F6"/>
    <w:rPr>
      <w:color w:val="605E5C"/>
      <w:shd w:val="clear" w:color="auto" w:fill="E1DFDD"/>
    </w:rPr>
  </w:style>
  <w:style w:type="paragraph" w:styleId="FootnoteText">
    <w:name w:val="footnote text"/>
    <w:basedOn w:val="Normal"/>
    <w:link w:val="FootnoteTextChar"/>
    <w:uiPriority w:val="99"/>
    <w:semiHidden/>
    <w:unhideWhenUsed/>
    <w:rsid w:val="00011624"/>
    <w:pPr>
      <w:spacing w:line="240" w:lineRule="auto"/>
    </w:pPr>
    <w:rPr>
      <w:sz w:val="22"/>
      <w:szCs w:val="20"/>
    </w:rPr>
  </w:style>
  <w:style w:type="character" w:customStyle="1" w:styleId="FootnoteTextChar">
    <w:name w:val="Footnote Text Char"/>
    <w:basedOn w:val="DefaultParagraphFont"/>
    <w:link w:val="FootnoteText"/>
    <w:uiPriority w:val="99"/>
    <w:semiHidden/>
    <w:rsid w:val="00011624"/>
    <w:rPr>
      <w:kern w:val="24"/>
      <w:szCs w:val="20"/>
      <w:lang w:eastAsia="ja-JP"/>
    </w:rPr>
  </w:style>
  <w:style w:type="character" w:styleId="FootnoteReference">
    <w:name w:val="footnote reference"/>
    <w:basedOn w:val="DefaultParagraphFont"/>
    <w:uiPriority w:val="5"/>
    <w:unhideWhenUsed/>
    <w:rsid w:val="00011624"/>
    <w:rPr>
      <w:vertAlign w:val="superscript"/>
    </w:rPr>
  </w:style>
  <w:style w:type="paragraph" w:styleId="EndnoteText">
    <w:name w:val="endnote text"/>
    <w:basedOn w:val="Normal"/>
    <w:link w:val="EndnoteTextChar"/>
    <w:uiPriority w:val="99"/>
    <w:semiHidden/>
    <w:unhideWhenUsed/>
    <w:rsid w:val="00011624"/>
    <w:pPr>
      <w:spacing w:line="240" w:lineRule="auto"/>
    </w:pPr>
    <w:rPr>
      <w:sz w:val="22"/>
      <w:szCs w:val="20"/>
    </w:rPr>
  </w:style>
  <w:style w:type="character" w:customStyle="1" w:styleId="EndnoteTextChar">
    <w:name w:val="Endnote Text Char"/>
    <w:basedOn w:val="DefaultParagraphFont"/>
    <w:link w:val="EndnoteText"/>
    <w:uiPriority w:val="99"/>
    <w:semiHidden/>
    <w:rsid w:val="00011624"/>
    <w:rPr>
      <w:kern w:val="24"/>
      <w:szCs w:val="20"/>
      <w:lang w:eastAsia="ja-JP"/>
    </w:rPr>
  </w:style>
  <w:style w:type="character" w:styleId="EndnoteReference">
    <w:name w:val="endnote reference"/>
    <w:basedOn w:val="DefaultParagraphFont"/>
    <w:uiPriority w:val="99"/>
    <w:semiHidden/>
    <w:unhideWhenUsed/>
    <w:rsid w:val="00011624"/>
    <w:rPr>
      <w:vertAlign w:val="superscript"/>
    </w:rPr>
  </w:style>
  <w:style w:type="paragraph" w:customStyle="1" w:styleId="SectionTitle">
    <w:name w:val="Section Title"/>
    <w:basedOn w:val="Normal"/>
    <w:uiPriority w:val="2"/>
    <w:rsid w:val="00011624"/>
    <w:pPr>
      <w:pageBreakBefore/>
      <w:jc w:val="center"/>
      <w:outlineLvl w:val="0"/>
    </w:pPr>
    <w:rPr>
      <w:rFonts w:asciiTheme="majorHAnsi" w:eastAsiaTheme="majorEastAsia" w:hAnsiTheme="majorHAnsi" w:cstheme="majorBidi"/>
    </w:rPr>
  </w:style>
  <w:style w:type="paragraph" w:styleId="Bibliography">
    <w:name w:val="Bibliography"/>
    <w:aliases w:val="APA Bibliography"/>
    <w:basedOn w:val="Normal"/>
    <w:next w:val="Normal"/>
    <w:uiPriority w:val="37"/>
    <w:unhideWhenUsed/>
    <w:qFormat/>
    <w:rsid w:val="00C547DC"/>
    <w:pPr>
      <w:ind w:left="720" w:hanging="720"/>
    </w:pPr>
    <w:rPr>
      <w:rFonts w:eastAsiaTheme="minorEastAsia"/>
      <w:kern w:val="24"/>
      <w:lang w:val="en-US" w:eastAsia="ja-JP"/>
    </w:rPr>
  </w:style>
  <w:style w:type="paragraph" w:styleId="BlockText">
    <w:name w:val="Block Text"/>
    <w:basedOn w:val="Normal"/>
    <w:uiPriority w:val="99"/>
    <w:semiHidden/>
    <w:unhideWhenUsed/>
    <w:rsid w:val="00011624"/>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pPr>
    <w:rPr>
      <w:i/>
      <w:iCs/>
      <w:color w:val="595959" w:themeColor="text1" w:themeTint="A6"/>
    </w:rPr>
  </w:style>
  <w:style w:type="paragraph" w:styleId="BodyText">
    <w:name w:val="Body Text"/>
    <w:basedOn w:val="Normal"/>
    <w:link w:val="BodyTextChar"/>
    <w:uiPriority w:val="99"/>
    <w:semiHidden/>
    <w:unhideWhenUsed/>
    <w:rsid w:val="00011624"/>
    <w:pPr>
      <w:spacing w:after="120"/>
    </w:pPr>
  </w:style>
  <w:style w:type="character" w:customStyle="1" w:styleId="BodyTextChar">
    <w:name w:val="Body Text Char"/>
    <w:basedOn w:val="DefaultParagraphFont"/>
    <w:link w:val="BodyText"/>
    <w:uiPriority w:val="99"/>
    <w:semiHidden/>
    <w:rsid w:val="00011624"/>
    <w:rPr>
      <w:kern w:val="24"/>
      <w:sz w:val="24"/>
      <w:szCs w:val="24"/>
      <w:lang w:eastAsia="ja-JP"/>
    </w:rPr>
  </w:style>
  <w:style w:type="paragraph" w:styleId="BodyText2">
    <w:name w:val="Body Text 2"/>
    <w:basedOn w:val="Normal"/>
    <w:link w:val="BodyText2Char"/>
    <w:uiPriority w:val="99"/>
    <w:semiHidden/>
    <w:unhideWhenUsed/>
    <w:rsid w:val="00011624"/>
    <w:pPr>
      <w:spacing w:after="120"/>
    </w:pPr>
  </w:style>
  <w:style w:type="character" w:customStyle="1" w:styleId="BodyText2Char">
    <w:name w:val="Body Text 2 Char"/>
    <w:basedOn w:val="DefaultParagraphFont"/>
    <w:link w:val="BodyText2"/>
    <w:uiPriority w:val="99"/>
    <w:semiHidden/>
    <w:rsid w:val="00011624"/>
    <w:rPr>
      <w:kern w:val="24"/>
      <w:sz w:val="24"/>
      <w:szCs w:val="24"/>
      <w:lang w:eastAsia="ja-JP"/>
    </w:rPr>
  </w:style>
  <w:style w:type="paragraph" w:styleId="BodyText3">
    <w:name w:val="Body Text 3"/>
    <w:basedOn w:val="Normal"/>
    <w:link w:val="BodyText3Char"/>
    <w:uiPriority w:val="99"/>
    <w:semiHidden/>
    <w:unhideWhenUsed/>
    <w:rsid w:val="00011624"/>
    <w:pPr>
      <w:spacing w:after="120"/>
    </w:pPr>
    <w:rPr>
      <w:sz w:val="22"/>
      <w:szCs w:val="16"/>
    </w:rPr>
  </w:style>
  <w:style w:type="character" w:customStyle="1" w:styleId="BodyText3Char">
    <w:name w:val="Body Text 3 Char"/>
    <w:basedOn w:val="DefaultParagraphFont"/>
    <w:link w:val="BodyText3"/>
    <w:uiPriority w:val="99"/>
    <w:semiHidden/>
    <w:rsid w:val="00011624"/>
    <w:rPr>
      <w:kern w:val="24"/>
      <w:szCs w:val="16"/>
      <w:lang w:eastAsia="ja-JP"/>
    </w:rPr>
  </w:style>
  <w:style w:type="paragraph" w:styleId="BodyTextFirstIndent">
    <w:name w:val="Body Text First Indent"/>
    <w:basedOn w:val="BodyText"/>
    <w:link w:val="BodyTextFirstIndentChar"/>
    <w:uiPriority w:val="99"/>
    <w:semiHidden/>
    <w:unhideWhenUsed/>
    <w:rsid w:val="00011624"/>
    <w:pPr>
      <w:spacing w:after="0"/>
    </w:pPr>
  </w:style>
  <w:style w:type="character" w:customStyle="1" w:styleId="BodyTextFirstIndentChar">
    <w:name w:val="Body Text First Indent Char"/>
    <w:basedOn w:val="BodyTextChar"/>
    <w:link w:val="BodyTextFirstIndent"/>
    <w:uiPriority w:val="99"/>
    <w:semiHidden/>
    <w:rsid w:val="00011624"/>
    <w:rPr>
      <w:kern w:val="24"/>
      <w:sz w:val="24"/>
      <w:szCs w:val="24"/>
      <w:lang w:eastAsia="ja-JP"/>
    </w:rPr>
  </w:style>
  <w:style w:type="paragraph" w:styleId="BodyTextIndent">
    <w:name w:val="Body Text Indent"/>
    <w:basedOn w:val="Normal"/>
    <w:link w:val="BodyTextIndentChar"/>
    <w:uiPriority w:val="99"/>
    <w:semiHidden/>
    <w:unhideWhenUsed/>
    <w:rsid w:val="00011624"/>
    <w:pPr>
      <w:spacing w:after="120"/>
      <w:ind w:left="360"/>
    </w:pPr>
  </w:style>
  <w:style w:type="character" w:customStyle="1" w:styleId="BodyTextIndentChar">
    <w:name w:val="Body Text Indent Char"/>
    <w:basedOn w:val="DefaultParagraphFont"/>
    <w:link w:val="BodyTextIndent"/>
    <w:uiPriority w:val="99"/>
    <w:semiHidden/>
    <w:rsid w:val="00011624"/>
    <w:rPr>
      <w:kern w:val="24"/>
      <w:sz w:val="24"/>
      <w:szCs w:val="24"/>
      <w:lang w:eastAsia="ja-JP"/>
    </w:rPr>
  </w:style>
  <w:style w:type="paragraph" w:styleId="BodyTextFirstIndent2">
    <w:name w:val="Body Text First Indent 2"/>
    <w:basedOn w:val="BodyTextIndent"/>
    <w:link w:val="BodyTextFirstIndent2Char"/>
    <w:uiPriority w:val="99"/>
    <w:semiHidden/>
    <w:unhideWhenUsed/>
    <w:rsid w:val="00011624"/>
    <w:pPr>
      <w:spacing w:after="0"/>
    </w:pPr>
  </w:style>
  <w:style w:type="character" w:customStyle="1" w:styleId="BodyTextFirstIndent2Char">
    <w:name w:val="Body Text First Indent 2 Char"/>
    <w:basedOn w:val="BodyTextIndentChar"/>
    <w:link w:val="BodyTextFirstIndent2"/>
    <w:uiPriority w:val="99"/>
    <w:semiHidden/>
    <w:rsid w:val="00011624"/>
    <w:rPr>
      <w:kern w:val="24"/>
      <w:sz w:val="24"/>
      <w:szCs w:val="24"/>
      <w:lang w:eastAsia="ja-JP"/>
    </w:rPr>
  </w:style>
  <w:style w:type="paragraph" w:styleId="BodyTextIndent2">
    <w:name w:val="Body Text Indent 2"/>
    <w:basedOn w:val="Normal"/>
    <w:link w:val="BodyTextIndent2Char"/>
    <w:uiPriority w:val="99"/>
    <w:semiHidden/>
    <w:unhideWhenUsed/>
    <w:rsid w:val="00011624"/>
    <w:pPr>
      <w:spacing w:after="120"/>
      <w:ind w:left="360"/>
    </w:pPr>
  </w:style>
  <w:style w:type="character" w:customStyle="1" w:styleId="BodyTextIndent2Char">
    <w:name w:val="Body Text Indent 2 Char"/>
    <w:basedOn w:val="DefaultParagraphFont"/>
    <w:link w:val="BodyTextIndent2"/>
    <w:uiPriority w:val="99"/>
    <w:semiHidden/>
    <w:rsid w:val="00011624"/>
    <w:rPr>
      <w:kern w:val="24"/>
      <w:sz w:val="24"/>
      <w:szCs w:val="24"/>
      <w:lang w:eastAsia="ja-JP"/>
    </w:rPr>
  </w:style>
  <w:style w:type="paragraph" w:styleId="BodyTextIndent3">
    <w:name w:val="Body Text Indent 3"/>
    <w:basedOn w:val="Normal"/>
    <w:link w:val="BodyTextIndent3Char"/>
    <w:uiPriority w:val="99"/>
    <w:semiHidden/>
    <w:unhideWhenUsed/>
    <w:rsid w:val="00011624"/>
    <w:pPr>
      <w:spacing w:after="120"/>
      <w:ind w:left="360"/>
    </w:pPr>
    <w:rPr>
      <w:sz w:val="22"/>
      <w:szCs w:val="16"/>
    </w:rPr>
  </w:style>
  <w:style w:type="character" w:customStyle="1" w:styleId="BodyTextIndent3Char">
    <w:name w:val="Body Text Indent 3 Char"/>
    <w:basedOn w:val="DefaultParagraphFont"/>
    <w:link w:val="BodyTextIndent3"/>
    <w:uiPriority w:val="99"/>
    <w:semiHidden/>
    <w:rsid w:val="00011624"/>
    <w:rPr>
      <w:kern w:val="24"/>
      <w:szCs w:val="16"/>
      <w:lang w:eastAsia="ja-JP"/>
    </w:rPr>
  </w:style>
  <w:style w:type="paragraph" w:styleId="Closing">
    <w:name w:val="Closing"/>
    <w:basedOn w:val="Normal"/>
    <w:link w:val="ClosingChar"/>
    <w:uiPriority w:val="99"/>
    <w:semiHidden/>
    <w:unhideWhenUsed/>
    <w:rsid w:val="00011624"/>
    <w:pPr>
      <w:spacing w:line="240" w:lineRule="auto"/>
      <w:ind w:left="4320"/>
    </w:pPr>
  </w:style>
  <w:style w:type="character" w:customStyle="1" w:styleId="ClosingChar">
    <w:name w:val="Closing Char"/>
    <w:basedOn w:val="DefaultParagraphFont"/>
    <w:link w:val="Closing"/>
    <w:uiPriority w:val="99"/>
    <w:semiHidden/>
    <w:rsid w:val="00011624"/>
    <w:rPr>
      <w:kern w:val="24"/>
      <w:sz w:val="24"/>
      <w:szCs w:val="24"/>
      <w:lang w:eastAsia="ja-JP"/>
    </w:rPr>
  </w:style>
  <w:style w:type="paragraph" w:styleId="CommentText">
    <w:name w:val="annotation text"/>
    <w:basedOn w:val="Normal"/>
    <w:link w:val="CommentTextChar"/>
    <w:uiPriority w:val="99"/>
    <w:semiHidden/>
    <w:unhideWhenUsed/>
    <w:rsid w:val="00011624"/>
    <w:pPr>
      <w:spacing w:line="240" w:lineRule="auto"/>
    </w:pPr>
    <w:rPr>
      <w:sz w:val="22"/>
      <w:szCs w:val="20"/>
    </w:rPr>
  </w:style>
  <w:style w:type="character" w:customStyle="1" w:styleId="CommentTextChar">
    <w:name w:val="Comment Text Char"/>
    <w:basedOn w:val="DefaultParagraphFont"/>
    <w:link w:val="CommentText"/>
    <w:uiPriority w:val="99"/>
    <w:semiHidden/>
    <w:rsid w:val="00011624"/>
    <w:rPr>
      <w:kern w:val="24"/>
      <w:szCs w:val="20"/>
      <w:lang w:eastAsia="ja-JP"/>
    </w:rPr>
  </w:style>
  <w:style w:type="paragraph" w:styleId="CommentSubject">
    <w:name w:val="annotation subject"/>
    <w:basedOn w:val="CommentText"/>
    <w:next w:val="CommentText"/>
    <w:link w:val="CommentSubjectChar"/>
    <w:uiPriority w:val="99"/>
    <w:semiHidden/>
    <w:unhideWhenUsed/>
    <w:rsid w:val="00011624"/>
    <w:rPr>
      <w:b/>
      <w:bCs/>
    </w:rPr>
  </w:style>
  <w:style w:type="character" w:customStyle="1" w:styleId="CommentSubjectChar">
    <w:name w:val="Comment Subject Char"/>
    <w:basedOn w:val="CommentTextChar"/>
    <w:link w:val="CommentSubject"/>
    <w:uiPriority w:val="99"/>
    <w:semiHidden/>
    <w:rsid w:val="00011624"/>
    <w:rPr>
      <w:b/>
      <w:bCs/>
      <w:kern w:val="24"/>
      <w:szCs w:val="20"/>
      <w:lang w:eastAsia="ja-JP"/>
    </w:rPr>
  </w:style>
  <w:style w:type="paragraph" w:styleId="Date">
    <w:name w:val="Date"/>
    <w:basedOn w:val="Normal"/>
    <w:next w:val="Normal"/>
    <w:link w:val="DateChar"/>
    <w:uiPriority w:val="99"/>
    <w:semiHidden/>
    <w:unhideWhenUsed/>
    <w:rsid w:val="00011624"/>
  </w:style>
  <w:style w:type="character" w:customStyle="1" w:styleId="DateChar">
    <w:name w:val="Date Char"/>
    <w:basedOn w:val="DefaultParagraphFont"/>
    <w:link w:val="Date"/>
    <w:uiPriority w:val="99"/>
    <w:semiHidden/>
    <w:rsid w:val="00011624"/>
    <w:rPr>
      <w:kern w:val="24"/>
      <w:sz w:val="24"/>
      <w:szCs w:val="24"/>
      <w:lang w:eastAsia="ja-JP"/>
    </w:rPr>
  </w:style>
  <w:style w:type="paragraph" w:styleId="DocumentMap">
    <w:name w:val="Document Map"/>
    <w:basedOn w:val="Normal"/>
    <w:link w:val="DocumentMapChar"/>
    <w:uiPriority w:val="99"/>
    <w:semiHidden/>
    <w:unhideWhenUsed/>
    <w:rsid w:val="00011624"/>
    <w:pPr>
      <w:spacing w:line="240" w:lineRule="auto"/>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011624"/>
    <w:rPr>
      <w:rFonts w:ascii="Segoe UI" w:hAnsi="Segoe UI" w:cs="Segoe UI"/>
      <w:kern w:val="24"/>
      <w:szCs w:val="16"/>
      <w:lang w:eastAsia="ja-JP"/>
    </w:rPr>
  </w:style>
  <w:style w:type="paragraph" w:styleId="E-mailSignature">
    <w:name w:val="E-mail Signature"/>
    <w:basedOn w:val="Normal"/>
    <w:link w:val="E-mailSignatureChar"/>
    <w:uiPriority w:val="99"/>
    <w:semiHidden/>
    <w:unhideWhenUsed/>
    <w:rsid w:val="00011624"/>
    <w:pPr>
      <w:spacing w:line="240" w:lineRule="auto"/>
    </w:pPr>
  </w:style>
  <w:style w:type="character" w:customStyle="1" w:styleId="E-mailSignatureChar">
    <w:name w:val="E-mail Signature Char"/>
    <w:basedOn w:val="DefaultParagraphFont"/>
    <w:link w:val="E-mailSignature"/>
    <w:uiPriority w:val="99"/>
    <w:semiHidden/>
    <w:rsid w:val="00011624"/>
    <w:rPr>
      <w:kern w:val="24"/>
      <w:sz w:val="24"/>
      <w:szCs w:val="24"/>
      <w:lang w:eastAsia="ja-JP"/>
    </w:rPr>
  </w:style>
  <w:style w:type="paragraph" w:styleId="EnvelopeAddress">
    <w:name w:val="envelope address"/>
    <w:basedOn w:val="Normal"/>
    <w:uiPriority w:val="99"/>
    <w:semiHidden/>
    <w:unhideWhenUsed/>
    <w:rsid w:val="00011624"/>
    <w:pPr>
      <w:framePr w:w="7920" w:h="1980" w:hRule="exact" w:hSpace="180" w:wrap="auto" w:hAnchor="page" w:xAlign="center" w:yAlign="bottom"/>
      <w:spacing w:line="240" w:lineRule="auto"/>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011624"/>
    <w:pPr>
      <w:spacing w:line="240" w:lineRule="auto"/>
    </w:pPr>
    <w:rPr>
      <w:rFonts w:asciiTheme="majorHAnsi" w:eastAsiaTheme="majorEastAsia" w:hAnsiTheme="majorHAnsi" w:cstheme="majorBidi"/>
      <w:sz w:val="22"/>
      <w:szCs w:val="20"/>
    </w:rPr>
  </w:style>
  <w:style w:type="table" w:styleId="TableGrid">
    <w:name w:val="Table Grid"/>
    <w:basedOn w:val="TableNormal"/>
    <w:uiPriority w:val="39"/>
    <w:rsid w:val="00011624"/>
    <w:pPr>
      <w:spacing w:after="0" w:line="240" w:lineRule="auto"/>
      <w:ind w:firstLine="720"/>
    </w:pPr>
    <w:rPr>
      <w:sz w:val="24"/>
      <w:szCs w:val="24"/>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011624"/>
    <w:pPr>
      <w:spacing w:after="0" w:line="240" w:lineRule="auto"/>
      <w:ind w:firstLine="720"/>
    </w:pPr>
    <w:rPr>
      <w:sz w:val="24"/>
      <w:szCs w:val="24"/>
      <w:lang w:eastAsia="ja-JP"/>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Address">
    <w:name w:val="HTML Address"/>
    <w:basedOn w:val="Normal"/>
    <w:link w:val="HTMLAddressChar"/>
    <w:uiPriority w:val="99"/>
    <w:semiHidden/>
    <w:unhideWhenUsed/>
    <w:rsid w:val="00011624"/>
    <w:pPr>
      <w:spacing w:line="240" w:lineRule="auto"/>
    </w:pPr>
    <w:rPr>
      <w:i/>
      <w:iCs/>
    </w:rPr>
  </w:style>
  <w:style w:type="character" w:customStyle="1" w:styleId="HTMLAddressChar">
    <w:name w:val="HTML Address Char"/>
    <w:basedOn w:val="DefaultParagraphFont"/>
    <w:link w:val="HTMLAddress"/>
    <w:uiPriority w:val="99"/>
    <w:semiHidden/>
    <w:rsid w:val="00011624"/>
    <w:rPr>
      <w:i/>
      <w:iCs/>
      <w:kern w:val="24"/>
      <w:sz w:val="24"/>
      <w:szCs w:val="24"/>
      <w:lang w:eastAsia="ja-JP"/>
    </w:rPr>
  </w:style>
  <w:style w:type="paragraph" w:styleId="HTMLPreformatted">
    <w:name w:val="HTML Preformatted"/>
    <w:basedOn w:val="Normal"/>
    <w:link w:val="HTMLPreformattedChar"/>
    <w:uiPriority w:val="99"/>
    <w:semiHidden/>
    <w:unhideWhenUsed/>
    <w:rsid w:val="00011624"/>
    <w:pPr>
      <w:spacing w:line="240" w:lineRule="auto"/>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011624"/>
    <w:rPr>
      <w:rFonts w:ascii="Consolas" w:hAnsi="Consolas" w:cs="Consolas"/>
      <w:kern w:val="24"/>
      <w:szCs w:val="20"/>
      <w:lang w:eastAsia="ja-JP"/>
    </w:rPr>
  </w:style>
  <w:style w:type="paragraph" w:styleId="Index1">
    <w:name w:val="index 1"/>
    <w:basedOn w:val="Normal"/>
    <w:next w:val="Normal"/>
    <w:autoRedefine/>
    <w:uiPriority w:val="99"/>
    <w:semiHidden/>
    <w:unhideWhenUsed/>
    <w:rsid w:val="00011624"/>
    <w:pPr>
      <w:spacing w:line="240" w:lineRule="auto"/>
      <w:ind w:left="240"/>
    </w:pPr>
  </w:style>
  <w:style w:type="paragraph" w:styleId="Index2">
    <w:name w:val="index 2"/>
    <w:basedOn w:val="Normal"/>
    <w:next w:val="Normal"/>
    <w:autoRedefine/>
    <w:uiPriority w:val="99"/>
    <w:semiHidden/>
    <w:unhideWhenUsed/>
    <w:rsid w:val="00011624"/>
    <w:pPr>
      <w:spacing w:line="240" w:lineRule="auto"/>
      <w:ind w:left="480"/>
    </w:pPr>
  </w:style>
  <w:style w:type="paragraph" w:styleId="Index3">
    <w:name w:val="index 3"/>
    <w:basedOn w:val="Normal"/>
    <w:next w:val="Normal"/>
    <w:autoRedefine/>
    <w:uiPriority w:val="99"/>
    <w:semiHidden/>
    <w:unhideWhenUsed/>
    <w:rsid w:val="00011624"/>
    <w:pPr>
      <w:spacing w:line="240" w:lineRule="auto"/>
      <w:ind w:left="720"/>
    </w:pPr>
  </w:style>
  <w:style w:type="paragraph" w:styleId="Index4">
    <w:name w:val="index 4"/>
    <w:basedOn w:val="Normal"/>
    <w:next w:val="Normal"/>
    <w:autoRedefine/>
    <w:uiPriority w:val="99"/>
    <w:semiHidden/>
    <w:unhideWhenUsed/>
    <w:rsid w:val="00011624"/>
    <w:pPr>
      <w:spacing w:line="240" w:lineRule="auto"/>
      <w:ind w:left="960"/>
    </w:pPr>
  </w:style>
  <w:style w:type="paragraph" w:styleId="Index5">
    <w:name w:val="index 5"/>
    <w:basedOn w:val="Normal"/>
    <w:next w:val="Normal"/>
    <w:autoRedefine/>
    <w:uiPriority w:val="99"/>
    <w:semiHidden/>
    <w:unhideWhenUsed/>
    <w:rsid w:val="00011624"/>
    <w:pPr>
      <w:spacing w:line="240" w:lineRule="auto"/>
      <w:ind w:left="1200"/>
    </w:pPr>
  </w:style>
  <w:style w:type="paragraph" w:styleId="Index6">
    <w:name w:val="index 6"/>
    <w:basedOn w:val="Normal"/>
    <w:next w:val="Normal"/>
    <w:autoRedefine/>
    <w:uiPriority w:val="99"/>
    <w:semiHidden/>
    <w:unhideWhenUsed/>
    <w:rsid w:val="00011624"/>
    <w:pPr>
      <w:spacing w:line="240" w:lineRule="auto"/>
      <w:ind w:left="1440"/>
    </w:pPr>
  </w:style>
  <w:style w:type="paragraph" w:styleId="Index7">
    <w:name w:val="index 7"/>
    <w:basedOn w:val="Normal"/>
    <w:next w:val="Normal"/>
    <w:autoRedefine/>
    <w:uiPriority w:val="99"/>
    <w:semiHidden/>
    <w:unhideWhenUsed/>
    <w:rsid w:val="00011624"/>
    <w:pPr>
      <w:spacing w:line="240" w:lineRule="auto"/>
      <w:ind w:left="1680"/>
    </w:pPr>
  </w:style>
  <w:style w:type="paragraph" w:styleId="Index8">
    <w:name w:val="index 8"/>
    <w:basedOn w:val="Normal"/>
    <w:next w:val="Normal"/>
    <w:autoRedefine/>
    <w:uiPriority w:val="99"/>
    <w:semiHidden/>
    <w:unhideWhenUsed/>
    <w:rsid w:val="00011624"/>
    <w:pPr>
      <w:spacing w:line="240" w:lineRule="auto"/>
      <w:ind w:left="1920"/>
    </w:pPr>
  </w:style>
  <w:style w:type="paragraph" w:styleId="Index9">
    <w:name w:val="index 9"/>
    <w:basedOn w:val="Normal"/>
    <w:next w:val="Normal"/>
    <w:autoRedefine/>
    <w:uiPriority w:val="99"/>
    <w:semiHidden/>
    <w:unhideWhenUsed/>
    <w:rsid w:val="00011624"/>
    <w:pPr>
      <w:spacing w:line="240" w:lineRule="auto"/>
      <w:ind w:left="2160"/>
    </w:pPr>
  </w:style>
  <w:style w:type="paragraph" w:styleId="IndexHeading">
    <w:name w:val="index heading"/>
    <w:basedOn w:val="Normal"/>
    <w:next w:val="Index1"/>
    <w:uiPriority w:val="99"/>
    <w:semiHidden/>
    <w:unhideWhenUsed/>
    <w:rsid w:val="00011624"/>
    <w:rPr>
      <w:rFonts w:asciiTheme="majorHAnsi" w:eastAsiaTheme="majorEastAsia" w:hAnsiTheme="majorHAnsi" w:cstheme="majorBidi"/>
      <w:b/>
      <w:bCs/>
    </w:rPr>
  </w:style>
  <w:style w:type="paragraph" w:styleId="List">
    <w:name w:val="List"/>
    <w:basedOn w:val="Normal"/>
    <w:uiPriority w:val="99"/>
    <w:semiHidden/>
    <w:unhideWhenUsed/>
    <w:rsid w:val="00011624"/>
    <w:pPr>
      <w:ind w:left="360"/>
      <w:contextualSpacing/>
    </w:pPr>
  </w:style>
  <w:style w:type="paragraph" w:styleId="List2">
    <w:name w:val="List 2"/>
    <w:basedOn w:val="Normal"/>
    <w:uiPriority w:val="99"/>
    <w:semiHidden/>
    <w:unhideWhenUsed/>
    <w:rsid w:val="00011624"/>
    <w:pPr>
      <w:ind w:left="720"/>
      <w:contextualSpacing/>
    </w:pPr>
  </w:style>
  <w:style w:type="paragraph" w:styleId="List3">
    <w:name w:val="List 3"/>
    <w:basedOn w:val="Normal"/>
    <w:uiPriority w:val="99"/>
    <w:semiHidden/>
    <w:unhideWhenUsed/>
    <w:rsid w:val="00011624"/>
    <w:pPr>
      <w:ind w:left="1080"/>
      <w:contextualSpacing/>
    </w:pPr>
  </w:style>
  <w:style w:type="paragraph" w:styleId="List4">
    <w:name w:val="List 4"/>
    <w:basedOn w:val="Normal"/>
    <w:uiPriority w:val="99"/>
    <w:semiHidden/>
    <w:unhideWhenUsed/>
    <w:rsid w:val="00011624"/>
    <w:pPr>
      <w:ind w:left="1440"/>
      <w:contextualSpacing/>
    </w:pPr>
  </w:style>
  <w:style w:type="paragraph" w:styleId="List5">
    <w:name w:val="List 5"/>
    <w:basedOn w:val="Normal"/>
    <w:uiPriority w:val="99"/>
    <w:semiHidden/>
    <w:unhideWhenUsed/>
    <w:rsid w:val="00011624"/>
    <w:pPr>
      <w:ind w:left="1800"/>
      <w:contextualSpacing/>
    </w:pPr>
  </w:style>
  <w:style w:type="paragraph" w:styleId="ListBullet">
    <w:name w:val="List Bullet"/>
    <w:basedOn w:val="Normal"/>
    <w:uiPriority w:val="9"/>
    <w:unhideWhenUsed/>
    <w:rsid w:val="00011624"/>
    <w:pPr>
      <w:numPr>
        <w:numId w:val="7"/>
      </w:numPr>
      <w:contextualSpacing/>
    </w:pPr>
  </w:style>
  <w:style w:type="paragraph" w:styleId="ListBullet2">
    <w:name w:val="List Bullet 2"/>
    <w:basedOn w:val="Normal"/>
    <w:uiPriority w:val="99"/>
    <w:semiHidden/>
    <w:unhideWhenUsed/>
    <w:rsid w:val="00011624"/>
    <w:pPr>
      <w:numPr>
        <w:numId w:val="8"/>
      </w:numPr>
      <w:ind w:firstLine="0"/>
      <w:contextualSpacing/>
    </w:pPr>
  </w:style>
  <w:style w:type="paragraph" w:styleId="ListBullet3">
    <w:name w:val="List Bullet 3"/>
    <w:basedOn w:val="Normal"/>
    <w:uiPriority w:val="99"/>
    <w:semiHidden/>
    <w:unhideWhenUsed/>
    <w:rsid w:val="00011624"/>
    <w:pPr>
      <w:numPr>
        <w:numId w:val="9"/>
      </w:numPr>
      <w:ind w:firstLine="0"/>
      <w:contextualSpacing/>
    </w:pPr>
  </w:style>
  <w:style w:type="paragraph" w:styleId="ListBullet4">
    <w:name w:val="List Bullet 4"/>
    <w:basedOn w:val="Normal"/>
    <w:uiPriority w:val="99"/>
    <w:semiHidden/>
    <w:unhideWhenUsed/>
    <w:rsid w:val="00011624"/>
    <w:pPr>
      <w:numPr>
        <w:numId w:val="10"/>
      </w:numPr>
      <w:ind w:firstLine="0"/>
      <w:contextualSpacing/>
    </w:pPr>
  </w:style>
  <w:style w:type="paragraph" w:styleId="ListBullet5">
    <w:name w:val="List Bullet 5"/>
    <w:basedOn w:val="Normal"/>
    <w:uiPriority w:val="99"/>
    <w:semiHidden/>
    <w:unhideWhenUsed/>
    <w:rsid w:val="00011624"/>
    <w:pPr>
      <w:numPr>
        <w:numId w:val="11"/>
      </w:numPr>
      <w:ind w:firstLine="0"/>
      <w:contextualSpacing/>
    </w:pPr>
  </w:style>
  <w:style w:type="paragraph" w:styleId="ListContinue">
    <w:name w:val="List Continue"/>
    <w:basedOn w:val="Normal"/>
    <w:uiPriority w:val="99"/>
    <w:semiHidden/>
    <w:unhideWhenUsed/>
    <w:rsid w:val="00011624"/>
    <w:pPr>
      <w:spacing w:after="120"/>
      <w:ind w:left="360"/>
      <w:contextualSpacing/>
    </w:pPr>
  </w:style>
  <w:style w:type="paragraph" w:styleId="ListContinue2">
    <w:name w:val="List Continue 2"/>
    <w:basedOn w:val="Normal"/>
    <w:uiPriority w:val="99"/>
    <w:semiHidden/>
    <w:unhideWhenUsed/>
    <w:rsid w:val="00011624"/>
    <w:pPr>
      <w:spacing w:after="120"/>
      <w:ind w:left="720"/>
      <w:contextualSpacing/>
    </w:pPr>
  </w:style>
  <w:style w:type="paragraph" w:styleId="ListContinue3">
    <w:name w:val="List Continue 3"/>
    <w:basedOn w:val="Normal"/>
    <w:uiPriority w:val="99"/>
    <w:semiHidden/>
    <w:unhideWhenUsed/>
    <w:rsid w:val="00011624"/>
    <w:pPr>
      <w:spacing w:after="120"/>
      <w:ind w:left="1080"/>
      <w:contextualSpacing/>
    </w:pPr>
  </w:style>
  <w:style w:type="paragraph" w:styleId="ListContinue4">
    <w:name w:val="List Continue 4"/>
    <w:basedOn w:val="Normal"/>
    <w:uiPriority w:val="99"/>
    <w:semiHidden/>
    <w:unhideWhenUsed/>
    <w:rsid w:val="00011624"/>
    <w:pPr>
      <w:spacing w:after="120"/>
      <w:ind w:left="1440"/>
      <w:contextualSpacing/>
    </w:pPr>
  </w:style>
  <w:style w:type="paragraph" w:styleId="ListContinue5">
    <w:name w:val="List Continue 5"/>
    <w:basedOn w:val="Normal"/>
    <w:uiPriority w:val="99"/>
    <w:semiHidden/>
    <w:unhideWhenUsed/>
    <w:rsid w:val="00011624"/>
    <w:pPr>
      <w:spacing w:after="120"/>
      <w:ind w:left="1800"/>
      <w:contextualSpacing/>
    </w:pPr>
  </w:style>
  <w:style w:type="paragraph" w:styleId="ListNumber">
    <w:name w:val="List Number"/>
    <w:basedOn w:val="Normal"/>
    <w:uiPriority w:val="9"/>
    <w:unhideWhenUsed/>
    <w:rsid w:val="00011624"/>
    <w:pPr>
      <w:numPr>
        <w:numId w:val="12"/>
      </w:numPr>
      <w:contextualSpacing/>
    </w:pPr>
  </w:style>
  <w:style w:type="paragraph" w:styleId="ListNumber2">
    <w:name w:val="List Number 2"/>
    <w:basedOn w:val="Normal"/>
    <w:uiPriority w:val="99"/>
    <w:semiHidden/>
    <w:unhideWhenUsed/>
    <w:rsid w:val="00011624"/>
    <w:pPr>
      <w:numPr>
        <w:numId w:val="13"/>
      </w:numPr>
      <w:ind w:firstLine="0"/>
      <w:contextualSpacing/>
    </w:pPr>
  </w:style>
  <w:style w:type="paragraph" w:styleId="ListNumber3">
    <w:name w:val="List Number 3"/>
    <w:basedOn w:val="Normal"/>
    <w:uiPriority w:val="99"/>
    <w:semiHidden/>
    <w:unhideWhenUsed/>
    <w:rsid w:val="00011624"/>
    <w:pPr>
      <w:numPr>
        <w:numId w:val="14"/>
      </w:numPr>
      <w:ind w:firstLine="0"/>
      <w:contextualSpacing/>
    </w:pPr>
  </w:style>
  <w:style w:type="paragraph" w:styleId="ListNumber4">
    <w:name w:val="List Number 4"/>
    <w:basedOn w:val="Normal"/>
    <w:uiPriority w:val="99"/>
    <w:semiHidden/>
    <w:unhideWhenUsed/>
    <w:rsid w:val="00011624"/>
    <w:pPr>
      <w:numPr>
        <w:numId w:val="15"/>
      </w:numPr>
      <w:ind w:firstLine="0"/>
      <w:contextualSpacing/>
    </w:pPr>
  </w:style>
  <w:style w:type="paragraph" w:styleId="ListNumber5">
    <w:name w:val="List Number 5"/>
    <w:basedOn w:val="Normal"/>
    <w:uiPriority w:val="99"/>
    <w:semiHidden/>
    <w:unhideWhenUsed/>
    <w:rsid w:val="00011624"/>
    <w:pPr>
      <w:numPr>
        <w:numId w:val="16"/>
      </w:numPr>
      <w:ind w:firstLine="0"/>
      <w:contextualSpacing/>
    </w:pPr>
  </w:style>
  <w:style w:type="paragraph" w:styleId="MacroText">
    <w:name w:val="macro"/>
    <w:link w:val="MacroTextChar"/>
    <w:uiPriority w:val="99"/>
    <w:semiHidden/>
    <w:unhideWhenUsed/>
    <w:rsid w:val="00011624"/>
    <w:pPr>
      <w:tabs>
        <w:tab w:val="left" w:pos="480"/>
        <w:tab w:val="left" w:pos="960"/>
        <w:tab w:val="left" w:pos="1440"/>
        <w:tab w:val="left" w:pos="1920"/>
        <w:tab w:val="left" w:pos="2400"/>
        <w:tab w:val="left" w:pos="2880"/>
        <w:tab w:val="left" w:pos="3360"/>
        <w:tab w:val="left" w:pos="3840"/>
        <w:tab w:val="left" w:pos="4320"/>
      </w:tabs>
      <w:spacing w:after="0" w:line="480" w:lineRule="auto"/>
    </w:pPr>
    <w:rPr>
      <w:rFonts w:ascii="Consolas" w:hAnsi="Consolas" w:cs="Consolas"/>
      <w:kern w:val="24"/>
      <w:lang w:eastAsia="ja-JP"/>
    </w:rPr>
  </w:style>
  <w:style w:type="character" w:customStyle="1" w:styleId="MacroTextChar">
    <w:name w:val="Macro Text Char"/>
    <w:basedOn w:val="DefaultParagraphFont"/>
    <w:link w:val="MacroText"/>
    <w:uiPriority w:val="99"/>
    <w:semiHidden/>
    <w:rsid w:val="00011624"/>
    <w:rPr>
      <w:rFonts w:ascii="Consolas" w:hAnsi="Consolas" w:cs="Consolas"/>
      <w:kern w:val="24"/>
      <w:szCs w:val="20"/>
      <w:lang w:eastAsia="ja-JP"/>
    </w:rPr>
  </w:style>
  <w:style w:type="paragraph" w:styleId="MessageHeader">
    <w:name w:val="Message Header"/>
    <w:basedOn w:val="Normal"/>
    <w:link w:val="MessageHeaderChar"/>
    <w:uiPriority w:val="99"/>
    <w:semiHidden/>
    <w:unhideWhenUsed/>
    <w:rsid w:val="00011624"/>
    <w:pPr>
      <w:pBdr>
        <w:top w:val="single" w:sz="6" w:space="1" w:color="auto"/>
        <w:left w:val="single" w:sz="6" w:space="1" w:color="auto"/>
        <w:bottom w:val="single" w:sz="6" w:space="1" w:color="auto"/>
        <w:right w:val="single" w:sz="6" w:space="1" w:color="auto"/>
      </w:pBdr>
      <w:shd w:val="pct20" w:color="auto" w:fill="auto"/>
      <w:spacing w:line="240" w:lineRule="auto"/>
      <w:ind w:left="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011624"/>
    <w:rPr>
      <w:rFonts w:asciiTheme="majorHAnsi" w:eastAsiaTheme="majorEastAsia" w:hAnsiTheme="majorHAnsi" w:cstheme="majorBidi"/>
      <w:kern w:val="24"/>
      <w:sz w:val="24"/>
      <w:szCs w:val="24"/>
      <w:shd w:val="pct20" w:color="auto" w:fill="auto"/>
      <w:lang w:eastAsia="ja-JP"/>
    </w:rPr>
  </w:style>
  <w:style w:type="paragraph" w:styleId="NormalWeb">
    <w:name w:val="Normal (Web)"/>
    <w:basedOn w:val="Normal"/>
    <w:uiPriority w:val="99"/>
    <w:semiHidden/>
    <w:unhideWhenUsed/>
    <w:rsid w:val="00C547DC"/>
    <w:pPr>
      <w:spacing w:before="100" w:beforeAutospacing="1" w:after="100" w:afterAutospacing="1"/>
    </w:pPr>
    <w:rPr>
      <w:rFonts w:cs="Times New Roman"/>
      <w:lang w:eastAsia="en-GB"/>
    </w:rPr>
  </w:style>
  <w:style w:type="paragraph" w:styleId="NormalIndent">
    <w:name w:val="Normal Indent"/>
    <w:basedOn w:val="Normal"/>
    <w:uiPriority w:val="99"/>
    <w:semiHidden/>
    <w:unhideWhenUsed/>
    <w:rsid w:val="00011624"/>
    <w:pPr>
      <w:ind w:left="720"/>
    </w:pPr>
  </w:style>
  <w:style w:type="paragraph" w:styleId="NoteHeading">
    <w:name w:val="Note Heading"/>
    <w:basedOn w:val="Normal"/>
    <w:next w:val="Normal"/>
    <w:link w:val="NoteHeadingChar"/>
    <w:uiPriority w:val="99"/>
    <w:semiHidden/>
    <w:unhideWhenUsed/>
    <w:rsid w:val="00011624"/>
    <w:pPr>
      <w:spacing w:line="240" w:lineRule="auto"/>
    </w:pPr>
  </w:style>
  <w:style w:type="character" w:customStyle="1" w:styleId="NoteHeadingChar">
    <w:name w:val="Note Heading Char"/>
    <w:basedOn w:val="DefaultParagraphFont"/>
    <w:link w:val="NoteHeading"/>
    <w:uiPriority w:val="99"/>
    <w:semiHidden/>
    <w:rsid w:val="00011624"/>
    <w:rPr>
      <w:kern w:val="24"/>
      <w:sz w:val="24"/>
      <w:szCs w:val="24"/>
      <w:lang w:eastAsia="ja-JP"/>
    </w:rPr>
  </w:style>
  <w:style w:type="paragraph" w:styleId="PlainText">
    <w:name w:val="Plain Text"/>
    <w:basedOn w:val="Normal"/>
    <w:link w:val="PlainTextChar"/>
    <w:uiPriority w:val="99"/>
    <w:semiHidden/>
    <w:unhideWhenUsed/>
    <w:rsid w:val="00011624"/>
    <w:pPr>
      <w:spacing w:line="240" w:lineRule="auto"/>
    </w:pPr>
    <w:rPr>
      <w:rFonts w:ascii="Consolas" w:hAnsi="Consolas" w:cs="Consolas"/>
      <w:sz w:val="22"/>
      <w:szCs w:val="21"/>
    </w:rPr>
  </w:style>
  <w:style w:type="character" w:customStyle="1" w:styleId="PlainTextChar">
    <w:name w:val="Plain Text Char"/>
    <w:basedOn w:val="DefaultParagraphFont"/>
    <w:link w:val="PlainText"/>
    <w:uiPriority w:val="99"/>
    <w:semiHidden/>
    <w:rsid w:val="00011624"/>
    <w:rPr>
      <w:rFonts w:ascii="Consolas" w:hAnsi="Consolas" w:cs="Consolas"/>
      <w:kern w:val="24"/>
      <w:szCs w:val="21"/>
      <w:lang w:eastAsia="ja-JP"/>
    </w:rPr>
  </w:style>
  <w:style w:type="paragraph" w:styleId="Salutation">
    <w:name w:val="Salutation"/>
    <w:basedOn w:val="Normal"/>
    <w:next w:val="Normal"/>
    <w:link w:val="SalutationChar"/>
    <w:uiPriority w:val="99"/>
    <w:semiHidden/>
    <w:unhideWhenUsed/>
    <w:rsid w:val="00011624"/>
  </w:style>
  <w:style w:type="character" w:customStyle="1" w:styleId="SalutationChar">
    <w:name w:val="Salutation Char"/>
    <w:basedOn w:val="DefaultParagraphFont"/>
    <w:link w:val="Salutation"/>
    <w:uiPriority w:val="99"/>
    <w:semiHidden/>
    <w:rsid w:val="00011624"/>
    <w:rPr>
      <w:kern w:val="24"/>
      <w:sz w:val="24"/>
      <w:szCs w:val="24"/>
      <w:lang w:eastAsia="ja-JP"/>
    </w:rPr>
  </w:style>
  <w:style w:type="paragraph" w:styleId="Signature">
    <w:name w:val="Signature"/>
    <w:basedOn w:val="Normal"/>
    <w:link w:val="SignatureChar"/>
    <w:uiPriority w:val="99"/>
    <w:semiHidden/>
    <w:unhideWhenUsed/>
    <w:rsid w:val="00011624"/>
    <w:pPr>
      <w:spacing w:line="240" w:lineRule="auto"/>
      <w:ind w:left="4320"/>
    </w:pPr>
  </w:style>
  <w:style w:type="character" w:customStyle="1" w:styleId="SignatureChar">
    <w:name w:val="Signature Char"/>
    <w:basedOn w:val="DefaultParagraphFont"/>
    <w:link w:val="Signature"/>
    <w:uiPriority w:val="99"/>
    <w:semiHidden/>
    <w:rsid w:val="00011624"/>
    <w:rPr>
      <w:kern w:val="24"/>
      <w:sz w:val="24"/>
      <w:szCs w:val="24"/>
      <w:lang w:eastAsia="ja-JP"/>
    </w:rPr>
  </w:style>
  <w:style w:type="paragraph" w:styleId="TableofAuthorities">
    <w:name w:val="table of authorities"/>
    <w:basedOn w:val="Normal"/>
    <w:next w:val="Normal"/>
    <w:uiPriority w:val="99"/>
    <w:semiHidden/>
    <w:unhideWhenUsed/>
    <w:rsid w:val="00011624"/>
    <w:pPr>
      <w:ind w:left="240"/>
    </w:pPr>
  </w:style>
  <w:style w:type="paragraph" w:styleId="TableofFigures">
    <w:name w:val="table of figures"/>
    <w:basedOn w:val="Normal"/>
    <w:next w:val="Normal"/>
    <w:uiPriority w:val="99"/>
    <w:unhideWhenUsed/>
    <w:rsid w:val="00011624"/>
  </w:style>
  <w:style w:type="paragraph" w:styleId="TOAHeading">
    <w:name w:val="toa heading"/>
    <w:basedOn w:val="Normal"/>
    <w:next w:val="Normal"/>
    <w:uiPriority w:val="99"/>
    <w:semiHidden/>
    <w:unhideWhenUsed/>
    <w:rsid w:val="00011624"/>
    <w:pPr>
      <w:spacing w:before="12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rsid w:val="00011624"/>
    <w:pPr>
      <w:spacing w:after="100"/>
      <w:ind w:left="720"/>
    </w:pPr>
  </w:style>
  <w:style w:type="paragraph" w:styleId="TOC5">
    <w:name w:val="toc 5"/>
    <w:basedOn w:val="Normal"/>
    <w:next w:val="Normal"/>
    <w:autoRedefine/>
    <w:uiPriority w:val="39"/>
    <w:semiHidden/>
    <w:unhideWhenUsed/>
    <w:rsid w:val="00011624"/>
    <w:pPr>
      <w:spacing w:after="100"/>
      <w:ind w:left="960"/>
    </w:pPr>
  </w:style>
  <w:style w:type="paragraph" w:styleId="TOC6">
    <w:name w:val="toc 6"/>
    <w:basedOn w:val="Normal"/>
    <w:next w:val="Normal"/>
    <w:autoRedefine/>
    <w:uiPriority w:val="39"/>
    <w:semiHidden/>
    <w:unhideWhenUsed/>
    <w:rsid w:val="00011624"/>
    <w:pPr>
      <w:spacing w:after="100"/>
      <w:ind w:left="1200"/>
    </w:pPr>
  </w:style>
  <w:style w:type="paragraph" w:styleId="TOC7">
    <w:name w:val="toc 7"/>
    <w:basedOn w:val="Normal"/>
    <w:next w:val="Normal"/>
    <w:autoRedefine/>
    <w:uiPriority w:val="39"/>
    <w:semiHidden/>
    <w:unhideWhenUsed/>
    <w:rsid w:val="00011624"/>
    <w:pPr>
      <w:spacing w:after="100"/>
      <w:ind w:left="1440"/>
    </w:pPr>
  </w:style>
  <w:style w:type="paragraph" w:styleId="TOC8">
    <w:name w:val="toc 8"/>
    <w:basedOn w:val="Normal"/>
    <w:next w:val="Normal"/>
    <w:autoRedefine/>
    <w:uiPriority w:val="39"/>
    <w:semiHidden/>
    <w:unhideWhenUsed/>
    <w:rsid w:val="00011624"/>
    <w:pPr>
      <w:spacing w:after="100"/>
      <w:ind w:left="1680"/>
    </w:pPr>
  </w:style>
  <w:style w:type="paragraph" w:styleId="TOC9">
    <w:name w:val="toc 9"/>
    <w:basedOn w:val="Normal"/>
    <w:next w:val="Normal"/>
    <w:autoRedefine/>
    <w:uiPriority w:val="39"/>
    <w:semiHidden/>
    <w:unhideWhenUsed/>
    <w:rsid w:val="00011624"/>
    <w:pPr>
      <w:spacing w:after="100"/>
      <w:ind w:left="1920"/>
    </w:pPr>
  </w:style>
  <w:style w:type="table" w:customStyle="1" w:styleId="APAReport">
    <w:name w:val="APA Report"/>
    <w:basedOn w:val="TableNormal"/>
    <w:uiPriority w:val="99"/>
    <w:rsid w:val="00011624"/>
    <w:pPr>
      <w:spacing w:after="0" w:line="240" w:lineRule="auto"/>
    </w:pPr>
    <w:rPr>
      <w:sz w:val="24"/>
      <w:szCs w:val="24"/>
      <w:lang w:eastAsia="ja-JP"/>
    </w:r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rsid w:val="00011624"/>
    <w:pPr>
      <w:spacing w:before="240"/>
      <w:contextualSpacing/>
    </w:pPr>
  </w:style>
  <w:style w:type="table" w:styleId="PlainTable1">
    <w:name w:val="Plain Table 1"/>
    <w:basedOn w:val="TableNormal"/>
    <w:uiPriority w:val="41"/>
    <w:rsid w:val="00011624"/>
    <w:pPr>
      <w:spacing w:after="0" w:line="240" w:lineRule="auto"/>
      <w:ind w:firstLine="720"/>
    </w:pPr>
    <w:rPr>
      <w:sz w:val="24"/>
      <w:szCs w:val="24"/>
      <w:lang w:eastAsia="ja-JP"/>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011624"/>
    <w:rPr>
      <w:sz w:val="22"/>
      <w:szCs w:val="16"/>
    </w:rPr>
  </w:style>
  <w:style w:type="character" w:styleId="HTMLCode">
    <w:name w:val="HTML Code"/>
    <w:basedOn w:val="DefaultParagraphFont"/>
    <w:uiPriority w:val="99"/>
    <w:semiHidden/>
    <w:unhideWhenUsed/>
    <w:rsid w:val="00011624"/>
    <w:rPr>
      <w:rFonts w:ascii="Consolas" w:hAnsi="Consolas"/>
      <w:sz w:val="22"/>
      <w:szCs w:val="20"/>
    </w:rPr>
  </w:style>
  <w:style w:type="character" w:styleId="HTMLKeyboard">
    <w:name w:val="HTML Keyboard"/>
    <w:basedOn w:val="DefaultParagraphFont"/>
    <w:uiPriority w:val="99"/>
    <w:semiHidden/>
    <w:unhideWhenUsed/>
    <w:rsid w:val="00011624"/>
    <w:rPr>
      <w:rFonts w:ascii="Consolas" w:hAnsi="Consolas"/>
      <w:sz w:val="22"/>
      <w:szCs w:val="20"/>
    </w:rPr>
  </w:style>
  <w:style w:type="character" w:styleId="HTMLTypewriter">
    <w:name w:val="HTML Typewriter"/>
    <w:basedOn w:val="DefaultParagraphFont"/>
    <w:uiPriority w:val="99"/>
    <w:semiHidden/>
    <w:unhideWhenUsed/>
    <w:rsid w:val="00011624"/>
    <w:rPr>
      <w:rFonts w:ascii="Consolas" w:hAnsi="Consolas"/>
      <w:sz w:val="22"/>
      <w:szCs w:val="20"/>
    </w:rPr>
  </w:style>
  <w:style w:type="character" w:styleId="FollowedHyperlink">
    <w:name w:val="FollowedHyperlink"/>
    <w:basedOn w:val="DefaultParagraphFont"/>
    <w:uiPriority w:val="99"/>
    <w:semiHidden/>
    <w:unhideWhenUsed/>
    <w:rsid w:val="00011624"/>
    <w:rPr>
      <w:color w:val="595959" w:themeColor="text1" w:themeTint="A6"/>
      <w:u w:val="single"/>
    </w:rPr>
  </w:style>
  <w:style w:type="paragraph" w:customStyle="1" w:styleId="Title2">
    <w:name w:val="Title 2"/>
    <w:basedOn w:val="Normal"/>
    <w:uiPriority w:val="1"/>
    <w:rsid w:val="00011624"/>
    <w:pPr>
      <w:jc w:val="center"/>
    </w:pPr>
  </w:style>
  <w:style w:type="character" w:customStyle="1" w:styleId="apple-tab-span">
    <w:name w:val="apple-tab-span"/>
    <w:basedOn w:val="DefaultParagraphFont"/>
    <w:rsid w:val="00C547DC"/>
  </w:style>
  <w:style w:type="paragraph" w:styleId="TOC3">
    <w:name w:val="toc 3"/>
    <w:basedOn w:val="Normal"/>
    <w:next w:val="Normal"/>
    <w:autoRedefine/>
    <w:uiPriority w:val="39"/>
    <w:unhideWhenUsed/>
    <w:rsid w:val="009250E2"/>
    <w:pPr>
      <w:spacing w:after="100"/>
      <w:ind w:left="480"/>
    </w:pPr>
  </w:style>
  <w:style w:type="character" w:styleId="UnresolvedMention">
    <w:name w:val="Unresolved Mention"/>
    <w:basedOn w:val="DefaultParagraphFont"/>
    <w:uiPriority w:val="99"/>
    <w:semiHidden/>
    <w:unhideWhenUsed/>
    <w:rsid w:val="003727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663223">
      <w:bodyDiv w:val="1"/>
      <w:marLeft w:val="0"/>
      <w:marRight w:val="0"/>
      <w:marTop w:val="0"/>
      <w:marBottom w:val="0"/>
      <w:divBdr>
        <w:top w:val="none" w:sz="0" w:space="0" w:color="auto"/>
        <w:left w:val="none" w:sz="0" w:space="0" w:color="auto"/>
        <w:bottom w:val="none" w:sz="0" w:space="0" w:color="auto"/>
        <w:right w:val="none" w:sz="0" w:space="0" w:color="auto"/>
      </w:divBdr>
    </w:div>
    <w:div w:id="53162250">
      <w:bodyDiv w:val="1"/>
      <w:marLeft w:val="0"/>
      <w:marRight w:val="0"/>
      <w:marTop w:val="0"/>
      <w:marBottom w:val="0"/>
      <w:divBdr>
        <w:top w:val="none" w:sz="0" w:space="0" w:color="auto"/>
        <w:left w:val="none" w:sz="0" w:space="0" w:color="auto"/>
        <w:bottom w:val="none" w:sz="0" w:space="0" w:color="auto"/>
        <w:right w:val="none" w:sz="0" w:space="0" w:color="auto"/>
      </w:divBdr>
    </w:div>
    <w:div w:id="65541688">
      <w:bodyDiv w:val="1"/>
      <w:marLeft w:val="0"/>
      <w:marRight w:val="0"/>
      <w:marTop w:val="0"/>
      <w:marBottom w:val="0"/>
      <w:divBdr>
        <w:top w:val="none" w:sz="0" w:space="0" w:color="auto"/>
        <w:left w:val="none" w:sz="0" w:space="0" w:color="auto"/>
        <w:bottom w:val="none" w:sz="0" w:space="0" w:color="auto"/>
        <w:right w:val="none" w:sz="0" w:space="0" w:color="auto"/>
      </w:divBdr>
    </w:div>
    <w:div w:id="104472114">
      <w:bodyDiv w:val="1"/>
      <w:marLeft w:val="0"/>
      <w:marRight w:val="0"/>
      <w:marTop w:val="0"/>
      <w:marBottom w:val="0"/>
      <w:divBdr>
        <w:top w:val="none" w:sz="0" w:space="0" w:color="auto"/>
        <w:left w:val="none" w:sz="0" w:space="0" w:color="auto"/>
        <w:bottom w:val="none" w:sz="0" w:space="0" w:color="auto"/>
        <w:right w:val="none" w:sz="0" w:space="0" w:color="auto"/>
      </w:divBdr>
    </w:div>
    <w:div w:id="104620337">
      <w:bodyDiv w:val="1"/>
      <w:marLeft w:val="0"/>
      <w:marRight w:val="0"/>
      <w:marTop w:val="0"/>
      <w:marBottom w:val="0"/>
      <w:divBdr>
        <w:top w:val="none" w:sz="0" w:space="0" w:color="auto"/>
        <w:left w:val="none" w:sz="0" w:space="0" w:color="auto"/>
        <w:bottom w:val="none" w:sz="0" w:space="0" w:color="auto"/>
        <w:right w:val="none" w:sz="0" w:space="0" w:color="auto"/>
      </w:divBdr>
    </w:div>
    <w:div w:id="266814797">
      <w:bodyDiv w:val="1"/>
      <w:marLeft w:val="0"/>
      <w:marRight w:val="0"/>
      <w:marTop w:val="0"/>
      <w:marBottom w:val="0"/>
      <w:divBdr>
        <w:top w:val="none" w:sz="0" w:space="0" w:color="auto"/>
        <w:left w:val="none" w:sz="0" w:space="0" w:color="auto"/>
        <w:bottom w:val="none" w:sz="0" w:space="0" w:color="auto"/>
        <w:right w:val="none" w:sz="0" w:space="0" w:color="auto"/>
      </w:divBdr>
    </w:div>
    <w:div w:id="325868685">
      <w:bodyDiv w:val="1"/>
      <w:marLeft w:val="0"/>
      <w:marRight w:val="0"/>
      <w:marTop w:val="0"/>
      <w:marBottom w:val="0"/>
      <w:divBdr>
        <w:top w:val="none" w:sz="0" w:space="0" w:color="auto"/>
        <w:left w:val="none" w:sz="0" w:space="0" w:color="auto"/>
        <w:bottom w:val="none" w:sz="0" w:space="0" w:color="auto"/>
        <w:right w:val="none" w:sz="0" w:space="0" w:color="auto"/>
      </w:divBdr>
    </w:div>
    <w:div w:id="384448585">
      <w:bodyDiv w:val="1"/>
      <w:marLeft w:val="0"/>
      <w:marRight w:val="0"/>
      <w:marTop w:val="0"/>
      <w:marBottom w:val="0"/>
      <w:divBdr>
        <w:top w:val="none" w:sz="0" w:space="0" w:color="auto"/>
        <w:left w:val="none" w:sz="0" w:space="0" w:color="auto"/>
        <w:bottom w:val="none" w:sz="0" w:space="0" w:color="auto"/>
        <w:right w:val="none" w:sz="0" w:space="0" w:color="auto"/>
      </w:divBdr>
    </w:div>
    <w:div w:id="390614333">
      <w:bodyDiv w:val="1"/>
      <w:marLeft w:val="0"/>
      <w:marRight w:val="0"/>
      <w:marTop w:val="0"/>
      <w:marBottom w:val="0"/>
      <w:divBdr>
        <w:top w:val="none" w:sz="0" w:space="0" w:color="auto"/>
        <w:left w:val="none" w:sz="0" w:space="0" w:color="auto"/>
        <w:bottom w:val="none" w:sz="0" w:space="0" w:color="auto"/>
        <w:right w:val="none" w:sz="0" w:space="0" w:color="auto"/>
      </w:divBdr>
      <w:divsChild>
        <w:div w:id="398096908">
          <w:marLeft w:val="0"/>
          <w:marRight w:val="0"/>
          <w:marTop w:val="0"/>
          <w:marBottom w:val="0"/>
          <w:divBdr>
            <w:top w:val="none" w:sz="0" w:space="0" w:color="auto"/>
            <w:left w:val="none" w:sz="0" w:space="0" w:color="auto"/>
            <w:bottom w:val="none" w:sz="0" w:space="0" w:color="auto"/>
            <w:right w:val="none" w:sz="0" w:space="0" w:color="auto"/>
          </w:divBdr>
        </w:div>
        <w:div w:id="1477649318">
          <w:marLeft w:val="0"/>
          <w:marRight w:val="0"/>
          <w:marTop w:val="0"/>
          <w:marBottom w:val="0"/>
          <w:divBdr>
            <w:top w:val="none" w:sz="0" w:space="0" w:color="auto"/>
            <w:left w:val="none" w:sz="0" w:space="0" w:color="auto"/>
            <w:bottom w:val="none" w:sz="0" w:space="0" w:color="auto"/>
            <w:right w:val="none" w:sz="0" w:space="0" w:color="auto"/>
          </w:divBdr>
        </w:div>
      </w:divsChild>
    </w:div>
    <w:div w:id="586306337">
      <w:bodyDiv w:val="1"/>
      <w:marLeft w:val="0"/>
      <w:marRight w:val="0"/>
      <w:marTop w:val="0"/>
      <w:marBottom w:val="0"/>
      <w:divBdr>
        <w:top w:val="none" w:sz="0" w:space="0" w:color="auto"/>
        <w:left w:val="none" w:sz="0" w:space="0" w:color="auto"/>
        <w:bottom w:val="none" w:sz="0" w:space="0" w:color="auto"/>
        <w:right w:val="none" w:sz="0" w:space="0" w:color="auto"/>
      </w:divBdr>
    </w:div>
    <w:div w:id="605887940">
      <w:bodyDiv w:val="1"/>
      <w:marLeft w:val="0"/>
      <w:marRight w:val="0"/>
      <w:marTop w:val="0"/>
      <w:marBottom w:val="0"/>
      <w:divBdr>
        <w:top w:val="none" w:sz="0" w:space="0" w:color="auto"/>
        <w:left w:val="none" w:sz="0" w:space="0" w:color="auto"/>
        <w:bottom w:val="none" w:sz="0" w:space="0" w:color="auto"/>
        <w:right w:val="none" w:sz="0" w:space="0" w:color="auto"/>
      </w:divBdr>
      <w:divsChild>
        <w:div w:id="733503619">
          <w:marLeft w:val="0"/>
          <w:marRight w:val="0"/>
          <w:marTop w:val="0"/>
          <w:marBottom w:val="0"/>
          <w:divBdr>
            <w:top w:val="none" w:sz="0" w:space="0" w:color="auto"/>
            <w:left w:val="none" w:sz="0" w:space="0" w:color="auto"/>
            <w:bottom w:val="none" w:sz="0" w:space="0" w:color="auto"/>
            <w:right w:val="none" w:sz="0" w:space="0" w:color="auto"/>
          </w:divBdr>
          <w:divsChild>
            <w:div w:id="46102744">
              <w:marLeft w:val="0"/>
              <w:marRight w:val="0"/>
              <w:marTop w:val="0"/>
              <w:marBottom w:val="0"/>
              <w:divBdr>
                <w:top w:val="none" w:sz="0" w:space="0" w:color="auto"/>
                <w:left w:val="none" w:sz="0" w:space="0" w:color="auto"/>
                <w:bottom w:val="none" w:sz="0" w:space="0" w:color="auto"/>
                <w:right w:val="none" w:sz="0" w:space="0" w:color="auto"/>
              </w:divBdr>
              <w:divsChild>
                <w:div w:id="138961253">
                  <w:marLeft w:val="0"/>
                  <w:marRight w:val="0"/>
                  <w:marTop w:val="0"/>
                  <w:marBottom w:val="0"/>
                  <w:divBdr>
                    <w:top w:val="none" w:sz="0" w:space="0" w:color="auto"/>
                    <w:left w:val="none" w:sz="0" w:space="0" w:color="auto"/>
                    <w:bottom w:val="none" w:sz="0" w:space="0" w:color="auto"/>
                    <w:right w:val="none" w:sz="0" w:space="0" w:color="auto"/>
                  </w:divBdr>
                </w:div>
                <w:div w:id="167215041">
                  <w:marLeft w:val="0"/>
                  <w:marRight w:val="0"/>
                  <w:marTop w:val="0"/>
                  <w:marBottom w:val="0"/>
                  <w:divBdr>
                    <w:top w:val="none" w:sz="0" w:space="0" w:color="auto"/>
                    <w:left w:val="none" w:sz="0" w:space="0" w:color="auto"/>
                    <w:bottom w:val="none" w:sz="0" w:space="0" w:color="auto"/>
                    <w:right w:val="none" w:sz="0" w:space="0" w:color="auto"/>
                  </w:divBdr>
                </w:div>
                <w:div w:id="172652654">
                  <w:marLeft w:val="0"/>
                  <w:marRight w:val="0"/>
                  <w:marTop w:val="0"/>
                  <w:marBottom w:val="0"/>
                  <w:divBdr>
                    <w:top w:val="none" w:sz="0" w:space="0" w:color="auto"/>
                    <w:left w:val="none" w:sz="0" w:space="0" w:color="auto"/>
                    <w:bottom w:val="none" w:sz="0" w:space="0" w:color="auto"/>
                    <w:right w:val="none" w:sz="0" w:space="0" w:color="auto"/>
                  </w:divBdr>
                </w:div>
                <w:div w:id="286283609">
                  <w:marLeft w:val="0"/>
                  <w:marRight w:val="0"/>
                  <w:marTop w:val="0"/>
                  <w:marBottom w:val="0"/>
                  <w:divBdr>
                    <w:top w:val="none" w:sz="0" w:space="0" w:color="auto"/>
                    <w:left w:val="none" w:sz="0" w:space="0" w:color="auto"/>
                    <w:bottom w:val="none" w:sz="0" w:space="0" w:color="auto"/>
                    <w:right w:val="none" w:sz="0" w:space="0" w:color="auto"/>
                  </w:divBdr>
                </w:div>
                <w:div w:id="297732856">
                  <w:marLeft w:val="0"/>
                  <w:marRight w:val="0"/>
                  <w:marTop w:val="0"/>
                  <w:marBottom w:val="0"/>
                  <w:divBdr>
                    <w:top w:val="none" w:sz="0" w:space="0" w:color="auto"/>
                    <w:left w:val="none" w:sz="0" w:space="0" w:color="auto"/>
                    <w:bottom w:val="none" w:sz="0" w:space="0" w:color="auto"/>
                    <w:right w:val="none" w:sz="0" w:space="0" w:color="auto"/>
                  </w:divBdr>
                </w:div>
                <w:div w:id="308169940">
                  <w:marLeft w:val="0"/>
                  <w:marRight w:val="0"/>
                  <w:marTop w:val="0"/>
                  <w:marBottom w:val="0"/>
                  <w:divBdr>
                    <w:top w:val="none" w:sz="0" w:space="0" w:color="auto"/>
                    <w:left w:val="none" w:sz="0" w:space="0" w:color="auto"/>
                    <w:bottom w:val="none" w:sz="0" w:space="0" w:color="auto"/>
                    <w:right w:val="none" w:sz="0" w:space="0" w:color="auto"/>
                  </w:divBdr>
                </w:div>
                <w:div w:id="358239971">
                  <w:marLeft w:val="0"/>
                  <w:marRight w:val="0"/>
                  <w:marTop w:val="0"/>
                  <w:marBottom w:val="0"/>
                  <w:divBdr>
                    <w:top w:val="none" w:sz="0" w:space="0" w:color="auto"/>
                    <w:left w:val="none" w:sz="0" w:space="0" w:color="auto"/>
                    <w:bottom w:val="none" w:sz="0" w:space="0" w:color="auto"/>
                    <w:right w:val="none" w:sz="0" w:space="0" w:color="auto"/>
                  </w:divBdr>
                </w:div>
                <w:div w:id="362677353">
                  <w:marLeft w:val="0"/>
                  <w:marRight w:val="0"/>
                  <w:marTop w:val="0"/>
                  <w:marBottom w:val="0"/>
                  <w:divBdr>
                    <w:top w:val="none" w:sz="0" w:space="0" w:color="auto"/>
                    <w:left w:val="none" w:sz="0" w:space="0" w:color="auto"/>
                    <w:bottom w:val="none" w:sz="0" w:space="0" w:color="auto"/>
                    <w:right w:val="none" w:sz="0" w:space="0" w:color="auto"/>
                  </w:divBdr>
                </w:div>
                <w:div w:id="618142538">
                  <w:marLeft w:val="0"/>
                  <w:marRight w:val="0"/>
                  <w:marTop w:val="0"/>
                  <w:marBottom w:val="0"/>
                  <w:divBdr>
                    <w:top w:val="none" w:sz="0" w:space="0" w:color="auto"/>
                    <w:left w:val="none" w:sz="0" w:space="0" w:color="auto"/>
                    <w:bottom w:val="none" w:sz="0" w:space="0" w:color="auto"/>
                    <w:right w:val="none" w:sz="0" w:space="0" w:color="auto"/>
                  </w:divBdr>
                </w:div>
                <w:div w:id="619646999">
                  <w:marLeft w:val="0"/>
                  <w:marRight w:val="0"/>
                  <w:marTop w:val="0"/>
                  <w:marBottom w:val="0"/>
                  <w:divBdr>
                    <w:top w:val="none" w:sz="0" w:space="0" w:color="auto"/>
                    <w:left w:val="none" w:sz="0" w:space="0" w:color="auto"/>
                    <w:bottom w:val="none" w:sz="0" w:space="0" w:color="auto"/>
                    <w:right w:val="none" w:sz="0" w:space="0" w:color="auto"/>
                  </w:divBdr>
                </w:div>
                <w:div w:id="623315005">
                  <w:marLeft w:val="0"/>
                  <w:marRight w:val="0"/>
                  <w:marTop w:val="0"/>
                  <w:marBottom w:val="0"/>
                  <w:divBdr>
                    <w:top w:val="none" w:sz="0" w:space="0" w:color="auto"/>
                    <w:left w:val="none" w:sz="0" w:space="0" w:color="auto"/>
                    <w:bottom w:val="none" w:sz="0" w:space="0" w:color="auto"/>
                    <w:right w:val="none" w:sz="0" w:space="0" w:color="auto"/>
                  </w:divBdr>
                </w:div>
                <w:div w:id="670644918">
                  <w:marLeft w:val="0"/>
                  <w:marRight w:val="0"/>
                  <w:marTop w:val="0"/>
                  <w:marBottom w:val="0"/>
                  <w:divBdr>
                    <w:top w:val="none" w:sz="0" w:space="0" w:color="auto"/>
                    <w:left w:val="none" w:sz="0" w:space="0" w:color="auto"/>
                    <w:bottom w:val="none" w:sz="0" w:space="0" w:color="auto"/>
                    <w:right w:val="none" w:sz="0" w:space="0" w:color="auto"/>
                  </w:divBdr>
                </w:div>
                <w:div w:id="680861110">
                  <w:marLeft w:val="0"/>
                  <w:marRight w:val="0"/>
                  <w:marTop w:val="0"/>
                  <w:marBottom w:val="0"/>
                  <w:divBdr>
                    <w:top w:val="none" w:sz="0" w:space="0" w:color="auto"/>
                    <w:left w:val="none" w:sz="0" w:space="0" w:color="auto"/>
                    <w:bottom w:val="none" w:sz="0" w:space="0" w:color="auto"/>
                    <w:right w:val="none" w:sz="0" w:space="0" w:color="auto"/>
                  </w:divBdr>
                </w:div>
                <w:div w:id="685060197">
                  <w:marLeft w:val="0"/>
                  <w:marRight w:val="0"/>
                  <w:marTop w:val="0"/>
                  <w:marBottom w:val="0"/>
                  <w:divBdr>
                    <w:top w:val="none" w:sz="0" w:space="0" w:color="auto"/>
                    <w:left w:val="none" w:sz="0" w:space="0" w:color="auto"/>
                    <w:bottom w:val="none" w:sz="0" w:space="0" w:color="auto"/>
                    <w:right w:val="none" w:sz="0" w:space="0" w:color="auto"/>
                  </w:divBdr>
                </w:div>
                <w:div w:id="754209779">
                  <w:marLeft w:val="0"/>
                  <w:marRight w:val="0"/>
                  <w:marTop w:val="0"/>
                  <w:marBottom w:val="0"/>
                  <w:divBdr>
                    <w:top w:val="none" w:sz="0" w:space="0" w:color="auto"/>
                    <w:left w:val="none" w:sz="0" w:space="0" w:color="auto"/>
                    <w:bottom w:val="none" w:sz="0" w:space="0" w:color="auto"/>
                    <w:right w:val="none" w:sz="0" w:space="0" w:color="auto"/>
                  </w:divBdr>
                </w:div>
                <w:div w:id="859440898">
                  <w:marLeft w:val="0"/>
                  <w:marRight w:val="0"/>
                  <w:marTop w:val="0"/>
                  <w:marBottom w:val="0"/>
                  <w:divBdr>
                    <w:top w:val="none" w:sz="0" w:space="0" w:color="auto"/>
                    <w:left w:val="none" w:sz="0" w:space="0" w:color="auto"/>
                    <w:bottom w:val="none" w:sz="0" w:space="0" w:color="auto"/>
                    <w:right w:val="none" w:sz="0" w:space="0" w:color="auto"/>
                  </w:divBdr>
                </w:div>
                <w:div w:id="1010252507">
                  <w:marLeft w:val="0"/>
                  <w:marRight w:val="0"/>
                  <w:marTop w:val="0"/>
                  <w:marBottom w:val="0"/>
                  <w:divBdr>
                    <w:top w:val="none" w:sz="0" w:space="0" w:color="auto"/>
                    <w:left w:val="none" w:sz="0" w:space="0" w:color="auto"/>
                    <w:bottom w:val="none" w:sz="0" w:space="0" w:color="auto"/>
                    <w:right w:val="none" w:sz="0" w:space="0" w:color="auto"/>
                  </w:divBdr>
                </w:div>
                <w:div w:id="1031764274">
                  <w:marLeft w:val="0"/>
                  <w:marRight w:val="0"/>
                  <w:marTop w:val="0"/>
                  <w:marBottom w:val="0"/>
                  <w:divBdr>
                    <w:top w:val="none" w:sz="0" w:space="0" w:color="auto"/>
                    <w:left w:val="none" w:sz="0" w:space="0" w:color="auto"/>
                    <w:bottom w:val="none" w:sz="0" w:space="0" w:color="auto"/>
                    <w:right w:val="none" w:sz="0" w:space="0" w:color="auto"/>
                  </w:divBdr>
                </w:div>
                <w:div w:id="1106542459">
                  <w:marLeft w:val="0"/>
                  <w:marRight w:val="0"/>
                  <w:marTop w:val="0"/>
                  <w:marBottom w:val="0"/>
                  <w:divBdr>
                    <w:top w:val="none" w:sz="0" w:space="0" w:color="auto"/>
                    <w:left w:val="none" w:sz="0" w:space="0" w:color="auto"/>
                    <w:bottom w:val="none" w:sz="0" w:space="0" w:color="auto"/>
                    <w:right w:val="none" w:sz="0" w:space="0" w:color="auto"/>
                  </w:divBdr>
                </w:div>
                <w:div w:id="1179196314">
                  <w:marLeft w:val="0"/>
                  <w:marRight w:val="0"/>
                  <w:marTop w:val="0"/>
                  <w:marBottom w:val="0"/>
                  <w:divBdr>
                    <w:top w:val="none" w:sz="0" w:space="0" w:color="auto"/>
                    <w:left w:val="none" w:sz="0" w:space="0" w:color="auto"/>
                    <w:bottom w:val="none" w:sz="0" w:space="0" w:color="auto"/>
                    <w:right w:val="none" w:sz="0" w:space="0" w:color="auto"/>
                  </w:divBdr>
                </w:div>
                <w:div w:id="1216501755">
                  <w:marLeft w:val="0"/>
                  <w:marRight w:val="0"/>
                  <w:marTop w:val="0"/>
                  <w:marBottom w:val="0"/>
                  <w:divBdr>
                    <w:top w:val="none" w:sz="0" w:space="0" w:color="auto"/>
                    <w:left w:val="none" w:sz="0" w:space="0" w:color="auto"/>
                    <w:bottom w:val="none" w:sz="0" w:space="0" w:color="auto"/>
                    <w:right w:val="none" w:sz="0" w:space="0" w:color="auto"/>
                  </w:divBdr>
                </w:div>
                <w:div w:id="1258905583">
                  <w:marLeft w:val="0"/>
                  <w:marRight w:val="0"/>
                  <w:marTop w:val="0"/>
                  <w:marBottom w:val="0"/>
                  <w:divBdr>
                    <w:top w:val="none" w:sz="0" w:space="0" w:color="auto"/>
                    <w:left w:val="none" w:sz="0" w:space="0" w:color="auto"/>
                    <w:bottom w:val="none" w:sz="0" w:space="0" w:color="auto"/>
                    <w:right w:val="none" w:sz="0" w:space="0" w:color="auto"/>
                  </w:divBdr>
                </w:div>
                <w:div w:id="1348481017">
                  <w:marLeft w:val="0"/>
                  <w:marRight w:val="0"/>
                  <w:marTop w:val="0"/>
                  <w:marBottom w:val="0"/>
                  <w:divBdr>
                    <w:top w:val="none" w:sz="0" w:space="0" w:color="auto"/>
                    <w:left w:val="none" w:sz="0" w:space="0" w:color="auto"/>
                    <w:bottom w:val="none" w:sz="0" w:space="0" w:color="auto"/>
                    <w:right w:val="none" w:sz="0" w:space="0" w:color="auto"/>
                  </w:divBdr>
                </w:div>
                <w:div w:id="1441953253">
                  <w:marLeft w:val="0"/>
                  <w:marRight w:val="0"/>
                  <w:marTop w:val="0"/>
                  <w:marBottom w:val="0"/>
                  <w:divBdr>
                    <w:top w:val="none" w:sz="0" w:space="0" w:color="auto"/>
                    <w:left w:val="none" w:sz="0" w:space="0" w:color="auto"/>
                    <w:bottom w:val="none" w:sz="0" w:space="0" w:color="auto"/>
                    <w:right w:val="none" w:sz="0" w:space="0" w:color="auto"/>
                  </w:divBdr>
                </w:div>
                <w:div w:id="1449004377">
                  <w:marLeft w:val="0"/>
                  <w:marRight w:val="0"/>
                  <w:marTop w:val="0"/>
                  <w:marBottom w:val="0"/>
                  <w:divBdr>
                    <w:top w:val="none" w:sz="0" w:space="0" w:color="auto"/>
                    <w:left w:val="none" w:sz="0" w:space="0" w:color="auto"/>
                    <w:bottom w:val="none" w:sz="0" w:space="0" w:color="auto"/>
                    <w:right w:val="none" w:sz="0" w:space="0" w:color="auto"/>
                  </w:divBdr>
                </w:div>
                <w:div w:id="1483153031">
                  <w:marLeft w:val="0"/>
                  <w:marRight w:val="0"/>
                  <w:marTop w:val="0"/>
                  <w:marBottom w:val="0"/>
                  <w:divBdr>
                    <w:top w:val="none" w:sz="0" w:space="0" w:color="auto"/>
                    <w:left w:val="none" w:sz="0" w:space="0" w:color="auto"/>
                    <w:bottom w:val="none" w:sz="0" w:space="0" w:color="auto"/>
                    <w:right w:val="none" w:sz="0" w:space="0" w:color="auto"/>
                  </w:divBdr>
                </w:div>
                <w:div w:id="1492139104">
                  <w:marLeft w:val="0"/>
                  <w:marRight w:val="0"/>
                  <w:marTop w:val="0"/>
                  <w:marBottom w:val="0"/>
                  <w:divBdr>
                    <w:top w:val="none" w:sz="0" w:space="0" w:color="auto"/>
                    <w:left w:val="none" w:sz="0" w:space="0" w:color="auto"/>
                    <w:bottom w:val="none" w:sz="0" w:space="0" w:color="auto"/>
                    <w:right w:val="none" w:sz="0" w:space="0" w:color="auto"/>
                  </w:divBdr>
                </w:div>
                <w:div w:id="1571843584">
                  <w:marLeft w:val="0"/>
                  <w:marRight w:val="0"/>
                  <w:marTop w:val="0"/>
                  <w:marBottom w:val="0"/>
                  <w:divBdr>
                    <w:top w:val="none" w:sz="0" w:space="0" w:color="auto"/>
                    <w:left w:val="none" w:sz="0" w:space="0" w:color="auto"/>
                    <w:bottom w:val="none" w:sz="0" w:space="0" w:color="auto"/>
                    <w:right w:val="none" w:sz="0" w:space="0" w:color="auto"/>
                  </w:divBdr>
                </w:div>
                <w:div w:id="1585259401">
                  <w:marLeft w:val="0"/>
                  <w:marRight w:val="0"/>
                  <w:marTop w:val="0"/>
                  <w:marBottom w:val="0"/>
                  <w:divBdr>
                    <w:top w:val="none" w:sz="0" w:space="0" w:color="auto"/>
                    <w:left w:val="none" w:sz="0" w:space="0" w:color="auto"/>
                    <w:bottom w:val="none" w:sz="0" w:space="0" w:color="auto"/>
                    <w:right w:val="none" w:sz="0" w:space="0" w:color="auto"/>
                  </w:divBdr>
                </w:div>
                <w:div w:id="1664894509">
                  <w:marLeft w:val="0"/>
                  <w:marRight w:val="0"/>
                  <w:marTop w:val="0"/>
                  <w:marBottom w:val="0"/>
                  <w:divBdr>
                    <w:top w:val="none" w:sz="0" w:space="0" w:color="auto"/>
                    <w:left w:val="none" w:sz="0" w:space="0" w:color="auto"/>
                    <w:bottom w:val="none" w:sz="0" w:space="0" w:color="auto"/>
                    <w:right w:val="none" w:sz="0" w:space="0" w:color="auto"/>
                  </w:divBdr>
                </w:div>
                <w:div w:id="1712879301">
                  <w:marLeft w:val="0"/>
                  <w:marRight w:val="0"/>
                  <w:marTop w:val="0"/>
                  <w:marBottom w:val="0"/>
                  <w:divBdr>
                    <w:top w:val="none" w:sz="0" w:space="0" w:color="auto"/>
                    <w:left w:val="none" w:sz="0" w:space="0" w:color="auto"/>
                    <w:bottom w:val="none" w:sz="0" w:space="0" w:color="auto"/>
                    <w:right w:val="none" w:sz="0" w:space="0" w:color="auto"/>
                  </w:divBdr>
                </w:div>
                <w:div w:id="1730179842">
                  <w:marLeft w:val="0"/>
                  <w:marRight w:val="0"/>
                  <w:marTop w:val="0"/>
                  <w:marBottom w:val="0"/>
                  <w:divBdr>
                    <w:top w:val="none" w:sz="0" w:space="0" w:color="auto"/>
                    <w:left w:val="none" w:sz="0" w:space="0" w:color="auto"/>
                    <w:bottom w:val="none" w:sz="0" w:space="0" w:color="auto"/>
                    <w:right w:val="none" w:sz="0" w:space="0" w:color="auto"/>
                  </w:divBdr>
                </w:div>
                <w:div w:id="1948661259">
                  <w:marLeft w:val="0"/>
                  <w:marRight w:val="0"/>
                  <w:marTop w:val="0"/>
                  <w:marBottom w:val="0"/>
                  <w:divBdr>
                    <w:top w:val="none" w:sz="0" w:space="0" w:color="auto"/>
                    <w:left w:val="none" w:sz="0" w:space="0" w:color="auto"/>
                    <w:bottom w:val="none" w:sz="0" w:space="0" w:color="auto"/>
                    <w:right w:val="none" w:sz="0" w:space="0" w:color="auto"/>
                  </w:divBdr>
                </w:div>
                <w:div w:id="1966697346">
                  <w:marLeft w:val="0"/>
                  <w:marRight w:val="0"/>
                  <w:marTop w:val="0"/>
                  <w:marBottom w:val="0"/>
                  <w:divBdr>
                    <w:top w:val="none" w:sz="0" w:space="0" w:color="auto"/>
                    <w:left w:val="none" w:sz="0" w:space="0" w:color="auto"/>
                    <w:bottom w:val="none" w:sz="0" w:space="0" w:color="auto"/>
                    <w:right w:val="none" w:sz="0" w:space="0" w:color="auto"/>
                  </w:divBdr>
                </w:div>
                <w:div w:id="1983149860">
                  <w:marLeft w:val="0"/>
                  <w:marRight w:val="0"/>
                  <w:marTop w:val="0"/>
                  <w:marBottom w:val="0"/>
                  <w:divBdr>
                    <w:top w:val="none" w:sz="0" w:space="0" w:color="auto"/>
                    <w:left w:val="none" w:sz="0" w:space="0" w:color="auto"/>
                    <w:bottom w:val="none" w:sz="0" w:space="0" w:color="auto"/>
                    <w:right w:val="none" w:sz="0" w:space="0" w:color="auto"/>
                  </w:divBdr>
                </w:div>
                <w:div w:id="2041276178">
                  <w:marLeft w:val="0"/>
                  <w:marRight w:val="0"/>
                  <w:marTop w:val="0"/>
                  <w:marBottom w:val="0"/>
                  <w:divBdr>
                    <w:top w:val="none" w:sz="0" w:space="0" w:color="auto"/>
                    <w:left w:val="none" w:sz="0" w:space="0" w:color="auto"/>
                    <w:bottom w:val="none" w:sz="0" w:space="0" w:color="auto"/>
                    <w:right w:val="none" w:sz="0" w:space="0" w:color="auto"/>
                  </w:divBdr>
                </w:div>
                <w:div w:id="2060325939">
                  <w:marLeft w:val="0"/>
                  <w:marRight w:val="0"/>
                  <w:marTop w:val="0"/>
                  <w:marBottom w:val="0"/>
                  <w:divBdr>
                    <w:top w:val="none" w:sz="0" w:space="0" w:color="auto"/>
                    <w:left w:val="none" w:sz="0" w:space="0" w:color="auto"/>
                    <w:bottom w:val="none" w:sz="0" w:space="0" w:color="auto"/>
                    <w:right w:val="none" w:sz="0" w:space="0" w:color="auto"/>
                  </w:divBdr>
                </w:div>
                <w:div w:id="2132742873">
                  <w:marLeft w:val="0"/>
                  <w:marRight w:val="0"/>
                  <w:marTop w:val="0"/>
                  <w:marBottom w:val="0"/>
                  <w:divBdr>
                    <w:top w:val="none" w:sz="0" w:space="0" w:color="auto"/>
                    <w:left w:val="none" w:sz="0" w:space="0" w:color="auto"/>
                    <w:bottom w:val="none" w:sz="0" w:space="0" w:color="auto"/>
                    <w:right w:val="none" w:sz="0" w:space="0" w:color="auto"/>
                  </w:divBdr>
                </w:div>
                <w:div w:id="213779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182375">
      <w:bodyDiv w:val="1"/>
      <w:marLeft w:val="0"/>
      <w:marRight w:val="0"/>
      <w:marTop w:val="0"/>
      <w:marBottom w:val="0"/>
      <w:divBdr>
        <w:top w:val="none" w:sz="0" w:space="0" w:color="auto"/>
        <w:left w:val="none" w:sz="0" w:space="0" w:color="auto"/>
        <w:bottom w:val="none" w:sz="0" w:space="0" w:color="auto"/>
        <w:right w:val="none" w:sz="0" w:space="0" w:color="auto"/>
      </w:divBdr>
    </w:div>
    <w:div w:id="709380426">
      <w:bodyDiv w:val="1"/>
      <w:marLeft w:val="0"/>
      <w:marRight w:val="0"/>
      <w:marTop w:val="0"/>
      <w:marBottom w:val="0"/>
      <w:divBdr>
        <w:top w:val="none" w:sz="0" w:space="0" w:color="auto"/>
        <w:left w:val="none" w:sz="0" w:space="0" w:color="auto"/>
        <w:bottom w:val="none" w:sz="0" w:space="0" w:color="auto"/>
        <w:right w:val="none" w:sz="0" w:space="0" w:color="auto"/>
      </w:divBdr>
    </w:div>
    <w:div w:id="727075911">
      <w:bodyDiv w:val="1"/>
      <w:marLeft w:val="0"/>
      <w:marRight w:val="0"/>
      <w:marTop w:val="0"/>
      <w:marBottom w:val="0"/>
      <w:divBdr>
        <w:top w:val="none" w:sz="0" w:space="0" w:color="auto"/>
        <w:left w:val="none" w:sz="0" w:space="0" w:color="auto"/>
        <w:bottom w:val="none" w:sz="0" w:space="0" w:color="auto"/>
        <w:right w:val="none" w:sz="0" w:space="0" w:color="auto"/>
      </w:divBdr>
    </w:div>
    <w:div w:id="727456810">
      <w:bodyDiv w:val="1"/>
      <w:marLeft w:val="0"/>
      <w:marRight w:val="0"/>
      <w:marTop w:val="0"/>
      <w:marBottom w:val="0"/>
      <w:divBdr>
        <w:top w:val="none" w:sz="0" w:space="0" w:color="auto"/>
        <w:left w:val="none" w:sz="0" w:space="0" w:color="auto"/>
        <w:bottom w:val="none" w:sz="0" w:space="0" w:color="auto"/>
        <w:right w:val="none" w:sz="0" w:space="0" w:color="auto"/>
      </w:divBdr>
    </w:div>
    <w:div w:id="1001659442">
      <w:bodyDiv w:val="1"/>
      <w:marLeft w:val="0"/>
      <w:marRight w:val="0"/>
      <w:marTop w:val="0"/>
      <w:marBottom w:val="0"/>
      <w:divBdr>
        <w:top w:val="none" w:sz="0" w:space="0" w:color="auto"/>
        <w:left w:val="none" w:sz="0" w:space="0" w:color="auto"/>
        <w:bottom w:val="none" w:sz="0" w:space="0" w:color="auto"/>
        <w:right w:val="none" w:sz="0" w:space="0" w:color="auto"/>
      </w:divBdr>
    </w:div>
    <w:div w:id="1011832913">
      <w:bodyDiv w:val="1"/>
      <w:marLeft w:val="0"/>
      <w:marRight w:val="0"/>
      <w:marTop w:val="0"/>
      <w:marBottom w:val="0"/>
      <w:divBdr>
        <w:top w:val="none" w:sz="0" w:space="0" w:color="auto"/>
        <w:left w:val="none" w:sz="0" w:space="0" w:color="auto"/>
        <w:bottom w:val="none" w:sz="0" w:space="0" w:color="auto"/>
        <w:right w:val="none" w:sz="0" w:space="0" w:color="auto"/>
      </w:divBdr>
    </w:div>
    <w:div w:id="1197625505">
      <w:bodyDiv w:val="1"/>
      <w:marLeft w:val="0"/>
      <w:marRight w:val="0"/>
      <w:marTop w:val="0"/>
      <w:marBottom w:val="0"/>
      <w:divBdr>
        <w:top w:val="none" w:sz="0" w:space="0" w:color="auto"/>
        <w:left w:val="none" w:sz="0" w:space="0" w:color="auto"/>
        <w:bottom w:val="none" w:sz="0" w:space="0" w:color="auto"/>
        <w:right w:val="none" w:sz="0" w:space="0" w:color="auto"/>
      </w:divBdr>
    </w:div>
    <w:div w:id="1406337217">
      <w:bodyDiv w:val="1"/>
      <w:marLeft w:val="0"/>
      <w:marRight w:val="0"/>
      <w:marTop w:val="0"/>
      <w:marBottom w:val="0"/>
      <w:divBdr>
        <w:top w:val="none" w:sz="0" w:space="0" w:color="auto"/>
        <w:left w:val="none" w:sz="0" w:space="0" w:color="auto"/>
        <w:bottom w:val="none" w:sz="0" w:space="0" w:color="auto"/>
        <w:right w:val="none" w:sz="0" w:space="0" w:color="auto"/>
      </w:divBdr>
    </w:div>
    <w:div w:id="1584754863">
      <w:bodyDiv w:val="1"/>
      <w:marLeft w:val="0"/>
      <w:marRight w:val="0"/>
      <w:marTop w:val="0"/>
      <w:marBottom w:val="0"/>
      <w:divBdr>
        <w:top w:val="none" w:sz="0" w:space="0" w:color="auto"/>
        <w:left w:val="none" w:sz="0" w:space="0" w:color="auto"/>
        <w:bottom w:val="none" w:sz="0" w:space="0" w:color="auto"/>
        <w:right w:val="none" w:sz="0" w:space="0" w:color="auto"/>
      </w:divBdr>
    </w:div>
    <w:div w:id="1680934644">
      <w:bodyDiv w:val="1"/>
      <w:marLeft w:val="0"/>
      <w:marRight w:val="0"/>
      <w:marTop w:val="0"/>
      <w:marBottom w:val="0"/>
      <w:divBdr>
        <w:top w:val="none" w:sz="0" w:space="0" w:color="auto"/>
        <w:left w:val="none" w:sz="0" w:space="0" w:color="auto"/>
        <w:bottom w:val="none" w:sz="0" w:space="0" w:color="auto"/>
        <w:right w:val="none" w:sz="0" w:space="0" w:color="auto"/>
      </w:divBdr>
    </w:div>
    <w:div w:id="1689142640">
      <w:bodyDiv w:val="1"/>
      <w:marLeft w:val="0"/>
      <w:marRight w:val="0"/>
      <w:marTop w:val="0"/>
      <w:marBottom w:val="0"/>
      <w:divBdr>
        <w:top w:val="none" w:sz="0" w:space="0" w:color="auto"/>
        <w:left w:val="none" w:sz="0" w:space="0" w:color="auto"/>
        <w:bottom w:val="none" w:sz="0" w:space="0" w:color="auto"/>
        <w:right w:val="none" w:sz="0" w:space="0" w:color="auto"/>
      </w:divBdr>
    </w:div>
    <w:div w:id="1734427446">
      <w:bodyDiv w:val="1"/>
      <w:marLeft w:val="0"/>
      <w:marRight w:val="0"/>
      <w:marTop w:val="0"/>
      <w:marBottom w:val="0"/>
      <w:divBdr>
        <w:top w:val="none" w:sz="0" w:space="0" w:color="auto"/>
        <w:left w:val="none" w:sz="0" w:space="0" w:color="auto"/>
        <w:bottom w:val="none" w:sz="0" w:space="0" w:color="auto"/>
        <w:right w:val="none" w:sz="0" w:space="0" w:color="auto"/>
      </w:divBdr>
    </w:div>
    <w:div w:id="1737435565">
      <w:bodyDiv w:val="1"/>
      <w:marLeft w:val="0"/>
      <w:marRight w:val="0"/>
      <w:marTop w:val="0"/>
      <w:marBottom w:val="0"/>
      <w:divBdr>
        <w:top w:val="none" w:sz="0" w:space="0" w:color="auto"/>
        <w:left w:val="none" w:sz="0" w:space="0" w:color="auto"/>
        <w:bottom w:val="none" w:sz="0" w:space="0" w:color="auto"/>
        <w:right w:val="none" w:sz="0" w:space="0" w:color="auto"/>
      </w:divBdr>
    </w:div>
    <w:div w:id="1832453550">
      <w:bodyDiv w:val="1"/>
      <w:marLeft w:val="0"/>
      <w:marRight w:val="0"/>
      <w:marTop w:val="0"/>
      <w:marBottom w:val="0"/>
      <w:divBdr>
        <w:top w:val="none" w:sz="0" w:space="0" w:color="auto"/>
        <w:left w:val="none" w:sz="0" w:space="0" w:color="auto"/>
        <w:bottom w:val="none" w:sz="0" w:space="0" w:color="auto"/>
        <w:right w:val="none" w:sz="0" w:space="0" w:color="auto"/>
      </w:divBdr>
    </w:div>
    <w:div w:id="1848523973">
      <w:bodyDiv w:val="1"/>
      <w:marLeft w:val="0"/>
      <w:marRight w:val="0"/>
      <w:marTop w:val="0"/>
      <w:marBottom w:val="0"/>
      <w:divBdr>
        <w:top w:val="none" w:sz="0" w:space="0" w:color="auto"/>
        <w:left w:val="none" w:sz="0" w:space="0" w:color="auto"/>
        <w:bottom w:val="none" w:sz="0" w:space="0" w:color="auto"/>
        <w:right w:val="none" w:sz="0" w:space="0" w:color="auto"/>
      </w:divBdr>
    </w:div>
    <w:div w:id="1923904863">
      <w:bodyDiv w:val="1"/>
      <w:marLeft w:val="0"/>
      <w:marRight w:val="0"/>
      <w:marTop w:val="0"/>
      <w:marBottom w:val="0"/>
      <w:divBdr>
        <w:top w:val="none" w:sz="0" w:space="0" w:color="auto"/>
        <w:left w:val="none" w:sz="0" w:space="0" w:color="auto"/>
        <w:bottom w:val="none" w:sz="0" w:space="0" w:color="auto"/>
        <w:right w:val="none" w:sz="0" w:space="0" w:color="auto"/>
      </w:divBdr>
      <w:divsChild>
        <w:div w:id="157041735">
          <w:marLeft w:val="0"/>
          <w:marRight w:val="0"/>
          <w:marTop w:val="0"/>
          <w:marBottom w:val="0"/>
          <w:divBdr>
            <w:top w:val="none" w:sz="0" w:space="0" w:color="auto"/>
            <w:left w:val="none" w:sz="0" w:space="0" w:color="auto"/>
            <w:bottom w:val="none" w:sz="0" w:space="0" w:color="auto"/>
            <w:right w:val="none" w:sz="0" w:space="0" w:color="auto"/>
          </w:divBdr>
          <w:divsChild>
            <w:div w:id="44913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713463">
      <w:bodyDiv w:val="1"/>
      <w:marLeft w:val="0"/>
      <w:marRight w:val="0"/>
      <w:marTop w:val="0"/>
      <w:marBottom w:val="0"/>
      <w:divBdr>
        <w:top w:val="none" w:sz="0" w:space="0" w:color="auto"/>
        <w:left w:val="none" w:sz="0" w:space="0" w:color="auto"/>
        <w:bottom w:val="none" w:sz="0" w:space="0" w:color="auto"/>
        <w:right w:val="none" w:sz="0" w:space="0" w:color="auto"/>
      </w:divBdr>
    </w:div>
    <w:div w:id="1979259808">
      <w:bodyDiv w:val="1"/>
      <w:marLeft w:val="0"/>
      <w:marRight w:val="0"/>
      <w:marTop w:val="0"/>
      <w:marBottom w:val="0"/>
      <w:divBdr>
        <w:top w:val="none" w:sz="0" w:space="0" w:color="auto"/>
        <w:left w:val="none" w:sz="0" w:space="0" w:color="auto"/>
        <w:bottom w:val="none" w:sz="0" w:space="0" w:color="auto"/>
        <w:right w:val="none" w:sz="0" w:space="0" w:color="auto"/>
      </w:divBdr>
    </w:div>
    <w:div w:id="1993875594">
      <w:bodyDiv w:val="1"/>
      <w:marLeft w:val="0"/>
      <w:marRight w:val="0"/>
      <w:marTop w:val="0"/>
      <w:marBottom w:val="0"/>
      <w:divBdr>
        <w:top w:val="none" w:sz="0" w:space="0" w:color="auto"/>
        <w:left w:val="none" w:sz="0" w:space="0" w:color="auto"/>
        <w:bottom w:val="none" w:sz="0" w:space="0" w:color="auto"/>
        <w:right w:val="none" w:sz="0" w:space="0" w:color="auto"/>
      </w:divBdr>
    </w:div>
    <w:div w:id="2006475849">
      <w:bodyDiv w:val="1"/>
      <w:marLeft w:val="0"/>
      <w:marRight w:val="0"/>
      <w:marTop w:val="0"/>
      <w:marBottom w:val="0"/>
      <w:divBdr>
        <w:top w:val="none" w:sz="0" w:space="0" w:color="auto"/>
        <w:left w:val="none" w:sz="0" w:space="0" w:color="auto"/>
        <w:bottom w:val="none" w:sz="0" w:space="0" w:color="auto"/>
        <w:right w:val="none" w:sz="0" w:space="0" w:color="auto"/>
      </w:divBdr>
    </w:div>
    <w:div w:id="2019577804">
      <w:bodyDiv w:val="1"/>
      <w:marLeft w:val="0"/>
      <w:marRight w:val="0"/>
      <w:marTop w:val="0"/>
      <w:marBottom w:val="0"/>
      <w:divBdr>
        <w:top w:val="none" w:sz="0" w:space="0" w:color="auto"/>
        <w:left w:val="none" w:sz="0" w:space="0" w:color="auto"/>
        <w:bottom w:val="none" w:sz="0" w:space="0" w:color="auto"/>
        <w:right w:val="none" w:sz="0" w:space="0" w:color="auto"/>
      </w:divBdr>
    </w:div>
    <w:div w:id="210530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1\AppData\Roaming\Microsoft\Templates\APA-Headings-Scribbr.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BACKUP%20March29\NRCAN\Other%20flash%20drive\NEW%20VOLUME\MRP\US%20yield%20spreads%20and%20recessions%20grap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BACKUP%20March29\NRCAN\Other%20flash%20drive\NEW%20VOLUME\MRP\Data\Historical%20Canada%20spreads%20and%20recession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F:\MRP\yield%20curve%20shap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MRP\Drafts\Graphs\CD%20Howe%20Recessions%20graph.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MRP\Drafts\Graphs\CD%20Howe%20Recessions%20graph.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F:\12m%20ahead%20cd%20howe%20fitted%20probabilite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2"/>
          <c:order val="2"/>
          <c:tx>
            <c:v>NBER recession</c:v>
          </c:tx>
          <c:spPr>
            <a:solidFill>
              <a:schemeClr val="bg2"/>
            </a:solidFill>
            <a:ln>
              <a:noFill/>
            </a:ln>
            <a:effectLst/>
          </c:spPr>
          <c:cat>
            <c:numRef>
              <c:f>'Yield Spread'!$A$13:$A$514</c:f>
              <c:numCache>
                <c:formatCode>mmm\-yy</c:formatCode>
                <c:ptCount val="502"/>
                <c:pt idx="0">
                  <c:v>28460</c:v>
                </c:pt>
                <c:pt idx="1">
                  <c:v>28491</c:v>
                </c:pt>
                <c:pt idx="2">
                  <c:v>28522</c:v>
                </c:pt>
                <c:pt idx="3">
                  <c:v>28550</c:v>
                </c:pt>
                <c:pt idx="4">
                  <c:v>28581</c:v>
                </c:pt>
                <c:pt idx="5">
                  <c:v>28611</c:v>
                </c:pt>
                <c:pt idx="6">
                  <c:v>28642</c:v>
                </c:pt>
                <c:pt idx="7">
                  <c:v>28672</c:v>
                </c:pt>
                <c:pt idx="8">
                  <c:v>28703</c:v>
                </c:pt>
                <c:pt idx="9">
                  <c:v>28734</c:v>
                </c:pt>
                <c:pt idx="10">
                  <c:v>28764</c:v>
                </c:pt>
                <c:pt idx="11">
                  <c:v>28795</c:v>
                </c:pt>
                <c:pt idx="12">
                  <c:v>28825</c:v>
                </c:pt>
                <c:pt idx="13">
                  <c:v>28856</c:v>
                </c:pt>
                <c:pt idx="14">
                  <c:v>28887</c:v>
                </c:pt>
                <c:pt idx="15">
                  <c:v>28915</c:v>
                </c:pt>
                <c:pt idx="16">
                  <c:v>28946</c:v>
                </c:pt>
                <c:pt idx="17">
                  <c:v>28976</c:v>
                </c:pt>
                <c:pt idx="18">
                  <c:v>29007</c:v>
                </c:pt>
                <c:pt idx="19">
                  <c:v>29037</c:v>
                </c:pt>
                <c:pt idx="20">
                  <c:v>29068</c:v>
                </c:pt>
                <c:pt idx="21">
                  <c:v>29099</c:v>
                </c:pt>
                <c:pt idx="22">
                  <c:v>29129</c:v>
                </c:pt>
                <c:pt idx="23">
                  <c:v>29160</c:v>
                </c:pt>
                <c:pt idx="24">
                  <c:v>29190</c:v>
                </c:pt>
                <c:pt idx="25">
                  <c:v>29221</c:v>
                </c:pt>
                <c:pt idx="26">
                  <c:v>29252</c:v>
                </c:pt>
                <c:pt idx="27">
                  <c:v>29281</c:v>
                </c:pt>
                <c:pt idx="28">
                  <c:v>29312</c:v>
                </c:pt>
                <c:pt idx="29">
                  <c:v>29342</c:v>
                </c:pt>
                <c:pt idx="30">
                  <c:v>29373</c:v>
                </c:pt>
                <c:pt idx="31">
                  <c:v>29403</c:v>
                </c:pt>
                <c:pt idx="32">
                  <c:v>29434</c:v>
                </c:pt>
                <c:pt idx="33">
                  <c:v>29465</c:v>
                </c:pt>
                <c:pt idx="34">
                  <c:v>29495</c:v>
                </c:pt>
                <c:pt idx="35">
                  <c:v>29526</c:v>
                </c:pt>
                <c:pt idx="36">
                  <c:v>29556</c:v>
                </c:pt>
                <c:pt idx="37">
                  <c:v>29587</c:v>
                </c:pt>
                <c:pt idx="38">
                  <c:v>29618</c:v>
                </c:pt>
                <c:pt idx="39">
                  <c:v>29646</c:v>
                </c:pt>
                <c:pt idx="40">
                  <c:v>29677</c:v>
                </c:pt>
                <c:pt idx="41">
                  <c:v>29707</c:v>
                </c:pt>
                <c:pt idx="42">
                  <c:v>29738</c:v>
                </c:pt>
                <c:pt idx="43">
                  <c:v>29768</c:v>
                </c:pt>
                <c:pt idx="44">
                  <c:v>29799</c:v>
                </c:pt>
                <c:pt idx="45">
                  <c:v>29830</c:v>
                </c:pt>
                <c:pt idx="46">
                  <c:v>29860</c:v>
                </c:pt>
                <c:pt idx="47">
                  <c:v>29891</c:v>
                </c:pt>
                <c:pt idx="48">
                  <c:v>29921</c:v>
                </c:pt>
                <c:pt idx="49">
                  <c:v>29952</c:v>
                </c:pt>
                <c:pt idx="50">
                  <c:v>29983</c:v>
                </c:pt>
                <c:pt idx="51">
                  <c:v>30011</c:v>
                </c:pt>
                <c:pt idx="52">
                  <c:v>30042</c:v>
                </c:pt>
                <c:pt idx="53">
                  <c:v>30072</c:v>
                </c:pt>
                <c:pt idx="54">
                  <c:v>30103</c:v>
                </c:pt>
                <c:pt idx="55">
                  <c:v>30133</c:v>
                </c:pt>
                <c:pt idx="56">
                  <c:v>30164</c:v>
                </c:pt>
                <c:pt idx="57">
                  <c:v>30195</c:v>
                </c:pt>
                <c:pt idx="58">
                  <c:v>30225</c:v>
                </c:pt>
                <c:pt idx="59">
                  <c:v>30256</c:v>
                </c:pt>
                <c:pt idx="60">
                  <c:v>30286</c:v>
                </c:pt>
                <c:pt idx="61">
                  <c:v>30317</c:v>
                </c:pt>
                <c:pt idx="62">
                  <c:v>30348</c:v>
                </c:pt>
                <c:pt idx="63">
                  <c:v>30376</c:v>
                </c:pt>
                <c:pt idx="64">
                  <c:v>30407</c:v>
                </c:pt>
                <c:pt idx="65">
                  <c:v>30437</c:v>
                </c:pt>
                <c:pt idx="66">
                  <c:v>30468</c:v>
                </c:pt>
                <c:pt idx="67">
                  <c:v>30498</c:v>
                </c:pt>
                <c:pt idx="68">
                  <c:v>30529</c:v>
                </c:pt>
                <c:pt idx="69">
                  <c:v>30560</c:v>
                </c:pt>
                <c:pt idx="70">
                  <c:v>30590</c:v>
                </c:pt>
                <c:pt idx="71">
                  <c:v>30621</c:v>
                </c:pt>
                <c:pt idx="72">
                  <c:v>30651</c:v>
                </c:pt>
                <c:pt idx="73">
                  <c:v>30682</c:v>
                </c:pt>
                <c:pt idx="74">
                  <c:v>30713</c:v>
                </c:pt>
                <c:pt idx="75">
                  <c:v>30742</c:v>
                </c:pt>
                <c:pt idx="76">
                  <c:v>30773</c:v>
                </c:pt>
                <c:pt idx="77">
                  <c:v>30803</c:v>
                </c:pt>
                <c:pt idx="78">
                  <c:v>30834</c:v>
                </c:pt>
                <c:pt idx="79">
                  <c:v>30864</c:v>
                </c:pt>
                <c:pt idx="80">
                  <c:v>30895</c:v>
                </c:pt>
                <c:pt idx="81">
                  <c:v>30926</c:v>
                </c:pt>
                <c:pt idx="82">
                  <c:v>30956</c:v>
                </c:pt>
                <c:pt idx="83">
                  <c:v>30987</c:v>
                </c:pt>
                <c:pt idx="84">
                  <c:v>31017</c:v>
                </c:pt>
                <c:pt idx="85">
                  <c:v>31048</c:v>
                </c:pt>
                <c:pt idx="86">
                  <c:v>31079</c:v>
                </c:pt>
                <c:pt idx="87">
                  <c:v>31107</c:v>
                </c:pt>
                <c:pt idx="88">
                  <c:v>31138</c:v>
                </c:pt>
                <c:pt idx="89">
                  <c:v>31168</c:v>
                </c:pt>
                <c:pt idx="90">
                  <c:v>31199</c:v>
                </c:pt>
                <c:pt idx="91">
                  <c:v>31229</c:v>
                </c:pt>
                <c:pt idx="92">
                  <c:v>31260</c:v>
                </c:pt>
                <c:pt idx="93">
                  <c:v>31291</c:v>
                </c:pt>
                <c:pt idx="94">
                  <c:v>31321</c:v>
                </c:pt>
                <c:pt idx="95">
                  <c:v>31352</c:v>
                </c:pt>
                <c:pt idx="96">
                  <c:v>31382</c:v>
                </c:pt>
                <c:pt idx="97">
                  <c:v>31413</c:v>
                </c:pt>
                <c:pt idx="98">
                  <c:v>31444</c:v>
                </c:pt>
                <c:pt idx="99">
                  <c:v>31472</c:v>
                </c:pt>
                <c:pt idx="100">
                  <c:v>31503</c:v>
                </c:pt>
                <c:pt idx="101">
                  <c:v>31533</c:v>
                </c:pt>
                <c:pt idx="102">
                  <c:v>31564</c:v>
                </c:pt>
                <c:pt idx="103">
                  <c:v>31594</c:v>
                </c:pt>
                <c:pt idx="104">
                  <c:v>31625</c:v>
                </c:pt>
                <c:pt idx="105">
                  <c:v>31656</c:v>
                </c:pt>
                <c:pt idx="106">
                  <c:v>31686</c:v>
                </c:pt>
                <c:pt idx="107">
                  <c:v>31717</c:v>
                </c:pt>
                <c:pt idx="108">
                  <c:v>31747</c:v>
                </c:pt>
                <c:pt idx="109">
                  <c:v>31778</c:v>
                </c:pt>
                <c:pt idx="110">
                  <c:v>31809</c:v>
                </c:pt>
                <c:pt idx="111">
                  <c:v>31837</c:v>
                </c:pt>
                <c:pt idx="112">
                  <c:v>31868</c:v>
                </c:pt>
                <c:pt idx="113">
                  <c:v>31898</c:v>
                </c:pt>
                <c:pt idx="114">
                  <c:v>31929</c:v>
                </c:pt>
                <c:pt idx="115">
                  <c:v>31959</c:v>
                </c:pt>
                <c:pt idx="116">
                  <c:v>31990</c:v>
                </c:pt>
                <c:pt idx="117">
                  <c:v>32021</c:v>
                </c:pt>
                <c:pt idx="118">
                  <c:v>32051</c:v>
                </c:pt>
                <c:pt idx="119">
                  <c:v>32082</c:v>
                </c:pt>
                <c:pt idx="120">
                  <c:v>32112</c:v>
                </c:pt>
                <c:pt idx="121">
                  <c:v>32143</c:v>
                </c:pt>
                <c:pt idx="122">
                  <c:v>32174</c:v>
                </c:pt>
                <c:pt idx="123">
                  <c:v>32203</c:v>
                </c:pt>
                <c:pt idx="124">
                  <c:v>32234</c:v>
                </c:pt>
                <c:pt idx="125">
                  <c:v>32264</c:v>
                </c:pt>
                <c:pt idx="126">
                  <c:v>32295</c:v>
                </c:pt>
                <c:pt idx="127">
                  <c:v>32325</c:v>
                </c:pt>
                <c:pt idx="128">
                  <c:v>32356</c:v>
                </c:pt>
                <c:pt idx="129">
                  <c:v>32387</c:v>
                </c:pt>
                <c:pt idx="130">
                  <c:v>32417</c:v>
                </c:pt>
                <c:pt idx="131">
                  <c:v>32448</c:v>
                </c:pt>
                <c:pt idx="132">
                  <c:v>32478</c:v>
                </c:pt>
                <c:pt idx="133">
                  <c:v>32509</c:v>
                </c:pt>
                <c:pt idx="134">
                  <c:v>32540</c:v>
                </c:pt>
                <c:pt idx="135">
                  <c:v>32568</c:v>
                </c:pt>
                <c:pt idx="136">
                  <c:v>32599</c:v>
                </c:pt>
                <c:pt idx="137">
                  <c:v>32629</c:v>
                </c:pt>
                <c:pt idx="138">
                  <c:v>32660</c:v>
                </c:pt>
                <c:pt idx="139">
                  <c:v>32690</c:v>
                </c:pt>
                <c:pt idx="140">
                  <c:v>32721</c:v>
                </c:pt>
                <c:pt idx="141">
                  <c:v>32752</c:v>
                </c:pt>
                <c:pt idx="142">
                  <c:v>32782</c:v>
                </c:pt>
                <c:pt idx="143">
                  <c:v>32813</c:v>
                </c:pt>
                <c:pt idx="144">
                  <c:v>32843</c:v>
                </c:pt>
                <c:pt idx="145">
                  <c:v>32874</c:v>
                </c:pt>
                <c:pt idx="146">
                  <c:v>32905</c:v>
                </c:pt>
                <c:pt idx="147">
                  <c:v>32933</c:v>
                </c:pt>
                <c:pt idx="148">
                  <c:v>32964</c:v>
                </c:pt>
                <c:pt idx="149">
                  <c:v>32994</c:v>
                </c:pt>
                <c:pt idx="150">
                  <c:v>33025</c:v>
                </c:pt>
                <c:pt idx="151">
                  <c:v>33055</c:v>
                </c:pt>
                <c:pt idx="152">
                  <c:v>33086</c:v>
                </c:pt>
                <c:pt idx="153">
                  <c:v>33117</c:v>
                </c:pt>
                <c:pt idx="154">
                  <c:v>33147</c:v>
                </c:pt>
                <c:pt idx="155">
                  <c:v>33178</c:v>
                </c:pt>
                <c:pt idx="156">
                  <c:v>33208</c:v>
                </c:pt>
                <c:pt idx="157">
                  <c:v>33239</c:v>
                </c:pt>
                <c:pt idx="158">
                  <c:v>33270</c:v>
                </c:pt>
                <c:pt idx="159">
                  <c:v>33298</c:v>
                </c:pt>
                <c:pt idx="160">
                  <c:v>33329</c:v>
                </c:pt>
                <c:pt idx="161">
                  <c:v>33359</c:v>
                </c:pt>
                <c:pt idx="162">
                  <c:v>33390</c:v>
                </c:pt>
                <c:pt idx="163">
                  <c:v>33420</c:v>
                </c:pt>
                <c:pt idx="164">
                  <c:v>33451</c:v>
                </c:pt>
                <c:pt idx="165">
                  <c:v>33482</c:v>
                </c:pt>
                <c:pt idx="166">
                  <c:v>33512</c:v>
                </c:pt>
                <c:pt idx="167">
                  <c:v>33543</c:v>
                </c:pt>
                <c:pt idx="168">
                  <c:v>33573</c:v>
                </c:pt>
                <c:pt idx="169">
                  <c:v>33604</c:v>
                </c:pt>
                <c:pt idx="170">
                  <c:v>33635</c:v>
                </c:pt>
                <c:pt idx="171">
                  <c:v>33664</c:v>
                </c:pt>
                <c:pt idx="172">
                  <c:v>33695</c:v>
                </c:pt>
                <c:pt idx="173">
                  <c:v>33725</c:v>
                </c:pt>
                <c:pt idx="174">
                  <c:v>33756</c:v>
                </c:pt>
                <c:pt idx="175">
                  <c:v>33786</c:v>
                </c:pt>
                <c:pt idx="176">
                  <c:v>33817</c:v>
                </c:pt>
                <c:pt idx="177">
                  <c:v>33848</c:v>
                </c:pt>
                <c:pt idx="178">
                  <c:v>33878</c:v>
                </c:pt>
                <c:pt idx="179">
                  <c:v>33909</c:v>
                </c:pt>
                <c:pt idx="180">
                  <c:v>33939</c:v>
                </c:pt>
                <c:pt idx="181">
                  <c:v>33970</c:v>
                </c:pt>
                <c:pt idx="182">
                  <c:v>34001</c:v>
                </c:pt>
                <c:pt idx="183">
                  <c:v>34029</c:v>
                </c:pt>
                <c:pt idx="184">
                  <c:v>34060</c:v>
                </c:pt>
                <c:pt idx="185">
                  <c:v>34090</c:v>
                </c:pt>
                <c:pt idx="186">
                  <c:v>34121</c:v>
                </c:pt>
                <c:pt idx="187">
                  <c:v>34151</c:v>
                </c:pt>
                <c:pt idx="188">
                  <c:v>34182</c:v>
                </c:pt>
                <c:pt idx="189">
                  <c:v>34213</c:v>
                </c:pt>
                <c:pt idx="190">
                  <c:v>34243</c:v>
                </c:pt>
                <c:pt idx="191">
                  <c:v>34274</c:v>
                </c:pt>
                <c:pt idx="192">
                  <c:v>34304</c:v>
                </c:pt>
                <c:pt idx="193">
                  <c:v>34335</c:v>
                </c:pt>
                <c:pt idx="194">
                  <c:v>34366</c:v>
                </c:pt>
                <c:pt idx="195">
                  <c:v>34394</c:v>
                </c:pt>
                <c:pt idx="196">
                  <c:v>34425</c:v>
                </c:pt>
                <c:pt idx="197">
                  <c:v>34455</c:v>
                </c:pt>
                <c:pt idx="198">
                  <c:v>34486</c:v>
                </c:pt>
                <c:pt idx="199">
                  <c:v>34516</c:v>
                </c:pt>
                <c:pt idx="200">
                  <c:v>34547</c:v>
                </c:pt>
                <c:pt idx="201">
                  <c:v>34578</c:v>
                </c:pt>
                <c:pt idx="202">
                  <c:v>34608</c:v>
                </c:pt>
                <c:pt idx="203">
                  <c:v>34639</c:v>
                </c:pt>
                <c:pt idx="204">
                  <c:v>34669</c:v>
                </c:pt>
                <c:pt idx="205">
                  <c:v>34700</c:v>
                </c:pt>
                <c:pt idx="206">
                  <c:v>34731</c:v>
                </c:pt>
                <c:pt idx="207">
                  <c:v>34759</c:v>
                </c:pt>
                <c:pt idx="208">
                  <c:v>34790</c:v>
                </c:pt>
                <c:pt idx="209">
                  <c:v>34820</c:v>
                </c:pt>
                <c:pt idx="210">
                  <c:v>34851</c:v>
                </c:pt>
                <c:pt idx="211">
                  <c:v>34881</c:v>
                </c:pt>
                <c:pt idx="212">
                  <c:v>34912</c:v>
                </c:pt>
                <c:pt idx="213">
                  <c:v>34943</c:v>
                </c:pt>
                <c:pt idx="214">
                  <c:v>34973</c:v>
                </c:pt>
                <c:pt idx="215">
                  <c:v>35004</c:v>
                </c:pt>
                <c:pt idx="216">
                  <c:v>35034</c:v>
                </c:pt>
                <c:pt idx="217">
                  <c:v>35065</c:v>
                </c:pt>
                <c:pt idx="218">
                  <c:v>35096</c:v>
                </c:pt>
                <c:pt idx="219">
                  <c:v>35125</c:v>
                </c:pt>
                <c:pt idx="220">
                  <c:v>35156</c:v>
                </c:pt>
                <c:pt idx="221">
                  <c:v>35186</c:v>
                </c:pt>
                <c:pt idx="222">
                  <c:v>35217</c:v>
                </c:pt>
                <c:pt idx="223">
                  <c:v>35247</c:v>
                </c:pt>
                <c:pt idx="224">
                  <c:v>35278</c:v>
                </c:pt>
                <c:pt idx="225">
                  <c:v>35309</c:v>
                </c:pt>
                <c:pt idx="226">
                  <c:v>35339</c:v>
                </c:pt>
                <c:pt idx="227">
                  <c:v>35370</c:v>
                </c:pt>
                <c:pt idx="228">
                  <c:v>35400</c:v>
                </c:pt>
                <c:pt idx="229">
                  <c:v>35431</c:v>
                </c:pt>
                <c:pt idx="230">
                  <c:v>35462</c:v>
                </c:pt>
                <c:pt idx="231">
                  <c:v>35490</c:v>
                </c:pt>
                <c:pt idx="232">
                  <c:v>35521</c:v>
                </c:pt>
                <c:pt idx="233">
                  <c:v>35551</c:v>
                </c:pt>
                <c:pt idx="234">
                  <c:v>35582</c:v>
                </c:pt>
                <c:pt idx="235">
                  <c:v>35612</c:v>
                </c:pt>
                <c:pt idx="236">
                  <c:v>35643</c:v>
                </c:pt>
                <c:pt idx="237">
                  <c:v>35674</c:v>
                </c:pt>
                <c:pt idx="238">
                  <c:v>35704</c:v>
                </c:pt>
                <c:pt idx="239">
                  <c:v>35735</c:v>
                </c:pt>
                <c:pt idx="240">
                  <c:v>35765</c:v>
                </c:pt>
                <c:pt idx="241">
                  <c:v>35796</c:v>
                </c:pt>
                <c:pt idx="242">
                  <c:v>35827</c:v>
                </c:pt>
                <c:pt idx="243">
                  <c:v>35855</c:v>
                </c:pt>
                <c:pt idx="244">
                  <c:v>35886</c:v>
                </c:pt>
                <c:pt idx="245">
                  <c:v>35916</c:v>
                </c:pt>
                <c:pt idx="246">
                  <c:v>35947</c:v>
                </c:pt>
                <c:pt idx="247">
                  <c:v>35977</c:v>
                </c:pt>
                <c:pt idx="248">
                  <c:v>36008</c:v>
                </c:pt>
                <c:pt idx="249">
                  <c:v>36039</c:v>
                </c:pt>
                <c:pt idx="250">
                  <c:v>36069</c:v>
                </c:pt>
                <c:pt idx="251">
                  <c:v>36100</c:v>
                </c:pt>
                <c:pt idx="252">
                  <c:v>36130</c:v>
                </c:pt>
                <c:pt idx="253">
                  <c:v>36161</c:v>
                </c:pt>
                <c:pt idx="254">
                  <c:v>36192</c:v>
                </c:pt>
                <c:pt idx="255">
                  <c:v>36220</c:v>
                </c:pt>
                <c:pt idx="256">
                  <c:v>36251</c:v>
                </c:pt>
                <c:pt idx="257">
                  <c:v>36281</c:v>
                </c:pt>
                <c:pt idx="258">
                  <c:v>36312</c:v>
                </c:pt>
                <c:pt idx="259">
                  <c:v>36342</c:v>
                </c:pt>
                <c:pt idx="260">
                  <c:v>36373</c:v>
                </c:pt>
                <c:pt idx="261">
                  <c:v>36404</c:v>
                </c:pt>
                <c:pt idx="262">
                  <c:v>36434</c:v>
                </c:pt>
                <c:pt idx="263">
                  <c:v>36465</c:v>
                </c:pt>
                <c:pt idx="264">
                  <c:v>36495</c:v>
                </c:pt>
                <c:pt idx="265">
                  <c:v>36526</c:v>
                </c:pt>
                <c:pt idx="266">
                  <c:v>36557</c:v>
                </c:pt>
                <c:pt idx="267">
                  <c:v>36586</c:v>
                </c:pt>
                <c:pt idx="268">
                  <c:v>36617</c:v>
                </c:pt>
                <c:pt idx="269">
                  <c:v>36647</c:v>
                </c:pt>
                <c:pt idx="270">
                  <c:v>36678</c:v>
                </c:pt>
                <c:pt idx="271">
                  <c:v>36708</c:v>
                </c:pt>
                <c:pt idx="272">
                  <c:v>36739</c:v>
                </c:pt>
                <c:pt idx="273">
                  <c:v>36770</c:v>
                </c:pt>
                <c:pt idx="274">
                  <c:v>36800</c:v>
                </c:pt>
                <c:pt idx="275">
                  <c:v>36831</c:v>
                </c:pt>
                <c:pt idx="276">
                  <c:v>36861</c:v>
                </c:pt>
                <c:pt idx="277">
                  <c:v>36892</c:v>
                </c:pt>
                <c:pt idx="278">
                  <c:v>36923</c:v>
                </c:pt>
                <c:pt idx="279">
                  <c:v>36951</c:v>
                </c:pt>
                <c:pt idx="280">
                  <c:v>36982</c:v>
                </c:pt>
                <c:pt idx="281">
                  <c:v>37012</c:v>
                </c:pt>
                <c:pt idx="282">
                  <c:v>37043</c:v>
                </c:pt>
                <c:pt idx="283">
                  <c:v>37073</c:v>
                </c:pt>
                <c:pt idx="284">
                  <c:v>37104</c:v>
                </c:pt>
                <c:pt idx="285">
                  <c:v>37135</c:v>
                </c:pt>
                <c:pt idx="286">
                  <c:v>37165</c:v>
                </c:pt>
                <c:pt idx="287">
                  <c:v>37196</c:v>
                </c:pt>
                <c:pt idx="288">
                  <c:v>37226</c:v>
                </c:pt>
                <c:pt idx="289">
                  <c:v>37257</c:v>
                </c:pt>
                <c:pt idx="290">
                  <c:v>37288</c:v>
                </c:pt>
                <c:pt idx="291">
                  <c:v>37316</c:v>
                </c:pt>
                <c:pt idx="292">
                  <c:v>37347</c:v>
                </c:pt>
                <c:pt idx="293">
                  <c:v>37377</c:v>
                </c:pt>
                <c:pt idx="294">
                  <c:v>37408</c:v>
                </c:pt>
                <c:pt idx="295">
                  <c:v>37438</c:v>
                </c:pt>
                <c:pt idx="296">
                  <c:v>37469</c:v>
                </c:pt>
                <c:pt idx="297">
                  <c:v>37500</c:v>
                </c:pt>
                <c:pt idx="298">
                  <c:v>37530</c:v>
                </c:pt>
                <c:pt idx="299">
                  <c:v>37561</c:v>
                </c:pt>
                <c:pt idx="300">
                  <c:v>37591</c:v>
                </c:pt>
                <c:pt idx="301">
                  <c:v>37622</c:v>
                </c:pt>
                <c:pt idx="302">
                  <c:v>37653</c:v>
                </c:pt>
                <c:pt idx="303">
                  <c:v>37681</c:v>
                </c:pt>
                <c:pt idx="304">
                  <c:v>37712</c:v>
                </c:pt>
                <c:pt idx="305">
                  <c:v>37742</c:v>
                </c:pt>
                <c:pt idx="306">
                  <c:v>37773</c:v>
                </c:pt>
                <c:pt idx="307">
                  <c:v>37803</c:v>
                </c:pt>
                <c:pt idx="308">
                  <c:v>37834</c:v>
                </c:pt>
                <c:pt idx="309">
                  <c:v>37865</c:v>
                </c:pt>
                <c:pt idx="310">
                  <c:v>37895</c:v>
                </c:pt>
                <c:pt idx="311">
                  <c:v>37926</c:v>
                </c:pt>
                <c:pt idx="312">
                  <c:v>37956</c:v>
                </c:pt>
                <c:pt idx="313">
                  <c:v>37987</c:v>
                </c:pt>
                <c:pt idx="314">
                  <c:v>38018</c:v>
                </c:pt>
                <c:pt idx="315">
                  <c:v>38047</c:v>
                </c:pt>
                <c:pt idx="316">
                  <c:v>38078</c:v>
                </c:pt>
                <c:pt idx="317">
                  <c:v>38108</c:v>
                </c:pt>
                <c:pt idx="318">
                  <c:v>38139</c:v>
                </c:pt>
                <c:pt idx="319">
                  <c:v>38169</c:v>
                </c:pt>
                <c:pt idx="320">
                  <c:v>38200</c:v>
                </c:pt>
                <c:pt idx="321">
                  <c:v>38231</c:v>
                </c:pt>
                <c:pt idx="322">
                  <c:v>38261</c:v>
                </c:pt>
                <c:pt idx="323">
                  <c:v>38292</c:v>
                </c:pt>
                <c:pt idx="324">
                  <c:v>38322</c:v>
                </c:pt>
                <c:pt idx="325">
                  <c:v>38353</c:v>
                </c:pt>
                <c:pt idx="326">
                  <c:v>38384</c:v>
                </c:pt>
                <c:pt idx="327">
                  <c:v>38412</c:v>
                </c:pt>
                <c:pt idx="328">
                  <c:v>38443</c:v>
                </c:pt>
                <c:pt idx="329">
                  <c:v>38473</c:v>
                </c:pt>
                <c:pt idx="330">
                  <c:v>38504</c:v>
                </c:pt>
                <c:pt idx="331">
                  <c:v>38534</c:v>
                </c:pt>
                <c:pt idx="332">
                  <c:v>38565</c:v>
                </c:pt>
                <c:pt idx="333">
                  <c:v>38596</c:v>
                </c:pt>
                <c:pt idx="334">
                  <c:v>38626</c:v>
                </c:pt>
                <c:pt idx="335">
                  <c:v>38657</c:v>
                </c:pt>
                <c:pt idx="336">
                  <c:v>38687</c:v>
                </c:pt>
                <c:pt idx="337">
                  <c:v>38718</c:v>
                </c:pt>
                <c:pt idx="338">
                  <c:v>38749</c:v>
                </c:pt>
                <c:pt idx="339">
                  <c:v>38777</c:v>
                </c:pt>
                <c:pt idx="340">
                  <c:v>38808</c:v>
                </c:pt>
                <c:pt idx="341">
                  <c:v>38838</c:v>
                </c:pt>
                <c:pt idx="342">
                  <c:v>38869</c:v>
                </c:pt>
                <c:pt idx="343">
                  <c:v>38899</c:v>
                </c:pt>
                <c:pt idx="344">
                  <c:v>38930</c:v>
                </c:pt>
                <c:pt idx="345">
                  <c:v>38961</c:v>
                </c:pt>
                <c:pt idx="346">
                  <c:v>38991</c:v>
                </c:pt>
                <c:pt idx="347">
                  <c:v>39022</c:v>
                </c:pt>
                <c:pt idx="348">
                  <c:v>39052</c:v>
                </c:pt>
                <c:pt idx="349">
                  <c:v>39083</c:v>
                </c:pt>
                <c:pt idx="350">
                  <c:v>39114</c:v>
                </c:pt>
                <c:pt idx="351">
                  <c:v>39142</c:v>
                </c:pt>
                <c:pt idx="352">
                  <c:v>39173</c:v>
                </c:pt>
                <c:pt idx="353">
                  <c:v>39203</c:v>
                </c:pt>
                <c:pt idx="354">
                  <c:v>39234</c:v>
                </c:pt>
                <c:pt idx="355">
                  <c:v>39264</c:v>
                </c:pt>
                <c:pt idx="356">
                  <c:v>39295</c:v>
                </c:pt>
                <c:pt idx="357">
                  <c:v>39326</c:v>
                </c:pt>
                <c:pt idx="358">
                  <c:v>39356</c:v>
                </c:pt>
                <c:pt idx="359">
                  <c:v>39387</c:v>
                </c:pt>
                <c:pt idx="360">
                  <c:v>39417</c:v>
                </c:pt>
                <c:pt idx="361">
                  <c:v>39448</c:v>
                </c:pt>
                <c:pt idx="362">
                  <c:v>39479</c:v>
                </c:pt>
                <c:pt idx="363">
                  <c:v>39508</c:v>
                </c:pt>
                <c:pt idx="364">
                  <c:v>39539</c:v>
                </c:pt>
                <c:pt idx="365">
                  <c:v>39569</c:v>
                </c:pt>
                <c:pt idx="366">
                  <c:v>39600</c:v>
                </c:pt>
                <c:pt idx="367">
                  <c:v>39630</c:v>
                </c:pt>
                <c:pt idx="368">
                  <c:v>39661</c:v>
                </c:pt>
                <c:pt idx="369">
                  <c:v>39692</c:v>
                </c:pt>
                <c:pt idx="370">
                  <c:v>39722</c:v>
                </c:pt>
                <c:pt idx="371">
                  <c:v>39753</c:v>
                </c:pt>
                <c:pt idx="372">
                  <c:v>39783</c:v>
                </c:pt>
                <c:pt idx="373">
                  <c:v>39814</c:v>
                </c:pt>
                <c:pt idx="374">
                  <c:v>39845</c:v>
                </c:pt>
                <c:pt idx="375">
                  <c:v>39873</c:v>
                </c:pt>
                <c:pt idx="376">
                  <c:v>39904</c:v>
                </c:pt>
                <c:pt idx="377">
                  <c:v>39934</c:v>
                </c:pt>
                <c:pt idx="378">
                  <c:v>39965</c:v>
                </c:pt>
                <c:pt idx="379">
                  <c:v>39995</c:v>
                </c:pt>
                <c:pt idx="380">
                  <c:v>40026</c:v>
                </c:pt>
                <c:pt idx="381">
                  <c:v>40057</c:v>
                </c:pt>
                <c:pt idx="382">
                  <c:v>40087</c:v>
                </c:pt>
                <c:pt idx="383">
                  <c:v>40118</c:v>
                </c:pt>
                <c:pt idx="384">
                  <c:v>40148</c:v>
                </c:pt>
                <c:pt idx="385">
                  <c:v>40179</c:v>
                </c:pt>
                <c:pt idx="386">
                  <c:v>40210</c:v>
                </c:pt>
                <c:pt idx="387">
                  <c:v>40238</c:v>
                </c:pt>
                <c:pt idx="388">
                  <c:v>40269</c:v>
                </c:pt>
                <c:pt idx="389">
                  <c:v>40299</c:v>
                </c:pt>
                <c:pt idx="390">
                  <c:v>40330</c:v>
                </c:pt>
                <c:pt idx="391">
                  <c:v>40360</c:v>
                </c:pt>
                <c:pt idx="392">
                  <c:v>40391</c:v>
                </c:pt>
                <c:pt idx="393">
                  <c:v>40422</c:v>
                </c:pt>
                <c:pt idx="394">
                  <c:v>40452</c:v>
                </c:pt>
                <c:pt idx="395">
                  <c:v>40483</c:v>
                </c:pt>
                <c:pt idx="396">
                  <c:v>40513</c:v>
                </c:pt>
                <c:pt idx="397">
                  <c:v>40544</c:v>
                </c:pt>
                <c:pt idx="398">
                  <c:v>40575</c:v>
                </c:pt>
                <c:pt idx="399">
                  <c:v>40603</c:v>
                </c:pt>
                <c:pt idx="400">
                  <c:v>40634</c:v>
                </c:pt>
                <c:pt idx="401">
                  <c:v>40664</c:v>
                </c:pt>
                <c:pt idx="402">
                  <c:v>40695</c:v>
                </c:pt>
                <c:pt idx="403">
                  <c:v>40725</c:v>
                </c:pt>
                <c:pt idx="404">
                  <c:v>40756</c:v>
                </c:pt>
                <c:pt idx="405">
                  <c:v>40787</c:v>
                </c:pt>
                <c:pt idx="406">
                  <c:v>40817</c:v>
                </c:pt>
                <c:pt idx="407">
                  <c:v>40848</c:v>
                </c:pt>
                <c:pt idx="408">
                  <c:v>40878</c:v>
                </c:pt>
                <c:pt idx="409">
                  <c:v>40909</c:v>
                </c:pt>
                <c:pt idx="410">
                  <c:v>40940</c:v>
                </c:pt>
                <c:pt idx="411">
                  <c:v>40969</c:v>
                </c:pt>
                <c:pt idx="412">
                  <c:v>41000</c:v>
                </c:pt>
                <c:pt idx="413">
                  <c:v>41030</c:v>
                </c:pt>
                <c:pt idx="414">
                  <c:v>41061</c:v>
                </c:pt>
                <c:pt idx="415">
                  <c:v>41091</c:v>
                </c:pt>
                <c:pt idx="416">
                  <c:v>41122</c:v>
                </c:pt>
                <c:pt idx="417">
                  <c:v>41153</c:v>
                </c:pt>
                <c:pt idx="418">
                  <c:v>41183</c:v>
                </c:pt>
                <c:pt idx="419">
                  <c:v>41214</c:v>
                </c:pt>
                <c:pt idx="420">
                  <c:v>41244</c:v>
                </c:pt>
                <c:pt idx="421">
                  <c:v>41275</c:v>
                </c:pt>
                <c:pt idx="422">
                  <c:v>41306</c:v>
                </c:pt>
                <c:pt idx="423">
                  <c:v>41334</c:v>
                </c:pt>
                <c:pt idx="424">
                  <c:v>41365</c:v>
                </c:pt>
                <c:pt idx="425">
                  <c:v>41395</c:v>
                </c:pt>
                <c:pt idx="426">
                  <c:v>41426</c:v>
                </c:pt>
                <c:pt idx="427">
                  <c:v>41456</c:v>
                </c:pt>
                <c:pt idx="428">
                  <c:v>41487</c:v>
                </c:pt>
                <c:pt idx="429">
                  <c:v>41518</c:v>
                </c:pt>
                <c:pt idx="430">
                  <c:v>41548</c:v>
                </c:pt>
                <c:pt idx="431">
                  <c:v>41579</c:v>
                </c:pt>
                <c:pt idx="432">
                  <c:v>41609</c:v>
                </c:pt>
                <c:pt idx="433">
                  <c:v>41640</c:v>
                </c:pt>
                <c:pt idx="434">
                  <c:v>41671</c:v>
                </c:pt>
                <c:pt idx="435">
                  <c:v>41699</c:v>
                </c:pt>
                <c:pt idx="436">
                  <c:v>41730</c:v>
                </c:pt>
                <c:pt idx="437">
                  <c:v>41760</c:v>
                </c:pt>
                <c:pt idx="438">
                  <c:v>41791</c:v>
                </c:pt>
                <c:pt idx="439">
                  <c:v>41821</c:v>
                </c:pt>
                <c:pt idx="440">
                  <c:v>41852</c:v>
                </c:pt>
                <c:pt idx="441">
                  <c:v>41883</c:v>
                </c:pt>
                <c:pt idx="442">
                  <c:v>41913</c:v>
                </c:pt>
                <c:pt idx="443">
                  <c:v>41944</c:v>
                </c:pt>
                <c:pt idx="444">
                  <c:v>41974</c:v>
                </c:pt>
                <c:pt idx="445">
                  <c:v>42005</c:v>
                </c:pt>
                <c:pt idx="446">
                  <c:v>42036</c:v>
                </c:pt>
                <c:pt idx="447">
                  <c:v>42064</c:v>
                </c:pt>
                <c:pt idx="448">
                  <c:v>42095</c:v>
                </c:pt>
                <c:pt idx="449">
                  <c:v>42125</c:v>
                </c:pt>
                <c:pt idx="450">
                  <c:v>42156</c:v>
                </c:pt>
                <c:pt idx="451">
                  <c:v>42186</c:v>
                </c:pt>
                <c:pt idx="452">
                  <c:v>42217</c:v>
                </c:pt>
                <c:pt idx="453">
                  <c:v>42248</c:v>
                </c:pt>
                <c:pt idx="454">
                  <c:v>42278</c:v>
                </c:pt>
                <c:pt idx="455">
                  <c:v>42309</c:v>
                </c:pt>
                <c:pt idx="456">
                  <c:v>42339</c:v>
                </c:pt>
                <c:pt idx="457">
                  <c:v>42370</c:v>
                </c:pt>
                <c:pt idx="458">
                  <c:v>42401</c:v>
                </c:pt>
                <c:pt idx="459">
                  <c:v>42430</c:v>
                </c:pt>
                <c:pt idx="460">
                  <c:v>42461</c:v>
                </c:pt>
                <c:pt idx="461">
                  <c:v>42491</c:v>
                </c:pt>
                <c:pt idx="462">
                  <c:v>42522</c:v>
                </c:pt>
                <c:pt idx="463">
                  <c:v>42552</c:v>
                </c:pt>
                <c:pt idx="464">
                  <c:v>42583</c:v>
                </c:pt>
                <c:pt idx="465">
                  <c:v>42614</c:v>
                </c:pt>
                <c:pt idx="466">
                  <c:v>42644</c:v>
                </c:pt>
                <c:pt idx="467">
                  <c:v>42675</c:v>
                </c:pt>
                <c:pt idx="468">
                  <c:v>42705</c:v>
                </c:pt>
                <c:pt idx="469">
                  <c:v>42736</c:v>
                </c:pt>
                <c:pt idx="470">
                  <c:v>42767</c:v>
                </c:pt>
                <c:pt idx="471">
                  <c:v>42795</c:v>
                </c:pt>
                <c:pt idx="472">
                  <c:v>42826</c:v>
                </c:pt>
                <c:pt idx="473">
                  <c:v>42856</c:v>
                </c:pt>
                <c:pt idx="474">
                  <c:v>42887</c:v>
                </c:pt>
                <c:pt idx="475">
                  <c:v>42917</c:v>
                </c:pt>
                <c:pt idx="476">
                  <c:v>42948</c:v>
                </c:pt>
                <c:pt idx="477">
                  <c:v>42979</c:v>
                </c:pt>
                <c:pt idx="478">
                  <c:v>43009</c:v>
                </c:pt>
                <c:pt idx="479">
                  <c:v>43040</c:v>
                </c:pt>
                <c:pt idx="480">
                  <c:v>43070</c:v>
                </c:pt>
                <c:pt idx="481">
                  <c:v>43101</c:v>
                </c:pt>
                <c:pt idx="482">
                  <c:v>43132</c:v>
                </c:pt>
                <c:pt idx="483">
                  <c:v>43160</c:v>
                </c:pt>
                <c:pt idx="484">
                  <c:v>43191</c:v>
                </c:pt>
                <c:pt idx="485">
                  <c:v>43221</c:v>
                </c:pt>
                <c:pt idx="486">
                  <c:v>43252</c:v>
                </c:pt>
                <c:pt idx="487">
                  <c:v>43282</c:v>
                </c:pt>
                <c:pt idx="488">
                  <c:v>43313</c:v>
                </c:pt>
                <c:pt idx="489">
                  <c:v>43344</c:v>
                </c:pt>
                <c:pt idx="490">
                  <c:v>43374</c:v>
                </c:pt>
                <c:pt idx="491">
                  <c:v>43405</c:v>
                </c:pt>
                <c:pt idx="492">
                  <c:v>43435</c:v>
                </c:pt>
                <c:pt idx="493">
                  <c:v>43466</c:v>
                </c:pt>
                <c:pt idx="494">
                  <c:v>43497</c:v>
                </c:pt>
                <c:pt idx="495">
                  <c:v>43525</c:v>
                </c:pt>
                <c:pt idx="496">
                  <c:v>43556</c:v>
                </c:pt>
                <c:pt idx="497">
                  <c:v>43586</c:v>
                </c:pt>
                <c:pt idx="498">
                  <c:v>43617</c:v>
                </c:pt>
                <c:pt idx="499">
                  <c:v>43647</c:v>
                </c:pt>
                <c:pt idx="500">
                  <c:v>43678</c:v>
                </c:pt>
                <c:pt idx="501">
                  <c:v>43709</c:v>
                </c:pt>
              </c:numCache>
            </c:numRef>
          </c:cat>
          <c:val>
            <c:numRef>
              <c:f>'Yield Spread'!$D$13:$D$516</c:f>
              <c:numCache>
                <c:formatCode>General</c:formatCode>
                <c:ptCount val="504"/>
                <c:pt idx="26">
                  <c:v>5</c:v>
                </c:pt>
                <c:pt idx="27">
                  <c:v>5</c:v>
                </c:pt>
                <c:pt idx="28">
                  <c:v>5</c:v>
                </c:pt>
                <c:pt idx="29">
                  <c:v>5</c:v>
                </c:pt>
                <c:pt idx="30">
                  <c:v>5</c:v>
                </c:pt>
                <c:pt idx="31">
                  <c:v>5</c:v>
                </c:pt>
                <c:pt idx="32">
                  <c:v>5</c:v>
                </c:pt>
                <c:pt idx="44">
                  <c:v>5</c:v>
                </c:pt>
                <c:pt idx="45">
                  <c:v>5</c:v>
                </c:pt>
                <c:pt idx="46">
                  <c:v>5</c:v>
                </c:pt>
                <c:pt idx="47">
                  <c:v>5</c:v>
                </c:pt>
                <c:pt idx="48">
                  <c:v>5</c:v>
                </c:pt>
                <c:pt idx="49">
                  <c:v>5</c:v>
                </c:pt>
                <c:pt idx="50">
                  <c:v>5</c:v>
                </c:pt>
                <c:pt idx="51">
                  <c:v>5</c:v>
                </c:pt>
                <c:pt idx="52">
                  <c:v>5</c:v>
                </c:pt>
                <c:pt idx="53">
                  <c:v>5</c:v>
                </c:pt>
                <c:pt idx="54">
                  <c:v>5</c:v>
                </c:pt>
                <c:pt idx="55">
                  <c:v>5</c:v>
                </c:pt>
                <c:pt idx="56">
                  <c:v>5</c:v>
                </c:pt>
                <c:pt idx="57">
                  <c:v>5</c:v>
                </c:pt>
                <c:pt idx="58">
                  <c:v>5</c:v>
                </c:pt>
                <c:pt idx="59">
                  <c:v>5</c:v>
                </c:pt>
                <c:pt idx="60">
                  <c:v>5</c:v>
                </c:pt>
                <c:pt idx="152">
                  <c:v>5</c:v>
                </c:pt>
                <c:pt idx="153">
                  <c:v>5</c:v>
                </c:pt>
                <c:pt idx="154">
                  <c:v>5</c:v>
                </c:pt>
                <c:pt idx="155">
                  <c:v>5</c:v>
                </c:pt>
                <c:pt idx="156">
                  <c:v>5</c:v>
                </c:pt>
                <c:pt idx="157">
                  <c:v>5</c:v>
                </c:pt>
                <c:pt idx="158">
                  <c:v>5</c:v>
                </c:pt>
                <c:pt idx="159">
                  <c:v>5</c:v>
                </c:pt>
                <c:pt idx="160">
                  <c:v>5</c:v>
                </c:pt>
                <c:pt idx="280">
                  <c:v>5</c:v>
                </c:pt>
                <c:pt idx="281">
                  <c:v>5</c:v>
                </c:pt>
                <c:pt idx="282">
                  <c:v>5</c:v>
                </c:pt>
                <c:pt idx="283">
                  <c:v>5</c:v>
                </c:pt>
                <c:pt idx="284">
                  <c:v>5</c:v>
                </c:pt>
                <c:pt idx="285">
                  <c:v>5</c:v>
                </c:pt>
                <c:pt idx="286">
                  <c:v>5</c:v>
                </c:pt>
                <c:pt idx="287">
                  <c:v>5</c:v>
                </c:pt>
                <c:pt idx="288">
                  <c:v>5</c:v>
                </c:pt>
                <c:pt idx="361">
                  <c:v>5</c:v>
                </c:pt>
                <c:pt idx="362">
                  <c:v>5</c:v>
                </c:pt>
                <c:pt idx="363">
                  <c:v>5</c:v>
                </c:pt>
                <c:pt idx="364">
                  <c:v>5</c:v>
                </c:pt>
                <c:pt idx="365">
                  <c:v>5</c:v>
                </c:pt>
                <c:pt idx="366">
                  <c:v>5</c:v>
                </c:pt>
                <c:pt idx="367">
                  <c:v>5</c:v>
                </c:pt>
                <c:pt idx="368">
                  <c:v>5</c:v>
                </c:pt>
                <c:pt idx="369">
                  <c:v>5</c:v>
                </c:pt>
                <c:pt idx="370">
                  <c:v>5</c:v>
                </c:pt>
                <c:pt idx="371">
                  <c:v>5</c:v>
                </c:pt>
                <c:pt idx="372">
                  <c:v>5</c:v>
                </c:pt>
                <c:pt idx="373">
                  <c:v>5</c:v>
                </c:pt>
                <c:pt idx="374">
                  <c:v>5</c:v>
                </c:pt>
                <c:pt idx="375">
                  <c:v>5</c:v>
                </c:pt>
                <c:pt idx="376">
                  <c:v>5</c:v>
                </c:pt>
                <c:pt idx="377">
                  <c:v>5</c:v>
                </c:pt>
                <c:pt idx="378">
                  <c:v>5</c:v>
                </c:pt>
                <c:pt idx="379">
                  <c:v>5</c:v>
                </c:pt>
              </c:numCache>
            </c:numRef>
          </c:val>
          <c:extLst>
            <c:ext xmlns:c16="http://schemas.microsoft.com/office/drawing/2014/chart" uri="{C3380CC4-5D6E-409C-BE32-E72D297353CC}">
              <c16:uniqueId val="{00000000-5C36-4409-9A77-485273604695}"/>
            </c:ext>
          </c:extLst>
        </c:ser>
        <c:dLbls>
          <c:showLegendKey val="0"/>
          <c:showVal val="0"/>
          <c:showCatName val="0"/>
          <c:showSerName val="0"/>
          <c:showPercent val="0"/>
          <c:showBubbleSize val="0"/>
        </c:dLbls>
        <c:axId val="407460952"/>
        <c:axId val="407463576"/>
      </c:areaChart>
      <c:lineChart>
        <c:grouping val="standard"/>
        <c:varyColors val="0"/>
        <c:ser>
          <c:idx val="0"/>
          <c:order val="0"/>
          <c:tx>
            <c:v>10-year to 2-year yield spread</c:v>
          </c:tx>
          <c:spPr>
            <a:ln w="9525" cap="rnd">
              <a:solidFill>
                <a:schemeClr val="accent1">
                  <a:lumMod val="75000"/>
                </a:schemeClr>
              </a:solidFill>
              <a:round/>
            </a:ln>
            <a:effectLst/>
          </c:spPr>
          <c:marker>
            <c:symbol val="none"/>
          </c:marker>
          <c:cat>
            <c:numRef>
              <c:f>'Yield Spread'!$A$13:$A$516</c:f>
              <c:numCache>
                <c:formatCode>mmm\-yy</c:formatCode>
                <c:ptCount val="504"/>
                <c:pt idx="0">
                  <c:v>28460</c:v>
                </c:pt>
                <c:pt idx="1">
                  <c:v>28491</c:v>
                </c:pt>
                <c:pt idx="2">
                  <c:v>28522</c:v>
                </c:pt>
                <c:pt idx="3">
                  <c:v>28550</c:v>
                </c:pt>
                <c:pt idx="4">
                  <c:v>28581</c:v>
                </c:pt>
                <c:pt idx="5">
                  <c:v>28611</c:v>
                </c:pt>
                <c:pt idx="6">
                  <c:v>28642</c:v>
                </c:pt>
                <c:pt idx="7">
                  <c:v>28672</c:v>
                </c:pt>
                <c:pt idx="8">
                  <c:v>28703</c:v>
                </c:pt>
                <c:pt idx="9">
                  <c:v>28734</c:v>
                </c:pt>
                <c:pt idx="10">
                  <c:v>28764</c:v>
                </c:pt>
                <c:pt idx="11">
                  <c:v>28795</c:v>
                </c:pt>
                <c:pt idx="12">
                  <c:v>28825</c:v>
                </c:pt>
                <c:pt idx="13">
                  <c:v>28856</c:v>
                </c:pt>
                <c:pt idx="14">
                  <c:v>28887</c:v>
                </c:pt>
                <c:pt idx="15">
                  <c:v>28915</c:v>
                </c:pt>
                <c:pt idx="16">
                  <c:v>28946</c:v>
                </c:pt>
                <c:pt idx="17">
                  <c:v>28976</c:v>
                </c:pt>
                <c:pt idx="18">
                  <c:v>29007</c:v>
                </c:pt>
                <c:pt idx="19">
                  <c:v>29037</c:v>
                </c:pt>
                <c:pt idx="20">
                  <c:v>29068</c:v>
                </c:pt>
                <c:pt idx="21">
                  <c:v>29099</c:v>
                </c:pt>
                <c:pt idx="22">
                  <c:v>29129</c:v>
                </c:pt>
                <c:pt idx="23">
                  <c:v>29160</c:v>
                </c:pt>
                <c:pt idx="24">
                  <c:v>29190</c:v>
                </c:pt>
                <c:pt idx="25">
                  <c:v>29221</c:v>
                </c:pt>
                <c:pt idx="26">
                  <c:v>29252</c:v>
                </c:pt>
                <c:pt idx="27">
                  <c:v>29281</c:v>
                </c:pt>
                <c:pt idx="28">
                  <c:v>29312</c:v>
                </c:pt>
                <c:pt idx="29">
                  <c:v>29342</c:v>
                </c:pt>
                <c:pt idx="30">
                  <c:v>29373</c:v>
                </c:pt>
                <c:pt idx="31">
                  <c:v>29403</c:v>
                </c:pt>
                <c:pt idx="32">
                  <c:v>29434</c:v>
                </c:pt>
                <c:pt idx="33">
                  <c:v>29465</c:v>
                </c:pt>
                <c:pt idx="34">
                  <c:v>29495</c:v>
                </c:pt>
                <c:pt idx="35">
                  <c:v>29526</c:v>
                </c:pt>
                <c:pt idx="36">
                  <c:v>29556</c:v>
                </c:pt>
                <c:pt idx="37">
                  <c:v>29587</c:v>
                </c:pt>
                <c:pt idx="38">
                  <c:v>29618</c:v>
                </c:pt>
                <c:pt idx="39">
                  <c:v>29646</c:v>
                </c:pt>
                <c:pt idx="40">
                  <c:v>29677</c:v>
                </c:pt>
                <c:pt idx="41">
                  <c:v>29707</c:v>
                </c:pt>
                <c:pt idx="42">
                  <c:v>29738</c:v>
                </c:pt>
                <c:pt idx="43">
                  <c:v>29768</c:v>
                </c:pt>
                <c:pt idx="44">
                  <c:v>29799</c:v>
                </c:pt>
                <c:pt idx="45">
                  <c:v>29830</c:v>
                </c:pt>
                <c:pt idx="46">
                  <c:v>29860</c:v>
                </c:pt>
                <c:pt idx="47">
                  <c:v>29891</c:v>
                </c:pt>
                <c:pt idx="48">
                  <c:v>29921</c:v>
                </c:pt>
                <c:pt idx="49">
                  <c:v>29952</c:v>
                </c:pt>
                <c:pt idx="50">
                  <c:v>29983</c:v>
                </c:pt>
                <c:pt idx="51">
                  <c:v>30011</c:v>
                </c:pt>
                <c:pt idx="52">
                  <c:v>30042</c:v>
                </c:pt>
                <c:pt idx="53">
                  <c:v>30072</c:v>
                </c:pt>
                <c:pt idx="54">
                  <c:v>30103</c:v>
                </c:pt>
                <c:pt idx="55">
                  <c:v>30133</c:v>
                </c:pt>
                <c:pt idx="56">
                  <c:v>30164</c:v>
                </c:pt>
                <c:pt idx="57">
                  <c:v>30195</c:v>
                </c:pt>
                <c:pt idx="58">
                  <c:v>30225</c:v>
                </c:pt>
                <c:pt idx="59">
                  <c:v>30256</c:v>
                </c:pt>
                <c:pt idx="60">
                  <c:v>30286</c:v>
                </c:pt>
                <c:pt idx="61">
                  <c:v>30317</c:v>
                </c:pt>
                <c:pt idx="62">
                  <c:v>30348</c:v>
                </c:pt>
                <c:pt idx="63">
                  <c:v>30376</c:v>
                </c:pt>
                <c:pt idx="64">
                  <c:v>30407</c:v>
                </c:pt>
                <c:pt idx="65">
                  <c:v>30437</c:v>
                </c:pt>
                <c:pt idx="66">
                  <c:v>30468</c:v>
                </c:pt>
                <c:pt idx="67">
                  <c:v>30498</c:v>
                </c:pt>
                <c:pt idx="68">
                  <c:v>30529</c:v>
                </c:pt>
                <c:pt idx="69">
                  <c:v>30560</c:v>
                </c:pt>
                <c:pt idx="70">
                  <c:v>30590</c:v>
                </c:pt>
                <c:pt idx="71">
                  <c:v>30621</c:v>
                </c:pt>
                <c:pt idx="72">
                  <c:v>30651</c:v>
                </c:pt>
                <c:pt idx="73">
                  <c:v>30682</c:v>
                </c:pt>
                <c:pt idx="74">
                  <c:v>30713</c:v>
                </c:pt>
                <c:pt idx="75">
                  <c:v>30742</c:v>
                </c:pt>
                <c:pt idx="76">
                  <c:v>30773</c:v>
                </c:pt>
                <c:pt idx="77">
                  <c:v>30803</c:v>
                </c:pt>
                <c:pt idx="78">
                  <c:v>30834</c:v>
                </c:pt>
                <c:pt idx="79">
                  <c:v>30864</c:v>
                </c:pt>
                <c:pt idx="80">
                  <c:v>30895</c:v>
                </c:pt>
                <c:pt idx="81">
                  <c:v>30926</c:v>
                </c:pt>
                <c:pt idx="82">
                  <c:v>30956</c:v>
                </c:pt>
                <c:pt idx="83">
                  <c:v>30987</c:v>
                </c:pt>
                <c:pt idx="84">
                  <c:v>31017</c:v>
                </c:pt>
                <c:pt idx="85">
                  <c:v>31048</c:v>
                </c:pt>
                <c:pt idx="86">
                  <c:v>31079</c:v>
                </c:pt>
                <c:pt idx="87">
                  <c:v>31107</c:v>
                </c:pt>
                <c:pt idx="88">
                  <c:v>31138</c:v>
                </c:pt>
                <c:pt idx="89">
                  <c:v>31168</c:v>
                </c:pt>
                <c:pt idx="90">
                  <c:v>31199</c:v>
                </c:pt>
                <c:pt idx="91">
                  <c:v>31229</c:v>
                </c:pt>
                <c:pt idx="92">
                  <c:v>31260</c:v>
                </c:pt>
                <c:pt idx="93">
                  <c:v>31291</c:v>
                </c:pt>
                <c:pt idx="94">
                  <c:v>31321</c:v>
                </c:pt>
                <c:pt idx="95">
                  <c:v>31352</c:v>
                </c:pt>
                <c:pt idx="96">
                  <c:v>31382</c:v>
                </c:pt>
                <c:pt idx="97">
                  <c:v>31413</c:v>
                </c:pt>
                <c:pt idx="98">
                  <c:v>31444</c:v>
                </c:pt>
                <c:pt idx="99">
                  <c:v>31472</c:v>
                </c:pt>
                <c:pt idx="100">
                  <c:v>31503</c:v>
                </c:pt>
                <c:pt idx="101">
                  <c:v>31533</c:v>
                </c:pt>
                <c:pt idx="102">
                  <c:v>31564</c:v>
                </c:pt>
                <c:pt idx="103">
                  <c:v>31594</c:v>
                </c:pt>
                <c:pt idx="104">
                  <c:v>31625</c:v>
                </c:pt>
                <c:pt idx="105">
                  <c:v>31656</c:v>
                </c:pt>
                <c:pt idx="106">
                  <c:v>31686</c:v>
                </c:pt>
                <c:pt idx="107">
                  <c:v>31717</c:v>
                </c:pt>
                <c:pt idx="108">
                  <c:v>31747</c:v>
                </c:pt>
                <c:pt idx="109">
                  <c:v>31778</c:v>
                </c:pt>
                <c:pt idx="110">
                  <c:v>31809</c:v>
                </c:pt>
                <c:pt idx="111">
                  <c:v>31837</c:v>
                </c:pt>
                <c:pt idx="112">
                  <c:v>31868</c:v>
                </c:pt>
                <c:pt idx="113">
                  <c:v>31898</c:v>
                </c:pt>
                <c:pt idx="114">
                  <c:v>31929</c:v>
                </c:pt>
                <c:pt idx="115">
                  <c:v>31959</c:v>
                </c:pt>
                <c:pt idx="116">
                  <c:v>31990</c:v>
                </c:pt>
                <c:pt idx="117">
                  <c:v>32021</c:v>
                </c:pt>
                <c:pt idx="118">
                  <c:v>32051</c:v>
                </c:pt>
                <c:pt idx="119">
                  <c:v>32082</c:v>
                </c:pt>
                <c:pt idx="120">
                  <c:v>32112</c:v>
                </c:pt>
                <c:pt idx="121">
                  <c:v>32143</c:v>
                </c:pt>
                <c:pt idx="122">
                  <c:v>32174</c:v>
                </c:pt>
                <c:pt idx="123">
                  <c:v>32203</c:v>
                </c:pt>
                <c:pt idx="124">
                  <c:v>32234</c:v>
                </c:pt>
                <c:pt idx="125">
                  <c:v>32264</c:v>
                </c:pt>
                <c:pt idx="126">
                  <c:v>32295</c:v>
                </c:pt>
                <c:pt idx="127">
                  <c:v>32325</c:v>
                </c:pt>
                <c:pt idx="128">
                  <c:v>32356</c:v>
                </c:pt>
                <c:pt idx="129">
                  <c:v>32387</c:v>
                </c:pt>
                <c:pt idx="130">
                  <c:v>32417</c:v>
                </c:pt>
                <c:pt idx="131">
                  <c:v>32448</c:v>
                </c:pt>
                <c:pt idx="132">
                  <c:v>32478</c:v>
                </c:pt>
                <c:pt idx="133">
                  <c:v>32509</c:v>
                </c:pt>
                <c:pt idx="134">
                  <c:v>32540</c:v>
                </c:pt>
                <c:pt idx="135">
                  <c:v>32568</c:v>
                </c:pt>
                <c:pt idx="136">
                  <c:v>32599</c:v>
                </c:pt>
                <c:pt idx="137">
                  <c:v>32629</c:v>
                </c:pt>
                <c:pt idx="138">
                  <c:v>32660</c:v>
                </c:pt>
                <c:pt idx="139">
                  <c:v>32690</c:v>
                </c:pt>
                <c:pt idx="140">
                  <c:v>32721</c:v>
                </c:pt>
                <c:pt idx="141">
                  <c:v>32752</c:v>
                </c:pt>
                <c:pt idx="142">
                  <c:v>32782</c:v>
                </c:pt>
                <c:pt idx="143">
                  <c:v>32813</c:v>
                </c:pt>
                <c:pt idx="144">
                  <c:v>32843</c:v>
                </c:pt>
                <c:pt idx="145">
                  <c:v>32874</c:v>
                </c:pt>
                <c:pt idx="146">
                  <c:v>32905</c:v>
                </c:pt>
                <c:pt idx="147">
                  <c:v>32933</c:v>
                </c:pt>
                <c:pt idx="148">
                  <c:v>32964</c:v>
                </c:pt>
                <c:pt idx="149">
                  <c:v>32994</c:v>
                </c:pt>
                <c:pt idx="150">
                  <c:v>33025</c:v>
                </c:pt>
                <c:pt idx="151">
                  <c:v>33055</c:v>
                </c:pt>
                <c:pt idx="152">
                  <c:v>33086</c:v>
                </c:pt>
                <c:pt idx="153">
                  <c:v>33117</c:v>
                </c:pt>
                <c:pt idx="154">
                  <c:v>33147</c:v>
                </c:pt>
                <c:pt idx="155">
                  <c:v>33178</c:v>
                </c:pt>
                <c:pt idx="156">
                  <c:v>33208</c:v>
                </c:pt>
                <c:pt idx="157">
                  <c:v>33239</c:v>
                </c:pt>
                <c:pt idx="158">
                  <c:v>33270</c:v>
                </c:pt>
                <c:pt idx="159">
                  <c:v>33298</c:v>
                </c:pt>
                <c:pt idx="160">
                  <c:v>33329</c:v>
                </c:pt>
                <c:pt idx="161">
                  <c:v>33359</c:v>
                </c:pt>
                <c:pt idx="162">
                  <c:v>33390</c:v>
                </c:pt>
                <c:pt idx="163">
                  <c:v>33420</c:v>
                </c:pt>
                <c:pt idx="164">
                  <c:v>33451</c:v>
                </c:pt>
                <c:pt idx="165">
                  <c:v>33482</c:v>
                </c:pt>
                <c:pt idx="166">
                  <c:v>33512</c:v>
                </c:pt>
                <c:pt idx="167">
                  <c:v>33543</c:v>
                </c:pt>
                <c:pt idx="168">
                  <c:v>33573</c:v>
                </c:pt>
                <c:pt idx="169">
                  <c:v>33604</c:v>
                </c:pt>
                <c:pt idx="170">
                  <c:v>33635</c:v>
                </c:pt>
                <c:pt idx="171">
                  <c:v>33664</c:v>
                </c:pt>
                <c:pt idx="172">
                  <c:v>33695</c:v>
                </c:pt>
                <c:pt idx="173">
                  <c:v>33725</c:v>
                </c:pt>
                <c:pt idx="174">
                  <c:v>33756</c:v>
                </c:pt>
                <c:pt idx="175">
                  <c:v>33786</c:v>
                </c:pt>
                <c:pt idx="176">
                  <c:v>33817</c:v>
                </c:pt>
                <c:pt idx="177">
                  <c:v>33848</c:v>
                </c:pt>
                <c:pt idx="178">
                  <c:v>33878</c:v>
                </c:pt>
                <c:pt idx="179">
                  <c:v>33909</c:v>
                </c:pt>
                <c:pt idx="180">
                  <c:v>33939</c:v>
                </c:pt>
                <c:pt idx="181">
                  <c:v>33970</c:v>
                </c:pt>
                <c:pt idx="182">
                  <c:v>34001</c:v>
                </c:pt>
                <c:pt idx="183">
                  <c:v>34029</c:v>
                </c:pt>
                <c:pt idx="184">
                  <c:v>34060</c:v>
                </c:pt>
                <c:pt idx="185">
                  <c:v>34090</c:v>
                </c:pt>
                <c:pt idx="186">
                  <c:v>34121</c:v>
                </c:pt>
                <c:pt idx="187">
                  <c:v>34151</c:v>
                </c:pt>
                <c:pt idx="188">
                  <c:v>34182</c:v>
                </c:pt>
                <c:pt idx="189">
                  <c:v>34213</c:v>
                </c:pt>
                <c:pt idx="190">
                  <c:v>34243</c:v>
                </c:pt>
                <c:pt idx="191">
                  <c:v>34274</c:v>
                </c:pt>
                <c:pt idx="192">
                  <c:v>34304</c:v>
                </c:pt>
                <c:pt idx="193">
                  <c:v>34335</c:v>
                </c:pt>
                <c:pt idx="194">
                  <c:v>34366</c:v>
                </c:pt>
                <c:pt idx="195">
                  <c:v>34394</c:v>
                </c:pt>
                <c:pt idx="196">
                  <c:v>34425</c:v>
                </c:pt>
                <c:pt idx="197">
                  <c:v>34455</c:v>
                </c:pt>
                <c:pt idx="198">
                  <c:v>34486</c:v>
                </c:pt>
                <c:pt idx="199">
                  <c:v>34516</c:v>
                </c:pt>
                <c:pt idx="200">
                  <c:v>34547</c:v>
                </c:pt>
                <c:pt idx="201">
                  <c:v>34578</c:v>
                </c:pt>
                <c:pt idx="202">
                  <c:v>34608</c:v>
                </c:pt>
                <c:pt idx="203">
                  <c:v>34639</c:v>
                </c:pt>
                <c:pt idx="204">
                  <c:v>34669</c:v>
                </c:pt>
                <c:pt idx="205">
                  <c:v>34700</c:v>
                </c:pt>
                <c:pt idx="206">
                  <c:v>34731</c:v>
                </c:pt>
                <c:pt idx="207">
                  <c:v>34759</c:v>
                </c:pt>
                <c:pt idx="208">
                  <c:v>34790</c:v>
                </c:pt>
                <c:pt idx="209">
                  <c:v>34820</c:v>
                </c:pt>
                <c:pt idx="210">
                  <c:v>34851</c:v>
                </c:pt>
                <c:pt idx="211">
                  <c:v>34881</c:v>
                </c:pt>
                <c:pt idx="212">
                  <c:v>34912</c:v>
                </c:pt>
                <c:pt idx="213">
                  <c:v>34943</c:v>
                </c:pt>
                <c:pt idx="214">
                  <c:v>34973</c:v>
                </c:pt>
                <c:pt idx="215">
                  <c:v>35004</c:v>
                </c:pt>
                <c:pt idx="216">
                  <c:v>35034</c:v>
                </c:pt>
                <c:pt idx="217">
                  <c:v>35065</c:v>
                </c:pt>
                <c:pt idx="218">
                  <c:v>35096</c:v>
                </c:pt>
                <c:pt idx="219">
                  <c:v>35125</c:v>
                </c:pt>
                <c:pt idx="220">
                  <c:v>35156</c:v>
                </c:pt>
                <c:pt idx="221">
                  <c:v>35186</c:v>
                </c:pt>
                <c:pt idx="222">
                  <c:v>35217</c:v>
                </c:pt>
                <c:pt idx="223">
                  <c:v>35247</c:v>
                </c:pt>
                <c:pt idx="224">
                  <c:v>35278</c:v>
                </c:pt>
                <c:pt idx="225">
                  <c:v>35309</c:v>
                </c:pt>
                <c:pt idx="226">
                  <c:v>35339</c:v>
                </c:pt>
                <c:pt idx="227">
                  <c:v>35370</c:v>
                </c:pt>
                <c:pt idx="228">
                  <c:v>35400</c:v>
                </c:pt>
                <c:pt idx="229">
                  <c:v>35431</c:v>
                </c:pt>
                <c:pt idx="230">
                  <c:v>35462</c:v>
                </c:pt>
                <c:pt idx="231">
                  <c:v>35490</c:v>
                </c:pt>
                <c:pt idx="232">
                  <c:v>35521</c:v>
                </c:pt>
                <c:pt idx="233">
                  <c:v>35551</c:v>
                </c:pt>
                <c:pt idx="234">
                  <c:v>35582</c:v>
                </c:pt>
                <c:pt idx="235">
                  <c:v>35612</c:v>
                </c:pt>
                <c:pt idx="236">
                  <c:v>35643</c:v>
                </c:pt>
                <c:pt idx="237">
                  <c:v>35674</c:v>
                </c:pt>
                <c:pt idx="238">
                  <c:v>35704</c:v>
                </c:pt>
                <c:pt idx="239">
                  <c:v>35735</c:v>
                </c:pt>
                <c:pt idx="240">
                  <c:v>35765</c:v>
                </c:pt>
                <c:pt idx="241">
                  <c:v>35796</c:v>
                </c:pt>
                <c:pt idx="242">
                  <c:v>35827</c:v>
                </c:pt>
                <c:pt idx="243">
                  <c:v>35855</c:v>
                </c:pt>
                <c:pt idx="244">
                  <c:v>35886</c:v>
                </c:pt>
                <c:pt idx="245">
                  <c:v>35916</c:v>
                </c:pt>
                <c:pt idx="246">
                  <c:v>35947</c:v>
                </c:pt>
                <c:pt idx="247">
                  <c:v>35977</c:v>
                </c:pt>
                <c:pt idx="248">
                  <c:v>36008</c:v>
                </c:pt>
                <c:pt idx="249">
                  <c:v>36039</c:v>
                </c:pt>
                <c:pt idx="250">
                  <c:v>36069</c:v>
                </c:pt>
                <c:pt idx="251">
                  <c:v>36100</c:v>
                </c:pt>
                <c:pt idx="252">
                  <c:v>36130</c:v>
                </c:pt>
                <c:pt idx="253">
                  <c:v>36161</c:v>
                </c:pt>
                <c:pt idx="254">
                  <c:v>36192</c:v>
                </c:pt>
                <c:pt idx="255">
                  <c:v>36220</c:v>
                </c:pt>
                <c:pt idx="256">
                  <c:v>36251</c:v>
                </c:pt>
                <c:pt idx="257">
                  <c:v>36281</c:v>
                </c:pt>
                <c:pt idx="258">
                  <c:v>36312</c:v>
                </c:pt>
                <c:pt idx="259">
                  <c:v>36342</c:v>
                </c:pt>
                <c:pt idx="260">
                  <c:v>36373</c:v>
                </c:pt>
                <c:pt idx="261">
                  <c:v>36404</c:v>
                </c:pt>
                <c:pt idx="262">
                  <c:v>36434</c:v>
                </c:pt>
                <c:pt idx="263">
                  <c:v>36465</c:v>
                </c:pt>
                <c:pt idx="264">
                  <c:v>36495</c:v>
                </c:pt>
                <c:pt idx="265">
                  <c:v>36526</c:v>
                </c:pt>
                <c:pt idx="266">
                  <c:v>36557</c:v>
                </c:pt>
                <c:pt idx="267">
                  <c:v>36586</c:v>
                </c:pt>
                <c:pt idx="268">
                  <c:v>36617</c:v>
                </c:pt>
                <c:pt idx="269">
                  <c:v>36647</c:v>
                </c:pt>
                <c:pt idx="270">
                  <c:v>36678</c:v>
                </c:pt>
                <c:pt idx="271">
                  <c:v>36708</c:v>
                </c:pt>
                <c:pt idx="272">
                  <c:v>36739</c:v>
                </c:pt>
                <c:pt idx="273">
                  <c:v>36770</c:v>
                </c:pt>
                <c:pt idx="274">
                  <c:v>36800</c:v>
                </c:pt>
                <c:pt idx="275">
                  <c:v>36831</c:v>
                </c:pt>
                <c:pt idx="276">
                  <c:v>36861</c:v>
                </c:pt>
                <c:pt idx="277">
                  <c:v>36892</c:v>
                </c:pt>
                <c:pt idx="278">
                  <c:v>36923</c:v>
                </c:pt>
                <c:pt idx="279">
                  <c:v>36951</c:v>
                </c:pt>
                <c:pt idx="280">
                  <c:v>36982</c:v>
                </c:pt>
                <c:pt idx="281">
                  <c:v>37012</c:v>
                </c:pt>
                <c:pt idx="282">
                  <c:v>37043</c:v>
                </c:pt>
                <c:pt idx="283">
                  <c:v>37073</c:v>
                </c:pt>
                <c:pt idx="284">
                  <c:v>37104</c:v>
                </c:pt>
                <c:pt idx="285">
                  <c:v>37135</c:v>
                </c:pt>
                <c:pt idx="286">
                  <c:v>37165</c:v>
                </c:pt>
                <c:pt idx="287">
                  <c:v>37196</c:v>
                </c:pt>
                <c:pt idx="288">
                  <c:v>37226</c:v>
                </c:pt>
                <c:pt idx="289">
                  <c:v>37257</c:v>
                </c:pt>
                <c:pt idx="290">
                  <c:v>37288</c:v>
                </c:pt>
                <c:pt idx="291">
                  <c:v>37316</c:v>
                </c:pt>
                <c:pt idx="292">
                  <c:v>37347</c:v>
                </c:pt>
                <c:pt idx="293">
                  <c:v>37377</c:v>
                </c:pt>
                <c:pt idx="294">
                  <c:v>37408</c:v>
                </c:pt>
                <c:pt idx="295">
                  <c:v>37438</c:v>
                </c:pt>
                <c:pt idx="296">
                  <c:v>37469</c:v>
                </c:pt>
                <c:pt idx="297">
                  <c:v>37500</c:v>
                </c:pt>
                <c:pt idx="298">
                  <c:v>37530</c:v>
                </c:pt>
                <c:pt idx="299">
                  <c:v>37561</c:v>
                </c:pt>
                <c:pt idx="300">
                  <c:v>37591</c:v>
                </c:pt>
                <c:pt idx="301">
                  <c:v>37622</c:v>
                </c:pt>
                <c:pt idx="302">
                  <c:v>37653</c:v>
                </c:pt>
                <c:pt idx="303">
                  <c:v>37681</c:v>
                </c:pt>
                <c:pt idx="304">
                  <c:v>37712</c:v>
                </c:pt>
                <c:pt idx="305">
                  <c:v>37742</c:v>
                </c:pt>
                <c:pt idx="306">
                  <c:v>37773</c:v>
                </c:pt>
                <c:pt idx="307">
                  <c:v>37803</c:v>
                </c:pt>
                <c:pt idx="308">
                  <c:v>37834</c:v>
                </c:pt>
                <c:pt idx="309">
                  <c:v>37865</c:v>
                </c:pt>
                <c:pt idx="310">
                  <c:v>37895</c:v>
                </c:pt>
                <c:pt idx="311">
                  <c:v>37926</c:v>
                </c:pt>
                <c:pt idx="312">
                  <c:v>37956</c:v>
                </c:pt>
                <c:pt idx="313">
                  <c:v>37987</c:v>
                </c:pt>
                <c:pt idx="314">
                  <c:v>38018</c:v>
                </c:pt>
                <c:pt idx="315">
                  <c:v>38047</c:v>
                </c:pt>
                <c:pt idx="316">
                  <c:v>38078</c:v>
                </c:pt>
                <c:pt idx="317">
                  <c:v>38108</c:v>
                </c:pt>
                <c:pt idx="318">
                  <c:v>38139</c:v>
                </c:pt>
                <c:pt idx="319">
                  <c:v>38169</c:v>
                </c:pt>
                <c:pt idx="320">
                  <c:v>38200</c:v>
                </c:pt>
                <c:pt idx="321">
                  <c:v>38231</c:v>
                </c:pt>
                <c:pt idx="322">
                  <c:v>38261</c:v>
                </c:pt>
                <c:pt idx="323">
                  <c:v>38292</c:v>
                </c:pt>
                <c:pt idx="324">
                  <c:v>38322</c:v>
                </c:pt>
                <c:pt idx="325">
                  <c:v>38353</c:v>
                </c:pt>
                <c:pt idx="326">
                  <c:v>38384</c:v>
                </c:pt>
                <c:pt idx="327">
                  <c:v>38412</c:v>
                </c:pt>
                <c:pt idx="328">
                  <c:v>38443</c:v>
                </c:pt>
                <c:pt idx="329">
                  <c:v>38473</c:v>
                </c:pt>
                <c:pt idx="330">
                  <c:v>38504</c:v>
                </c:pt>
                <c:pt idx="331">
                  <c:v>38534</c:v>
                </c:pt>
                <c:pt idx="332">
                  <c:v>38565</c:v>
                </c:pt>
                <c:pt idx="333">
                  <c:v>38596</c:v>
                </c:pt>
                <c:pt idx="334">
                  <c:v>38626</c:v>
                </c:pt>
                <c:pt idx="335">
                  <c:v>38657</c:v>
                </c:pt>
                <c:pt idx="336">
                  <c:v>38687</c:v>
                </c:pt>
                <c:pt idx="337">
                  <c:v>38718</c:v>
                </c:pt>
                <c:pt idx="338">
                  <c:v>38749</c:v>
                </c:pt>
                <c:pt idx="339">
                  <c:v>38777</c:v>
                </c:pt>
                <c:pt idx="340">
                  <c:v>38808</c:v>
                </c:pt>
                <c:pt idx="341">
                  <c:v>38838</c:v>
                </c:pt>
                <c:pt idx="342">
                  <c:v>38869</c:v>
                </c:pt>
                <c:pt idx="343">
                  <c:v>38899</c:v>
                </c:pt>
                <c:pt idx="344">
                  <c:v>38930</c:v>
                </c:pt>
                <c:pt idx="345">
                  <c:v>38961</c:v>
                </c:pt>
                <c:pt idx="346">
                  <c:v>38991</c:v>
                </c:pt>
                <c:pt idx="347">
                  <c:v>39022</c:v>
                </c:pt>
                <c:pt idx="348">
                  <c:v>39052</c:v>
                </c:pt>
                <c:pt idx="349">
                  <c:v>39083</c:v>
                </c:pt>
                <c:pt idx="350">
                  <c:v>39114</c:v>
                </c:pt>
                <c:pt idx="351">
                  <c:v>39142</c:v>
                </c:pt>
                <c:pt idx="352">
                  <c:v>39173</c:v>
                </c:pt>
                <c:pt idx="353">
                  <c:v>39203</c:v>
                </c:pt>
                <c:pt idx="354">
                  <c:v>39234</c:v>
                </c:pt>
                <c:pt idx="355">
                  <c:v>39264</c:v>
                </c:pt>
                <c:pt idx="356">
                  <c:v>39295</c:v>
                </c:pt>
                <c:pt idx="357">
                  <c:v>39326</c:v>
                </c:pt>
                <c:pt idx="358">
                  <c:v>39356</c:v>
                </c:pt>
                <c:pt idx="359">
                  <c:v>39387</c:v>
                </c:pt>
                <c:pt idx="360">
                  <c:v>39417</c:v>
                </c:pt>
                <c:pt idx="361">
                  <c:v>39448</c:v>
                </c:pt>
                <c:pt idx="362">
                  <c:v>39479</c:v>
                </c:pt>
                <c:pt idx="363">
                  <c:v>39508</c:v>
                </c:pt>
                <c:pt idx="364">
                  <c:v>39539</c:v>
                </c:pt>
                <c:pt idx="365">
                  <c:v>39569</c:v>
                </c:pt>
                <c:pt idx="366">
                  <c:v>39600</c:v>
                </c:pt>
                <c:pt idx="367">
                  <c:v>39630</c:v>
                </c:pt>
                <c:pt idx="368">
                  <c:v>39661</c:v>
                </c:pt>
                <c:pt idx="369">
                  <c:v>39692</c:v>
                </c:pt>
                <c:pt idx="370">
                  <c:v>39722</c:v>
                </c:pt>
                <c:pt idx="371">
                  <c:v>39753</c:v>
                </c:pt>
                <c:pt idx="372">
                  <c:v>39783</c:v>
                </c:pt>
                <c:pt idx="373">
                  <c:v>39814</c:v>
                </c:pt>
                <c:pt idx="374">
                  <c:v>39845</c:v>
                </c:pt>
                <c:pt idx="375">
                  <c:v>39873</c:v>
                </c:pt>
                <c:pt idx="376">
                  <c:v>39904</c:v>
                </c:pt>
                <c:pt idx="377">
                  <c:v>39934</c:v>
                </c:pt>
                <c:pt idx="378">
                  <c:v>39965</c:v>
                </c:pt>
                <c:pt idx="379">
                  <c:v>39995</c:v>
                </c:pt>
                <c:pt idx="380">
                  <c:v>40026</c:v>
                </c:pt>
                <c:pt idx="381">
                  <c:v>40057</c:v>
                </c:pt>
                <c:pt idx="382">
                  <c:v>40087</c:v>
                </c:pt>
                <c:pt idx="383">
                  <c:v>40118</c:v>
                </c:pt>
                <c:pt idx="384">
                  <c:v>40148</c:v>
                </c:pt>
                <c:pt idx="385">
                  <c:v>40179</c:v>
                </c:pt>
                <c:pt idx="386">
                  <c:v>40210</c:v>
                </c:pt>
                <c:pt idx="387">
                  <c:v>40238</c:v>
                </c:pt>
                <c:pt idx="388">
                  <c:v>40269</c:v>
                </c:pt>
                <c:pt idx="389">
                  <c:v>40299</c:v>
                </c:pt>
                <c:pt idx="390">
                  <c:v>40330</c:v>
                </c:pt>
                <c:pt idx="391">
                  <c:v>40360</c:v>
                </c:pt>
                <c:pt idx="392">
                  <c:v>40391</c:v>
                </c:pt>
                <c:pt idx="393">
                  <c:v>40422</c:v>
                </c:pt>
                <c:pt idx="394">
                  <c:v>40452</c:v>
                </c:pt>
                <c:pt idx="395">
                  <c:v>40483</c:v>
                </c:pt>
                <c:pt idx="396">
                  <c:v>40513</c:v>
                </c:pt>
                <c:pt idx="397">
                  <c:v>40544</c:v>
                </c:pt>
                <c:pt idx="398">
                  <c:v>40575</c:v>
                </c:pt>
                <c:pt idx="399">
                  <c:v>40603</c:v>
                </c:pt>
                <c:pt idx="400">
                  <c:v>40634</c:v>
                </c:pt>
                <c:pt idx="401">
                  <c:v>40664</c:v>
                </c:pt>
                <c:pt idx="402">
                  <c:v>40695</c:v>
                </c:pt>
                <c:pt idx="403">
                  <c:v>40725</c:v>
                </c:pt>
                <c:pt idx="404">
                  <c:v>40756</c:v>
                </c:pt>
                <c:pt idx="405">
                  <c:v>40787</c:v>
                </c:pt>
                <c:pt idx="406">
                  <c:v>40817</c:v>
                </c:pt>
                <c:pt idx="407">
                  <c:v>40848</c:v>
                </c:pt>
                <c:pt idx="408">
                  <c:v>40878</c:v>
                </c:pt>
                <c:pt idx="409">
                  <c:v>40909</c:v>
                </c:pt>
                <c:pt idx="410">
                  <c:v>40940</c:v>
                </c:pt>
                <c:pt idx="411">
                  <c:v>40969</c:v>
                </c:pt>
                <c:pt idx="412">
                  <c:v>41000</c:v>
                </c:pt>
                <c:pt idx="413">
                  <c:v>41030</c:v>
                </c:pt>
                <c:pt idx="414">
                  <c:v>41061</c:v>
                </c:pt>
                <c:pt idx="415">
                  <c:v>41091</c:v>
                </c:pt>
                <c:pt idx="416">
                  <c:v>41122</c:v>
                </c:pt>
                <c:pt idx="417">
                  <c:v>41153</c:v>
                </c:pt>
                <c:pt idx="418">
                  <c:v>41183</c:v>
                </c:pt>
                <c:pt idx="419">
                  <c:v>41214</c:v>
                </c:pt>
                <c:pt idx="420">
                  <c:v>41244</c:v>
                </c:pt>
                <c:pt idx="421">
                  <c:v>41275</c:v>
                </c:pt>
                <c:pt idx="422">
                  <c:v>41306</c:v>
                </c:pt>
                <c:pt idx="423">
                  <c:v>41334</c:v>
                </c:pt>
                <c:pt idx="424">
                  <c:v>41365</c:v>
                </c:pt>
                <c:pt idx="425">
                  <c:v>41395</c:v>
                </c:pt>
                <c:pt idx="426">
                  <c:v>41426</c:v>
                </c:pt>
                <c:pt idx="427">
                  <c:v>41456</c:v>
                </c:pt>
                <c:pt idx="428">
                  <c:v>41487</c:v>
                </c:pt>
                <c:pt idx="429">
                  <c:v>41518</c:v>
                </c:pt>
                <c:pt idx="430">
                  <c:v>41548</c:v>
                </c:pt>
                <c:pt idx="431">
                  <c:v>41579</c:v>
                </c:pt>
                <c:pt idx="432">
                  <c:v>41609</c:v>
                </c:pt>
                <c:pt idx="433">
                  <c:v>41640</c:v>
                </c:pt>
                <c:pt idx="434">
                  <c:v>41671</c:v>
                </c:pt>
                <c:pt idx="435">
                  <c:v>41699</c:v>
                </c:pt>
                <c:pt idx="436">
                  <c:v>41730</c:v>
                </c:pt>
                <c:pt idx="437">
                  <c:v>41760</c:v>
                </c:pt>
                <c:pt idx="438">
                  <c:v>41791</c:v>
                </c:pt>
                <c:pt idx="439">
                  <c:v>41821</c:v>
                </c:pt>
                <c:pt idx="440">
                  <c:v>41852</c:v>
                </c:pt>
                <c:pt idx="441">
                  <c:v>41883</c:v>
                </c:pt>
                <c:pt idx="442">
                  <c:v>41913</c:v>
                </c:pt>
                <c:pt idx="443">
                  <c:v>41944</c:v>
                </c:pt>
                <c:pt idx="444">
                  <c:v>41974</c:v>
                </c:pt>
                <c:pt idx="445">
                  <c:v>42005</c:v>
                </c:pt>
                <c:pt idx="446">
                  <c:v>42036</c:v>
                </c:pt>
                <c:pt idx="447">
                  <c:v>42064</c:v>
                </c:pt>
                <c:pt idx="448">
                  <c:v>42095</c:v>
                </c:pt>
                <c:pt idx="449">
                  <c:v>42125</c:v>
                </c:pt>
                <c:pt idx="450">
                  <c:v>42156</c:v>
                </c:pt>
                <c:pt idx="451">
                  <c:v>42186</c:v>
                </c:pt>
                <c:pt idx="452">
                  <c:v>42217</c:v>
                </c:pt>
                <c:pt idx="453">
                  <c:v>42248</c:v>
                </c:pt>
                <c:pt idx="454">
                  <c:v>42278</c:v>
                </c:pt>
                <c:pt idx="455">
                  <c:v>42309</c:v>
                </c:pt>
                <c:pt idx="456">
                  <c:v>42339</c:v>
                </c:pt>
                <c:pt idx="457">
                  <c:v>42370</c:v>
                </c:pt>
                <c:pt idx="458">
                  <c:v>42401</c:v>
                </c:pt>
                <c:pt idx="459">
                  <c:v>42430</c:v>
                </c:pt>
                <c:pt idx="460">
                  <c:v>42461</c:v>
                </c:pt>
                <c:pt idx="461">
                  <c:v>42491</c:v>
                </c:pt>
                <c:pt idx="462">
                  <c:v>42522</c:v>
                </c:pt>
                <c:pt idx="463">
                  <c:v>42552</c:v>
                </c:pt>
                <c:pt idx="464">
                  <c:v>42583</c:v>
                </c:pt>
                <c:pt idx="465">
                  <c:v>42614</c:v>
                </c:pt>
                <c:pt idx="466">
                  <c:v>42644</c:v>
                </c:pt>
                <c:pt idx="467">
                  <c:v>42675</c:v>
                </c:pt>
                <c:pt idx="468">
                  <c:v>42705</c:v>
                </c:pt>
                <c:pt idx="469">
                  <c:v>42736</c:v>
                </c:pt>
                <c:pt idx="470">
                  <c:v>42767</c:v>
                </c:pt>
                <c:pt idx="471">
                  <c:v>42795</c:v>
                </c:pt>
                <c:pt idx="472">
                  <c:v>42826</c:v>
                </c:pt>
                <c:pt idx="473">
                  <c:v>42856</c:v>
                </c:pt>
                <c:pt idx="474">
                  <c:v>42887</c:v>
                </c:pt>
                <c:pt idx="475">
                  <c:v>42917</c:v>
                </c:pt>
                <c:pt idx="476">
                  <c:v>42948</c:v>
                </c:pt>
                <c:pt idx="477">
                  <c:v>42979</c:v>
                </c:pt>
                <c:pt idx="478">
                  <c:v>43009</c:v>
                </c:pt>
                <c:pt idx="479">
                  <c:v>43040</c:v>
                </c:pt>
                <c:pt idx="480">
                  <c:v>43070</c:v>
                </c:pt>
                <c:pt idx="481">
                  <c:v>43101</c:v>
                </c:pt>
                <c:pt idx="482">
                  <c:v>43132</c:v>
                </c:pt>
                <c:pt idx="483">
                  <c:v>43160</c:v>
                </c:pt>
                <c:pt idx="484">
                  <c:v>43191</c:v>
                </c:pt>
                <c:pt idx="485">
                  <c:v>43221</c:v>
                </c:pt>
                <c:pt idx="486">
                  <c:v>43252</c:v>
                </c:pt>
                <c:pt idx="487">
                  <c:v>43282</c:v>
                </c:pt>
                <c:pt idx="488">
                  <c:v>43313</c:v>
                </c:pt>
                <c:pt idx="489">
                  <c:v>43344</c:v>
                </c:pt>
                <c:pt idx="490">
                  <c:v>43374</c:v>
                </c:pt>
                <c:pt idx="491">
                  <c:v>43405</c:v>
                </c:pt>
                <c:pt idx="492">
                  <c:v>43435</c:v>
                </c:pt>
                <c:pt idx="493">
                  <c:v>43466</c:v>
                </c:pt>
                <c:pt idx="494">
                  <c:v>43497</c:v>
                </c:pt>
                <c:pt idx="495">
                  <c:v>43525</c:v>
                </c:pt>
                <c:pt idx="496">
                  <c:v>43556</c:v>
                </c:pt>
                <c:pt idx="497">
                  <c:v>43586</c:v>
                </c:pt>
                <c:pt idx="498">
                  <c:v>43617</c:v>
                </c:pt>
                <c:pt idx="499">
                  <c:v>43647</c:v>
                </c:pt>
                <c:pt idx="500">
                  <c:v>43678</c:v>
                </c:pt>
                <c:pt idx="501">
                  <c:v>43709</c:v>
                </c:pt>
                <c:pt idx="502">
                  <c:v>43739</c:v>
                </c:pt>
                <c:pt idx="503">
                  <c:v>43770</c:v>
                </c:pt>
              </c:numCache>
            </c:numRef>
          </c:cat>
          <c:val>
            <c:numRef>
              <c:f>'Yield Spread'!$B$13:$B$516</c:f>
              <c:numCache>
                <c:formatCode>0.00</c:formatCode>
                <c:ptCount val="504"/>
                <c:pt idx="0">
                  <c:v>0.51</c:v>
                </c:pt>
                <c:pt idx="1">
                  <c:v>0.47</c:v>
                </c:pt>
                <c:pt idx="2">
                  <c:v>0.46</c:v>
                </c:pt>
                <c:pt idx="3">
                  <c:v>0.46</c:v>
                </c:pt>
                <c:pt idx="4">
                  <c:v>0.41</c:v>
                </c:pt>
                <c:pt idx="5">
                  <c:v>0.34</c:v>
                </c:pt>
                <c:pt idx="6">
                  <c:v>0.22</c:v>
                </c:pt>
                <c:pt idx="7">
                  <c:v>0.15</c:v>
                </c:pt>
                <c:pt idx="8">
                  <c:v>0.04</c:v>
                </c:pt>
                <c:pt idx="9">
                  <c:v>-0.15</c:v>
                </c:pt>
                <c:pt idx="10">
                  <c:v>-0.21</c:v>
                </c:pt>
                <c:pt idx="11">
                  <c:v>-0.61</c:v>
                </c:pt>
                <c:pt idx="12">
                  <c:v>-0.71</c:v>
                </c:pt>
                <c:pt idx="13">
                  <c:v>-0.76</c:v>
                </c:pt>
                <c:pt idx="14">
                  <c:v>-0.62</c:v>
                </c:pt>
                <c:pt idx="15">
                  <c:v>-0.67</c:v>
                </c:pt>
                <c:pt idx="16">
                  <c:v>-0.6</c:v>
                </c:pt>
                <c:pt idx="17">
                  <c:v>-0.53</c:v>
                </c:pt>
                <c:pt idx="18">
                  <c:v>-0.31</c:v>
                </c:pt>
                <c:pt idx="19">
                  <c:v>-0.19</c:v>
                </c:pt>
                <c:pt idx="20">
                  <c:v>-0.43</c:v>
                </c:pt>
                <c:pt idx="21">
                  <c:v>-0.73</c:v>
                </c:pt>
                <c:pt idx="22">
                  <c:v>-1.19</c:v>
                </c:pt>
                <c:pt idx="23">
                  <c:v>-1.1599999999999999</c:v>
                </c:pt>
                <c:pt idx="24">
                  <c:v>-1</c:v>
                </c:pt>
                <c:pt idx="25">
                  <c:v>-0.7</c:v>
                </c:pt>
                <c:pt idx="26">
                  <c:v>-1.01</c:v>
                </c:pt>
                <c:pt idx="27">
                  <c:v>-2.13</c:v>
                </c:pt>
                <c:pt idx="28">
                  <c:v>-1.03</c:v>
                </c:pt>
                <c:pt idx="29">
                  <c:v>0.73</c:v>
                </c:pt>
                <c:pt idx="30">
                  <c:v>1.05</c:v>
                </c:pt>
                <c:pt idx="31">
                  <c:v>1.22</c:v>
                </c:pt>
                <c:pt idx="32">
                  <c:v>0.56999999999999995</c:v>
                </c:pt>
                <c:pt idx="33">
                  <c:v>-0.06</c:v>
                </c:pt>
                <c:pt idx="34">
                  <c:v>-0.34</c:v>
                </c:pt>
                <c:pt idx="35">
                  <c:v>-0.83</c:v>
                </c:pt>
                <c:pt idx="36">
                  <c:v>-1.24</c:v>
                </c:pt>
                <c:pt idx="37">
                  <c:v>-0.69</c:v>
                </c:pt>
                <c:pt idx="38">
                  <c:v>-0.73</c:v>
                </c:pt>
                <c:pt idx="39">
                  <c:v>-0.45</c:v>
                </c:pt>
                <c:pt idx="40">
                  <c:v>-0.47</c:v>
                </c:pt>
                <c:pt idx="41">
                  <c:v>-1.36</c:v>
                </c:pt>
                <c:pt idx="42">
                  <c:v>-1.04</c:v>
                </c:pt>
                <c:pt idx="43">
                  <c:v>-1.07</c:v>
                </c:pt>
                <c:pt idx="44">
                  <c:v>-1.34</c:v>
                </c:pt>
                <c:pt idx="45">
                  <c:v>-1.1399999999999999</c:v>
                </c:pt>
                <c:pt idx="46">
                  <c:v>-0.39</c:v>
                </c:pt>
                <c:pt idx="47">
                  <c:v>0.51</c:v>
                </c:pt>
                <c:pt idx="48">
                  <c:v>0.43</c:v>
                </c:pt>
                <c:pt idx="49">
                  <c:v>0.02</c:v>
                </c:pt>
                <c:pt idx="50">
                  <c:v>-0.39</c:v>
                </c:pt>
                <c:pt idx="51">
                  <c:v>-0.33</c:v>
                </c:pt>
                <c:pt idx="52">
                  <c:v>-0.33</c:v>
                </c:pt>
                <c:pt idx="53">
                  <c:v>-0.16</c:v>
                </c:pt>
                <c:pt idx="54">
                  <c:v>-0.17</c:v>
                </c:pt>
                <c:pt idx="55">
                  <c:v>0.15</c:v>
                </c:pt>
                <c:pt idx="56">
                  <c:v>0.74</c:v>
                </c:pt>
                <c:pt idx="57">
                  <c:v>0.56000000000000005</c:v>
                </c:pt>
                <c:pt idx="58">
                  <c:v>0.72</c:v>
                </c:pt>
                <c:pt idx="59">
                  <c:v>0.75</c:v>
                </c:pt>
                <c:pt idx="60">
                  <c:v>0.88</c:v>
                </c:pt>
                <c:pt idx="61">
                  <c:v>1.1299999999999999</c:v>
                </c:pt>
                <c:pt idx="62">
                  <c:v>1.08</c:v>
                </c:pt>
                <c:pt idx="63">
                  <c:v>0.85</c:v>
                </c:pt>
                <c:pt idx="64">
                  <c:v>0.83</c:v>
                </c:pt>
                <c:pt idx="65">
                  <c:v>0.89</c:v>
                </c:pt>
                <c:pt idx="66">
                  <c:v>0.67</c:v>
                </c:pt>
                <c:pt idx="67">
                  <c:v>0.69</c:v>
                </c:pt>
                <c:pt idx="68">
                  <c:v>0.78</c:v>
                </c:pt>
                <c:pt idx="69">
                  <c:v>0.86</c:v>
                </c:pt>
                <c:pt idx="70">
                  <c:v>0.97</c:v>
                </c:pt>
                <c:pt idx="71">
                  <c:v>1.03</c:v>
                </c:pt>
                <c:pt idx="72">
                  <c:v>0.99</c:v>
                </c:pt>
                <c:pt idx="73">
                  <c:v>1.03</c:v>
                </c:pt>
                <c:pt idx="74">
                  <c:v>1.05</c:v>
                </c:pt>
                <c:pt idx="75">
                  <c:v>1.01</c:v>
                </c:pt>
                <c:pt idx="76">
                  <c:v>0.94</c:v>
                </c:pt>
                <c:pt idx="77">
                  <c:v>0.94</c:v>
                </c:pt>
                <c:pt idx="78">
                  <c:v>0.65</c:v>
                </c:pt>
                <c:pt idx="79">
                  <c:v>0.48</c:v>
                </c:pt>
                <c:pt idx="80">
                  <c:v>0.28999999999999998</c:v>
                </c:pt>
                <c:pt idx="81">
                  <c:v>0.32</c:v>
                </c:pt>
                <c:pt idx="82">
                  <c:v>0.56000000000000005</c:v>
                </c:pt>
                <c:pt idx="83">
                  <c:v>0.92</c:v>
                </c:pt>
                <c:pt idx="84">
                  <c:v>1.32</c:v>
                </c:pt>
                <c:pt idx="85">
                  <c:v>1.45</c:v>
                </c:pt>
                <c:pt idx="86">
                  <c:v>1.34</c:v>
                </c:pt>
                <c:pt idx="87">
                  <c:v>1.1499999999999999</c:v>
                </c:pt>
                <c:pt idx="88">
                  <c:v>1.34</c:v>
                </c:pt>
                <c:pt idx="89">
                  <c:v>1.46</c:v>
                </c:pt>
                <c:pt idx="90">
                  <c:v>1.47</c:v>
                </c:pt>
                <c:pt idx="91">
                  <c:v>1.54</c:v>
                </c:pt>
                <c:pt idx="92">
                  <c:v>1.39</c:v>
                </c:pt>
                <c:pt idx="93">
                  <c:v>1.39</c:v>
                </c:pt>
                <c:pt idx="94">
                  <c:v>1.38</c:v>
                </c:pt>
                <c:pt idx="95">
                  <c:v>1.2</c:v>
                </c:pt>
                <c:pt idx="96">
                  <c:v>1.1100000000000001</c:v>
                </c:pt>
                <c:pt idx="97">
                  <c:v>1.05</c:v>
                </c:pt>
                <c:pt idx="98">
                  <c:v>0.73</c:v>
                </c:pt>
                <c:pt idx="99">
                  <c:v>0.56999999999999995</c:v>
                </c:pt>
                <c:pt idx="100">
                  <c:v>0.6</c:v>
                </c:pt>
                <c:pt idx="101">
                  <c:v>0.64</c:v>
                </c:pt>
                <c:pt idx="102">
                  <c:v>0.62</c:v>
                </c:pt>
                <c:pt idx="103">
                  <c:v>0.63</c:v>
                </c:pt>
                <c:pt idx="104">
                  <c:v>0.84</c:v>
                </c:pt>
                <c:pt idx="105">
                  <c:v>1.1000000000000001</c:v>
                </c:pt>
                <c:pt idx="106">
                  <c:v>1.1499999999999999</c:v>
                </c:pt>
                <c:pt idx="107">
                  <c:v>0.97</c:v>
                </c:pt>
                <c:pt idx="108">
                  <c:v>0.84</c:v>
                </c:pt>
                <c:pt idx="109">
                  <c:v>0.85</c:v>
                </c:pt>
                <c:pt idx="110">
                  <c:v>0.85</c:v>
                </c:pt>
                <c:pt idx="111">
                  <c:v>0.83</c:v>
                </c:pt>
                <c:pt idx="112">
                  <c:v>1</c:v>
                </c:pt>
                <c:pt idx="113">
                  <c:v>0.85</c:v>
                </c:pt>
                <c:pt idx="114">
                  <c:v>0.83</c:v>
                </c:pt>
                <c:pt idx="115">
                  <c:v>1.01</c:v>
                </c:pt>
                <c:pt idx="116">
                  <c:v>1.01</c:v>
                </c:pt>
                <c:pt idx="117">
                  <c:v>1.08</c:v>
                </c:pt>
                <c:pt idx="118">
                  <c:v>1.1200000000000001</c:v>
                </c:pt>
                <c:pt idx="119">
                  <c:v>1.17</c:v>
                </c:pt>
                <c:pt idx="120">
                  <c:v>1.1299999999999999</c:v>
                </c:pt>
                <c:pt idx="121">
                  <c:v>1.04</c:v>
                </c:pt>
                <c:pt idx="122">
                  <c:v>1.03</c:v>
                </c:pt>
                <c:pt idx="123">
                  <c:v>1.1000000000000001</c:v>
                </c:pt>
                <c:pt idx="124">
                  <c:v>1.1299999999999999</c:v>
                </c:pt>
                <c:pt idx="125">
                  <c:v>1.0900000000000001</c:v>
                </c:pt>
                <c:pt idx="126">
                  <c:v>0.89</c:v>
                </c:pt>
                <c:pt idx="127">
                  <c:v>0.78</c:v>
                </c:pt>
                <c:pt idx="128">
                  <c:v>0.63</c:v>
                </c:pt>
                <c:pt idx="129">
                  <c:v>0.52</c:v>
                </c:pt>
                <c:pt idx="130">
                  <c:v>0.45</c:v>
                </c:pt>
                <c:pt idx="131">
                  <c:v>0.28999999999999998</c:v>
                </c:pt>
                <c:pt idx="132">
                  <c:v>0.02</c:v>
                </c:pt>
                <c:pt idx="133">
                  <c:v>-0.09</c:v>
                </c:pt>
                <c:pt idx="134">
                  <c:v>-0.2</c:v>
                </c:pt>
                <c:pt idx="135">
                  <c:v>-0.32</c:v>
                </c:pt>
                <c:pt idx="136">
                  <c:v>-0.27</c:v>
                </c:pt>
                <c:pt idx="137">
                  <c:v>-0.16</c:v>
                </c:pt>
                <c:pt idx="138">
                  <c:v>-0.13</c:v>
                </c:pt>
                <c:pt idx="139">
                  <c:v>0.2</c:v>
                </c:pt>
                <c:pt idx="140">
                  <c:v>-0.03</c:v>
                </c:pt>
                <c:pt idx="141">
                  <c:v>-0.09</c:v>
                </c:pt>
                <c:pt idx="142">
                  <c:v>0.03</c:v>
                </c:pt>
                <c:pt idx="143">
                  <c:v>7.0000000000000007E-2</c:v>
                </c:pt>
                <c:pt idx="144">
                  <c:v>0.06</c:v>
                </c:pt>
                <c:pt idx="145">
                  <c:v>0.12</c:v>
                </c:pt>
                <c:pt idx="146">
                  <c:v>0.1</c:v>
                </c:pt>
                <c:pt idx="147">
                  <c:v>-0.04</c:v>
                </c:pt>
                <c:pt idx="148">
                  <c:v>7.0000000000000007E-2</c:v>
                </c:pt>
                <c:pt idx="149">
                  <c:v>0.12</c:v>
                </c:pt>
                <c:pt idx="150">
                  <c:v>0.13</c:v>
                </c:pt>
                <c:pt idx="151">
                  <c:v>0.31</c:v>
                </c:pt>
                <c:pt idx="152">
                  <c:v>0.69</c:v>
                </c:pt>
                <c:pt idx="153">
                  <c:v>0.81</c:v>
                </c:pt>
                <c:pt idx="154">
                  <c:v>0.84</c:v>
                </c:pt>
                <c:pt idx="155">
                  <c:v>0.79</c:v>
                </c:pt>
                <c:pt idx="156">
                  <c:v>0.77</c:v>
                </c:pt>
                <c:pt idx="157">
                  <c:v>0.96</c:v>
                </c:pt>
                <c:pt idx="158">
                  <c:v>0.98</c:v>
                </c:pt>
                <c:pt idx="159">
                  <c:v>1.01</c:v>
                </c:pt>
                <c:pt idx="160">
                  <c:v>1.0900000000000001</c:v>
                </c:pt>
                <c:pt idx="161">
                  <c:v>1.29</c:v>
                </c:pt>
                <c:pt idx="162">
                  <c:v>1.32</c:v>
                </c:pt>
                <c:pt idx="163">
                  <c:v>1.35</c:v>
                </c:pt>
                <c:pt idx="164">
                  <c:v>1.47</c:v>
                </c:pt>
                <c:pt idx="165">
                  <c:v>1.47</c:v>
                </c:pt>
                <c:pt idx="166">
                  <c:v>1.62</c:v>
                </c:pt>
                <c:pt idx="167">
                  <c:v>1.86</c:v>
                </c:pt>
                <c:pt idx="168">
                  <c:v>2.06</c:v>
                </c:pt>
                <c:pt idx="169">
                  <c:v>2.0699999999999998</c:v>
                </c:pt>
                <c:pt idx="170">
                  <c:v>2.13</c:v>
                </c:pt>
                <c:pt idx="171">
                  <c:v>1.85</c:v>
                </c:pt>
                <c:pt idx="172">
                  <c:v>2.14</c:v>
                </c:pt>
                <c:pt idx="173">
                  <c:v>2.16</c:v>
                </c:pt>
                <c:pt idx="174">
                  <c:v>2.21</c:v>
                </c:pt>
                <c:pt idx="175">
                  <c:v>2.48</c:v>
                </c:pt>
                <c:pt idx="176">
                  <c:v>2.4</c:v>
                </c:pt>
                <c:pt idx="177">
                  <c:v>2.5299999999999998</c:v>
                </c:pt>
                <c:pt idx="178">
                  <c:v>2.5099999999999998</c:v>
                </c:pt>
                <c:pt idx="179">
                  <c:v>2.29</c:v>
                </c:pt>
                <c:pt idx="180">
                  <c:v>2.1</c:v>
                </c:pt>
                <c:pt idx="181">
                  <c:v>2.21</c:v>
                </c:pt>
                <c:pt idx="182">
                  <c:v>2.16</c:v>
                </c:pt>
                <c:pt idx="183">
                  <c:v>2.0299999999999998</c:v>
                </c:pt>
                <c:pt idx="184">
                  <c:v>2.13</c:v>
                </c:pt>
                <c:pt idx="185">
                  <c:v>2.06</c:v>
                </c:pt>
                <c:pt idx="186">
                  <c:v>1.8</c:v>
                </c:pt>
                <c:pt idx="187">
                  <c:v>1.74</c:v>
                </c:pt>
                <c:pt idx="188">
                  <c:v>1.68</c:v>
                </c:pt>
                <c:pt idx="189">
                  <c:v>1.51</c:v>
                </c:pt>
                <c:pt idx="190">
                  <c:v>1.46</c:v>
                </c:pt>
                <c:pt idx="191">
                  <c:v>1.56</c:v>
                </c:pt>
                <c:pt idx="192">
                  <c:v>1.56</c:v>
                </c:pt>
                <c:pt idx="193">
                  <c:v>1.61</c:v>
                </c:pt>
                <c:pt idx="194">
                  <c:v>1.5</c:v>
                </c:pt>
                <c:pt idx="195">
                  <c:v>1.48</c:v>
                </c:pt>
                <c:pt idx="196">
                  <c:v>1.42</c:v>
                </c:pt>
                <c:pt idx="197">
                  <c:v>1.21</c:v>
                </c:pt>
                <c:pt idx="198">
                  <c:v>1.17</c:v>
                </c:pt>
                <c:pt idx="199">
                  <c:v>1.17</c:v>
                </c:pt>
                <c:pt idx="200">
                  <c:v>1.06</c:v>
                </c:pt>
                <c:pt idx="201">
                  <c:v>1.07</c:v>
                </c:pt>
                <c:pt idx="202">
                  <c:v>1.01</c:v>
                </c:pt>
                <c:pt idx="203">
                  <c:v>0.81</c:v>
                </c:pt>
                <c:pt idx="204">
                  <c:v>0.22</c:v>
                </c:pt>
                <c:pt idx="205">
                  <c:v>0.27</c:v>
                </c:pt>
                <c:pt idx="206">
                  <c:v>0.36</c:v>
                </c:pt>
                <c:pt idx="207">
                  <c:v>0.42</c:v>
                </c:pt>
                <c:pt idx="208">
                  <c:v>0.49</c:v>
                </c:pt>
                <c:pt idx="209">
                  <c:v>0.46</c:v>
                </c:pt>
                <c:pt idx="210">
                  <c:v>0.45</c:v>
                </c:pt>
                <c:pt idx="211">
                  <c:v>0.5</c:v>
                </c:pt>
                <c:pt idx="212">
                  <c:v>0.51</c:v>
                </c:pt>
                <c:pt idx="213">
                  <c:v>0.39</c:v>
                </c:pt>
                <c:pt idx="214">
                  <c:v>0.34</c:v>
                </c:pt>
                <c:pt idx="215">
                  <c:v>0.45</c:v>
                </c:pt>
                <c:pt idx="216">
                  <c:v>0.39</c:v>
                </c:pt>
                <c:pt idx="217">
                  <c:v>0.54</c:v>
                </c:pt>
                <c:pt idx="218">
                  <c:v>0.78</c:v>
                </c:pt>
                <c:pt idx="219">
                  <c:v>0.61</c:v>
                </c:pt>
                <c:pt idx="220">
                  <c:v>0.55000000000000004</c:v>
                </c:pt>
                <c:pt idx="221">
                  <c:v>0.64</c:v>
                </c:pt>
                <c:pt idx="222">
                  <c:v>0.61</c:v>
                </c:pt>
                <c:pt idx="223">
                  <c:v>0.6</c:v>
                </c:pt>
                <c:pt idx="224">
                  <c:v>0.61</c:v>
                </c:pt>
                <c:pt idx="225">
                  <c:v>0.6</c:v>
                </c:pt>
                <c:pt idx="226">
                  <c:v>0.62</c:v>
                </c:pt>
                <c:pt idx="227">
                  <c:v>0.5</c:v>
                </c:pt>
                <c:pt idx="228">
                  <c:v>0.52</c:v>
                </c:pt>
                <c:pt idx="229">
                  <c:v>0.56999999999999995</c:v>
                </c:pt>
                <c:pt idx="230">
                  <c:v>0.52</c:v>
                </c:pt>
                <c:pt idx="231">
                  <c:v>0.47</c:v>
                </c:pt>
                <c:pt idx="232">
                  <c:v>0.44</c:v>
                </c:pt>
                <c:pt idx="233">
                  <c:v>0.43</c:v>
                </c:pt>
                <c:pt idx="234">
                  <c:v>0.4</c:v>
                </c:pt>
                <c:pt idx="235">
                  <c:v>0.33</c:v>
                </c:pt>
                <c:pt idx="236">
                  <c:v>0.36</c:v>
                </c:pt>
                <c:pt idx="237">
                  <c:v>0.33</c:v>
                </c:pt>
                <c:pt idx="238">
                  <c:v>0.26</c:v>
                </c:pt>
                <c:pt idx="239">
                  <c:v>0.17</c:v>
                </c:pt>
                <c:pt idx="240">
                  <c:v>0.09</c:v>
                </c:pt>
                <c:pt idx="241">
                  <c:v>0.18</c:v>
                </c:pt>
                <c:pt idx="242">
                  <c:v>0.15</c:v>
                </c:pt>
                <c:pt idx="243">
                  <c:v>0.09</c:v>
                </c:pt>
                <c:pt idx="244">
                  <c:v>0.08</c:v>
                </c:pt>
                <c:pt idx="245">
                  <c:v>0.06</c:v>
                </c:pt>
                <c:pt idx="246">
                  <c:v>-0.02</c:v>
                </c:pt>
                <c:pt idx="247">
                  <c:v>0</c:v>
                </c:pt>
                <c:pt idx="248">
                  <c:v>7.0000000000000007E-2</c:v>
                </c:pt>
                <c:pt idx="249">
                  <c:v>0.14000000000000001</c:v>
                </c:pt>
                <c:pt idx="250">
                  <c:v>0.44</c:v>
                </c:pt>
                <c:pt idx="251">
                  <c:v>0.28999999999999998</c:v>
                </c:pt>
                <c:pt idx="252">
                  <c:v>0.14000000000000001</c:v>
                </c:pt>
                <c:pt idx="253">
                  <c:v>0.1</c:v>
                </c:pt>
                <c:pt idx="254">
                  <c:v>0.12</c:v>
                </c:pt>
                <c:pt idx="255">
                  <c:v>0.18</c:v>
                </c:pt>
                <c:pt idx="256">
                  <c:v>0.2</c:v>
                </c:pt>
                <c:pt idx="257">
                  <c:v>0.28999999999999998</c:v>
                </c:pt>
                <c:pt idx="258">
                  <c:v>0.28000000000000003</c:v>
                </c:pt>
                <c:pt idx="259">
                  <c:v>0.24</c:v>
                </c:pt>
                <c:pt idx="260">
                  <c:v>0.26</c:v>
                </c:pt>
                <c:pt idx="261">
                  <c:v>0.26</c:v>
                </c:pt>
                <c:pt idx="262">
                  <c:v>0.25</c:v>
                </c:pt>
                <c:pt idx="263">
                  <c:v>0.17</c:v>
                </c:pt>
                <c:pt idx="264">
                  <c:v>0.18</c:v>
                </c:pt>
                <c:pt idx="265">
                  <c:v>0.22</c:v>
                </c:pt>
                <c:pt idx="266">
                  <c:v>-0.09</c:v>
                </c:pt>
                <c:pt idx="267">
                  <c:v>-0.27</c:v>
                </c:pt>
                <c:pt idx="268">
                  <c:v>-0.41</c:v>
                </c:pt>
                <c:pt idx="269">
                  <c:v>-0.37</c:v>
                </c:pt>
                <c:pt idx="270">
                  <c:v>-0.38</c:v>
                </c:pt>
                <c:pt idx="271">
                  <c:v>-0.28999999999999998</c:v>
                </c:pt>
                <c:pt idx="272">
                  <c:v>-0.4</c:v>
                </c:pt>
                <c:pt idx="273">
                  <c:v>-0.28000000000000003</c:v>
                </c:pt>
                <c:pt idx="274">
                  <c:v>-0.17</c:v>
                </c:pt>
                <c:pt idx="275">
                  <c:v>-0.16</c:v>
                </c:pt>
                <c:pt idx="276">
                  <c:v>-0.11</c:v>
                </c:pt>
                <c:pt idx="277">
                  <c:v>0.4</c:v>
                </c:pt>
                <c:pt idx="278">
                  <c:v>0.44</c:v>
                </c:pt>
                <c:pt idx="279">
                  <c:v>0.55000000000000004</c:v>
                </c:pt>
                <c:pt idx="280">
                  <c:v>0.91</c:v>
                </c:pt>
                <c:pt idx="281">
                  <c:v>1.1299999999999999</c:v>
                </c:pt>
                <c:pt idx="282">
                  <c:v>1.2</c:v>
                </c:pt>
                <c:pt idx="283">
                  <c:v>1.2</c:v>
                </c:pt>
                <c:pt idx="284">
                  <c:v>1.21</c:v>
                </c:pt>
                <c:pt idx="285">
                  <c:v>1.61</c:v>
                </c:pt>
                <c:pt idx="286">
                  <c:v>1.84</c:v>
                </c:pt>
                <c:pt idx="287">
                  <c:v>1.87</c:v>
                </c:pt>
                <c:pt idx="288">
                  <c:v>1.98</c:v>
                </c:pt>
                <c:pt idx="289">
                  <c:v>2.0099999999999998</c:v>
                </c:pt>
                <c:pt idx="290">
                  <c:v>1.89</c:v>
                </c:pt>
                <c:pt idx="291">
                  <c:v>1.72</c:v>
                </c:pt>
                <c:pt idx="292">
                  <c:v>1.79</c:v>
                </c:pt>
                <c:pt idx="293">
                  <c:v>1.9</c:v>
                </c:pt>
                <c:pt idx="294">
                  <c:v>1.94</c:v>
                </c:pt>
                <c:pt idx="295">
                  <c:v>2.09</c:v>
                </c:pt>
                <c:pt idx="296">
                  <c:v>2.13</c:v>
                </c:pt>
                <c:pt idx="297">
                  <c:v>1.87</c:v>
                </c:pt>
                <c:pt idx="298">
                  <c:v>2.0299999999999998</c:v>
                </c:pt>
                <c:pt idx="299">
                  <c:v>2.13</c:v>
                </c:pt>
                <c:pt idx="300">
                  <c:v>2.19</c:v>
                </c:pt>
                <c:pt idx="301">
                  <c:v>2.31</c:v>
                </c:pt>
                <c:pt idx="302">
                  <c:v>2.27</c:v>
                </c:pt>
                <c:pt idx="303">
                  <c:v>2.2400000000000002</c:v>
                </c:pt>
                <c:pt idx="304">
                  <c:v>2.34</c:v>
                </c:pt>
                <c:pt idx="305">
                  <c:v>2.15</c:v>
                </c:pt>
                <c:pt idx="306">
                  <c:v>2.1</c:v>
                </c:pt>
                <c:pt idx="307">
                  <c:v>2.5099999999999998</c:v>
                </c:pt>
                <c:pt idx="308">
                  <c:v>2.59</c:v>
                </c:pt>
                <c:pt idx="309">
                  <c:v>2.56</c:v>
                </c:pt>
                <c:pt idx="310">
                  <c:v>2.54</c:v>
                </c:pt>
                <c:pt idx="311">
                  <c:v>2.37</c:v>
                </c:pt>
                <c:pt idx="312">
                  <c:v>2.36</c:v>
                </c:pt>
                <c:pt idx="313">
                  <c:v>2.39</c:v>
                </c:pt>
                <c:pt idx="314">
                  <c:v>2.34</c:v>
                </c:pt>
                <c:pt idx="315">
                  <c:v>2.25</c:v>
                </c:pt>
                <c:pt idx="316">
                  <c:v>2.2799999999999998</c:v>
                </c:pt>
                <c:pt idx="317">
                  <c:v>2.19</c:v>
                </c:pt>
                <c:pt idx="318">
                  <c:v>1.97</c:v>
                </c:pt>
                <c:pt idx="319">
                  <c:v>1.86</c:v>
                </c:pt>
                <c:pt idx="320">
                  <c:v>1.77</c:v>
                </c:pt>
                <c:pt idx="321">
                  <c:v>1.6</c:v>
                </c:pt>
                <c:pt idx="322">
                  <c:v>1.52</c:v>
                </c:pt>
                <c:pt idx="323">
                  <c:v>1.34</c:v>
                </c:pt>
                <c:pt idx="324">
                  <c:v>1.22</c:v>
                </c:pt>
                <c:pt idx="325">
                  <c:v>1</c:v>
                </c:pt>
                <c:pt idx="326">
                  <c:v>0.79</c:v>
                </c:pt>
                <c:pt idx="327">
                  <c:v>0.77</c:v>
                </c:pt>
                <c:pt idx="328">
                  <c:v>0.69</c:v>
                </c:pt>
                <c:pt idx="329">
                  <c:v>0.5</c:v>
                </c:pt>
                <c:pt idx="330">
                  <c:v>0.36</c:v>
                </c:pt>
                <c:pt idx="331">
                  <c:v>0.31</c:v>
                </c:pt>
                <c:pt idx="332">
                  <c:v>0.22</c:v>
                </c:pt>
                <c:pt idx="333">
                  <c:v>0.25</c:v>
                </c:pt>
                <c:pt idx="334">
                  <c:v>0.19</c:v>
                </c:pt>
                <c:pt idx="335">
                  <c:v>0.12</c:v>
                </c:pt>
                <c:pt idx="336">
                  <c:v>7.0000000000000007E-2</c:v>
                </c:pt>
                <c:pt idx="337">
                  <c:v>0.02</c:v>
                </c:pt>
                <c:pt idx="338">
                  <c:v>-0.1</c:v>
                </c:pt>
                <c:pt idx="339">
                  <c:v>-0.01</c:v>
                </c:pt>
                <c:pt idx="340">
                  <c:v>0.1</c:v>
                </c:pt>
                <c:pt idx="341">
                  <c:v>0.14000000000000001</c:v>
                </c:pt>
                <c:pt idx="342">
                  <c:v>-0.01</c:v>
                </c:pt>
                <c:pt idx="343">
                  <c:v>-0.03</c:v>
                </c:pt>
                <c:pt idx="344">
                  <c:v>-0.02</c:v>
                </c:pt>
                <c:pt idx="345">
                  <c:v>-0.05</c:v>
                </c:pt>
                <c:pt idx="346">
                  <c:v>-7.0000000000000007E-2</c:v>
                </c:pt>
                <c:pt idx="347">
                  <c:v>-0.14000000000000001</c:v>
                </c:pt>
                <c:pt idx="348">
                  <c:v>-0.11</c:v>
                </c:pt>
                <c:pt idx="349">
                  <c:v>-0.12</c:v>
                </c:pt>
                <c:pt idx="350">
                  <c:v>-0.13</c:v>
                </c:pt>
                <c:pt idx="351">
                  <c:v>-0.01</c:v>
                </c:pt>
                <c:pt idx="352">
                  <c:v>0.02</c:v>
                </c:pt>
                <c:pt idx="353">
                  <c:v>-0.02</c:v>
                </c:pt>
                <c:pt idx="354">
                  <c:v>0.12</c:v>
                </c:pt>
                <c:pt idx="355">
                  <c:v>0.18</c:v>
                </c:pt>
                <c:pt idx="356">
                  <c:v>0.36</c:v>
                </c:pt>
                <c:pt idx="357">
                  <c:v>0.51</c:v>
                </c:pt>
                <c:pt idx="358">
                  <c:v>0.56000000000000005</c:v>
                </c:pt>
                <c:pt idx="359">
                  <c:v>0.81</c:v>
                </c:pt>
                <c:pt idx="360">
                  <c:v>0.98</c:v>
                </c:pt>
                <c:pt idx="361">
                  <c:v>1.26</c:v>
                </c:pt>
                <c:pt idx="362">
                  <c:v>1.77</c:v>
                </c:pt>
                <c:pt idx="363">
                  <c:v>1.89</c:v>
                </c:pt>
                <c:pt idx="364">
                  <c:v>1.63</c:v>
                </c:pt>
                <c:pt idx="365">
                  <c:v>1.43</c:v>
                </c:pt>
                <c:pt idx="366">
                  <c:v>1.33</c:v>
                </c:pt>
                <c:pt idx="367">
                  <c:v>1.44</c:v>
                </c:pt>
                <c:pt idx="368">
                  <c:v>1.47</c:v>
                </c:pt>
                <c:pt idx="369">
                  <c:v>1.61</c:v>
                </c:pt>
                <c:pt idx="370">
                  <c:v>2.2000000000000002</c:v>
                </c:pt>
                <c:pt idx="371">
                  <c:v>2.3199999999999998</c:v>
                </c:pt>
                <c:pt idx="372">
                  <c:v>1.6</c:v>
                </c:pt>
                <c:pt idx="373">
                  <c:v>1.71</c:v>
                </c:pt>
                <c:pt idx="374">
                  <c:v>1.89</c:v>
                </c:pt>
                <c:pt idx="375">
                  <c:v>1.89</c:v>
                </c:pt>
                <c:pt idx="376">
                  <c:v>2</c:v>
                </c:pt>
                <c:pt idx="377">
                  <c:v>2.36</c:v>
                </c:pt>
                <c:pt idx="378">
                  <c:v>2.54</c:v>
                </c:pt>
                <c:pt idx="379">
                  <c:v>2.54</c:v>
                </c:pt>
                <c:pt idx="380">
                  <c:v>2.4700000000000002</c:v>
                </c:pt>
                <c:pt idx="381">
                  <c:v>2.44</c:v>
                </c:pt>
                <c:pt idx="382">
                  <c:v>2.44</c:v>
                </c:pt>
                <c:pt idx="383">
                  <c:v>2.6</c:v>
                </c:pt>
                <c:pt idx="384">
                  <c:v>2.72</c:v>
                </c:pt>
                <c:pt idx="385">
                  <c:v>2.8</c:v>
                </c:pt>
                <c:pt idx="386">
                  <c:v>2.83</c:v>
                </c:pt>
                <c:pt idx="387">
                  <c:v>2.77</c:v>
                </c:pt>
                <c:pt idx="388">
                  <c:v>2.79</c:v>
                </c:pt>
                <c:pt idx="389">
                  <c:v>2.59</c:v>
                </c:pt>
                <c:pt idx="390">
                  <c:v>2.48</c:v>
                </c:pt>
                <c:pt idx="391">
                  <c:v>2.39</c:v>
                </c:pt>
                <c:pt idx="392">
                  <c:v>2.1800000000000002</c:v>
                </c:pt>
                <c:pt idx="393">
                  <c:v>2.17</c:v>
                </c:pt>
                <c:pt idx="394">
                  <c:v>2.16</c:v>
                </c:pt>
                <c:pt idx="395">
                  <c:v>2.31</c:v>
                </c:pt>
                <c:pt idx="396">
                  <c:v>2.67</c:v>
                </c:pt>
                <c:pt idx="397">
                  <c:v>2.78</c:v>
                </c:pt>
                <c:pt idx="398">
                  <c:v>2.81</c:v>
                </c:pt>
                <c:pt idx="399">
                  <c:v>2.71</c:v>
                </c:pt>
                <c:pt idx="400">
                  <c:v>2.73</c:v>
                </c:pt>
                <c:pt idx="401">
                  <c:v>2.61</c:v>
                </c:pt>
                <c:pt idx="402">
                  <c:v>2.59</c:v>
                </c:pt>
                <c:pt idx="403">
                  <c:v>2.59</c:v>
                </c:pt>
                <c:pt idx="404">
                  <c:v>2.0699999999999998</c:v>
                </c:pt>
                <c:pt idx="405">
                  <c:v>1.77</c:v>
                </c:pt>
                <c:pt idx="406">
                  <c:v>1.87</c:v>
                </c:pt>
                <c:pt idx="407">
                  <c:v>1.76</c:v>
                </c:pt>
                <c:pt idx="408">
                  <c:v>1.72</c:v>
                </c:pt>
                <c:pt idx="409">
                  <c:v>1.73</c:v>
                </c:pt>
                <c:pt idx="410">
                  <c:v>1.69</c:v>
                </c:pt>
                <c:pt idx="411">
                  <c:v>1.83</c:v>
                </c:pt>
                <c:pt idx="412">
                  <c:v>1.76</c:v>
                </c:pt>
                <c:pt idx="413">
                  <c:v>1.51</c:v>
                </c:pt>
                <c:pt idx="414">
                  <c:v>1.33</c:v>
                </c:pt>
                <c:pt idx="415">
                  <c:v>1.28</c:v>
                </c:pt>
                <c:pt idx="416">
                  <c:v>1.41</c:v>
                </c:pt>
                <c:pt idx="417">
                  <c:v>1.46</c:v>
                </c:pt>
                <c:pt idx="418">
                  <c:v>1.47</c:v>
                </c:pt>
                <c:pt idx="419">
                  <c:v>1.38</c:v>
                </c:pt>
                <c:pt idx="420">
                  <c:v>1.46</c:v>
                </c:pt>
                <c:pt idx="421">
                  <c:v>1.64</c:v>
                </c:pt>
                <c:pt idx="422">
                  <c:v>1.71</c:v>
                </c:pt>
                <c:pt idx="423">
                  <c:v>1.7</c:v>
                </c:pt>
                <c:pt idx="424">
                  <c:v>1.53</c:v>
                </c:pt>
                <c:pt idx="425">
                  <c:v>1.68</c:v>
                </c:pt>
                <c:pt idx="426">
                  <c:v>1.97</c:v>
                </c:pt>
                <c:pt idx="427">
                  <c:v>2.2400000000000002</c:v>
                </c:pt>
                <c:pt idx="428">
                  <c:v>2.38</c:v>
                </c:pt>
                <c:pt idx="429">
                  <c:v>2.41</c:v>
                </c:pt>
                <c:pt idx="430">
                  <c:v>2.2799999999999998</c:v>
                </c:pt>
                <c:pt idx="431">
                  <c:v>2.42</c:v>
                </c:pt>
                <c:pt idx="432">
                  <c:v>2.56</c:v>
                </c:pt>
                <c:pt idx="433">
                  <c:v>2.4700000000000002</c:v>
                </c:pt>
                <c:pt idx="434">
                  <c:v>2.38</c:v>
                </c:pt>
                <c:pt idx="435">
                  <c:v>2.3199999999999998</c:v>
                </c:pt>
                <c:pt idx="436">
                  <c:v>2.29</c:v>
                </c:pt>
                <c:pt idx="437">
                  <c:v>2.17</c:v>
                </c:pt>
                <c:pt idx="438">
                  <c:v>2.15</c:v>
                </c:pt>
                <c:pt idx="439">
                  <c:v>2.0299999999999998</c:v>
                </c:pt>
                <c:pt idx="440">
                  <c:v>1.95</c:v>
                </c:pt>
                <c:pt idx="441">
                  <c:v>1.96</c:v>
                </c:pt>
                <c:pt idx="442">
                  <c:v>1.85</c:v>
                </c:pt>
                <c:pt idx="443">
                  <c:v>1.8</c:v>
                </c:pt>
                <c:pt idx="444">
                  <c:v>1.57</c:v>
                </c:pt>
                <c:pt idx="445">
                  <c:v>1.33</c:v>
                </c:pt>
                <c:pt idx="446">
                  <c:v>1.36</c:v>
                </c:pt>
                <c:pt idx="447">
                  <c:v>1.4</c:v>
                </c:pt>
                <c:pt idx="448">
                  <c:v>1.4</c:v>
                </c:pt>
                <c:pt idx="449">
                  <c:v>1.59</c:v>
                </c:pt>
                <c:pt idx="450">
                  <c:v>1.67</c:v>
                </c:pt>
                <c:pt idx="451">
                  <c:v>1.65</c:v>
                </c:pt>
                <c:pt idx="452">
                  <c:v>1.47</c:v>
                </c:pt>
                <c:pt idx="453">
                  <c:v>1.46</c:v>
                </c:pt>
                <c:pt idx="454">
                  <c:v>1.43</c:v>
                </c:pt>
                <c:pt idx="455">
                  <c:v>1.38</c:v>
                </c:pt>
                <c:pt idx="456">
                  <c:v>1.26</c:v>
                </c:pt>
                <c:pt idx="457">
                  <c:v>1.19</c:v>
                </c:pt>
                <c:pt idx="458">
                  <c:v>1.05</c:v>
                </c:pt>
                <c:pt idx="459">
                  <c:v>1.01</c:v>
                </c:pt>
                <c:pt idx="460">
                  <c:v>1.04</c:v>
                </c:pt>
                <c:pt idx="461">
                  <c:v>0.99</c:v>
                </c:pt>
                <c:pt idx="462">
                  <c:v>0.91</c:v>
                </c:pt>
                <c:pt idx="463">
                  <c:v>0.83</c:v>
                </c:pt>
                <c:pt idx="464">
                  <c:v>0.82</c:v>
                </c:pt>
                <c:pt idx="465">
                  <c:v>0.86</c:v>
                </c:pt>
                <c:pt idx="466">
                  <c:v>0.92</c:v>
                </c:pt>
                <c:pt idx="467">
                  <c:v>1.1599999999999999</c:v>
                </c:pt>
                <c:pt idx="468">
                  <c:v>1.29</c:v>
                </c:pt>
                <c:pt idx="469">
                  <c:v>1.22</c:v>
                </c:pt>
                <c:pt idx="470">
                  <c:v>1.22</c:v>
                </c:pt>
                <c:pt idx="471">
                  <c:v>1.17</c:v>
                </c:pt>
                <c:pt idx="472">
                  <c:v>1.06</c:v>
                </c:pt>
                <c:pt idx="473">
                  <c:v>1</c:v>
                </c:pt>
                <c:pt idx="474">
                  <c:v>0.85</c:v>
                </c:pt>
                <c:pt idx="475">
                  <c:v>0.95</c:v>
                </c:pt>
                <c:pt idx="476">
                  <c:v>0.87</c:v>
                </c:pt>
                <c:pt idx="477">
                  <c:v>0.82</c:v>
                </c:pt>
                <c:pt idx="478">
                  <c:v>0.81</c:v>
                </c:pt>
                <c:pt idx="479">
                  <c:v>0.65</c:v>
                </c:pt>
                <c:pt idx="480">
                  <c:v>0.56000000000000005</c:v>
                </c:pt>
                <c:pt idx="481">
                  <c:v>0.55000000000000004</c:v>
                </c:pt>
                <c:pt idx="482">
                  <c:v>0.68</c:v>
                </c:pt>
                <c:pt idx="483">
                  <c:v>0.56000000000000005</c:v>
                </c:pt>
                <c:pt idx="484">
                  <c:v>0.49</c:v>
                </c:pt>
                <c:pt idx="485">
                  <c:v>0.47</c:v>
                </c:pt>
                <c:pt idx="486">
                  <c:v>0.38</c:v>
                </c:pt>
                <c:pt idx="487">
                  <c:v>0.28000000000000003</c:v>
                </c:pt>
                <c:pt idx="488">
                  <c:v>0.25</c:v>
                </c:pt>
                <c:pt idx="489">
                  <c:v>0.23</c:v>
                </c:pt>
                <c:pt idx="490">
                  <c:v>0.28999999999999998</c:v>
                </c:pt>
                <c:pt idx="491">
                  <c:v>0.26</c:v>
                </c:pt>
                <c:pt idx="492">
                  <c:v>0.15</c:v>
                </c:pt>
                <c:pt idx="493">
                  <c:v>0.17</c:v>
                </c:pt>
                <c:pt idx="494">
                  <c:v>0.18</c:v>
                </c:pt>
                <c:pt idx="495">
                  <c:v>0.16</c:v>
                </c:pt>
                <c:pt idx="496">
                  <c:v>0.19</c:v>
                </c:pt>
                <c:pt idx="497">
                  <c:v>0.19</c:v>
                </c:pt>
                <c:pt idx="498">
                  <c:v>0.26</c:v>
                </c:pt>
                <c:pt idx="499">
                  <c:v>0.22</c:v>
                </c:pt>
                <c:pt idx="500">
                  <c:v>0.06</c:v>
                </c:pt>
                <c:pt idx="501">
                  <c:v>0.05</c:v>
                </c:pt>
                <c:pt idx="502">
                  <c:v>0.16</c:v>
                </c:pt>
                <c:pt idx="503">
                  <c:v>0.2</c:v>
                </c:pt>
              </c:numCache>
            </c:numRef>
          </c:val>
          <c:smooth val="0"/>
          <c:extLst>
            <c:ext xmlns:c16="http://schemas.microsoft.com/office/drawing/2014/chart" uri="{C3380CC4-5D6E-409C-BE32-E72D297353CC}">
              <c16:uniqueId val="{00000001-5C36-4409-9A77-485273604695}"/>
            </c:ext>
          </c:extLst>
        </c:ser>
        <c:ser>
          <c:idx val="1"/>
          <c:order val="1"/>
          <c:tx>
            <c:v>10-year to 3-month yield spread</c:v>
          </c:tx>
          <c:spPr>
            <a:ln w="9525" cap="rnd">
              <a:solidFill>
                <a:srgbClr val="C00000"/>
              </a:solidFill>
              <a:prstDash val="sysDash"/>
              <a:round/>
            </a:ln>
            <a:effectLst/>
          </c:spPr>
          <c:marker>
            <c:symbol val="none"/>
          </c:marker>
          <c:cat>
            <c:numRef>
              <c:f>'Yield Spread'!$A$13:$A$516</c:f>
              <c:numCache>
                <c:formatCode>mmm\-yy</c:formatCode>
                <c:ptCount val="504"/>
                <c:pt idx="0">
                  <c:v>28460</c:v>
                </c:pt>
                <c:pt idx="1">
                  <c:v>28491</c:v>
                </c:pt>
                <c:pt idx="2">
                  <c:v>28522</c:v>
                </c:pt>
                <c:pt idx="3">
                  <c:v>28550</c:v>
                </c:pt>
                <c:pt idx="4">
                  <c:v>28581</c:v>
                </c:pt>
                <c:pt idx="5">
                  <c:v>28611</c:v>
                </c:pt>
                <c:pt idx="6">
                  <c:v>28642</c:v>
                </c:pt>
                <c:pt idx="7">
                  <c:v>28672</c:v>
                </c:pt>
                <c:pt idx="8">
                  <c:v>28703</c:v>
                </c:pt>
                <c:pt idx="9">
                  <c:v>28734</c:v>
                </c:pt>
                <c:pt idx="10">
                  <c:v>28764</c:v>
                </c:pt>
                <c:pt idx="11">
                  <c:v>28795</c:v>
                </c:pt>
                <c:pt idx="12">
                  <c:v>28825</c:v>
                </c:pt>
                <c:pt idx="13">
                  <c:v>28856</c:v>
                </c:pt>
                <c:pt idx="14">
                  <c:v>28887</c:v>
                </c:pt>
                <c:pt idx="15">
                  <c:v>28915</c:v>
                </c:pt>
                <c:pt idx="16">
                  <c:v>28946</c:v>
                </c:pt>
                <c:pt idx="17">
                  <c:v>28976</c:v>
                </c:pt>
                <c:pt idx="18">
                  <c:v>29007</c:v>
                </c:pt>
                <c:pt idx="19">
                  <c:v>29037</c:v>
                </c:pt>
                <c:pt idx="20">
                  <c:v>29068</c:v>
                </c:pt>
                <c:pt idx="21">
                  <c:v>29099</c:v>
                </c:pt>
                <c:pt idx="22">
                  <c:v>29129</c:v>
                </c:pt>
                <c:pt idx="23">
                  <c:v>29160</c:v>
                </c:pt>
                <c:pt idx="24">
                  <c:v>29190</c:v>
                </c:pt>
                <c:pt idx="25">
                  <c:v>29221</c:v>
                </c:pt>
                <c:pt idx="26">
                  <c:v>29252</c:v>
                </c:pt>
                <c:pt idx="27">
                  <c:v>29281</c:v>
                </c:pt>
                <c:pt idx="28">
                  <c:v>29312</c:v>
                </c:pt>
                <c:pt idx="29">
                  <c:v>29342</c:v>
                </c:pt>
                <c:pt idx="30">
                  <c:v>29373</c:v>
                </c:pt>
                <c:pt idx="31">
                  <c:v>29403</c:v>
                </c:pt>
                <c:pt idx="32">
                  <c:v>29434</c:v>
                </c:pt>
                <c:pt idx="33">
                  <c:v>29465</c:v>
                </c:pt>
                <c:pt idx="34">
                  <c:v>29495</c:v>
                </c:pt>
                <c:pt idx="35">
                  <c:v>29526</c:v>
                </c:pt>
                <c:pt idx="36">
                  <c:v>29556</c:v>
                </c:pt>
                <c:pt idx="37">
                  <c:v>29587</c:v>
                </c:pt>
                <c:pt idx="38">
                  <c:v>29618</c:v>
                </c:pt>
                <c:pt idx="39">
                  <c:v>29646</c:v>
                </c:pt>
                <c:pt idx="40">
                  <c:v>29677</c:v>
                </c:pt>
                <c:pt idx="41">
                  <c:v>29707</c:v>
                </c:pt>
                <c:pt idx="42">
                  <c:v>29738</c:v>
                </c:pt>
                <c:pt idx="43">
                  <c:v>29768</c:v>
                </c:pt>
                <c:pt idx="44">
                  <c:v>29799</c:v>
                </c:pt>
                <c:pt idx="45">
                  <c:v>29830</c:v>
                </c:pt>
                <c:pt idx="46">
                  <c:v>29860</c:v>
                </c:pt>
                <c:pt idx="47">
                  <c:v>29891</c:v>
                </c:pt>
                <c:pt idx="48">
                  <c:v>29921</c:v>
                </c:pt>
                <c:pt idx="49">
                  <c:v>29952</c:v>
                </c:pt>
                <c:pt idx="50">
                  <c:v>29983</c:v>
                </c:pt>
                <c:pt idx="51">
                  <c:v>30011</c:v>
                </c:pt>
                <c:pt idx="52">
                  <c:v>30042</c:v>
                </c:pt>
                <c:pt idx="53">
                  <c:v>30072</c:v>
                </c:pt>
                <c:pt idx="54">
                  <c:v>30103</c:v>
                </c:pt>
                <c:pt idx="55">
                  <c:v>30133</c:v>
                </c:pt>
                <c:pt idx="56">
                  <c:v>30164</c:v>
                </c:pt>
                <c:pt idx="57">
                  <c:v>30195</c:v>
                </c:pt>
                <c:pt idx="58">
                  <c:v>30225</c:v>
                </c:pt>
                <c:pt idx="59">
                  <c:v>30256</c:v>
                </c:pt>
                <c:pt idx="60">
                  <c:v>30286</c:v>
                </c:pt>
                <c:pt idx="61">
                  <c:v>30317</c:v>
                </c:pt>
                <c:pt idx="62">
                  <c:v>30348</c:v>
                </c:pt>
                <c:pt idx="63">
                  <c:v>30376</c:v>
                </c:pt>
                <c:pt idx="64">
                  <c:v>30407</c:v>
                </c:pt>
                <c:pt idx="65">
                  <c:v>30437</c:v>
                </c:pt>
                <c:pt idx="66">
                  <c:v>30468</c:v>
                </c:pt>
                <c:pt idx="67">
                  <c:v>30498</c:v>
                </c:pt>
                <c:pt idx="68">
                  <c:v>30529</c:v>
                </c:pt>
                <c:pt idx="69">
                  <c:v>30560</c:v>
                </c:pt>
                <c:pt idx="70">
                  <c:v>30590</c:v>
                </c:pt>
                <c:pt idx="71">
                  <c:v>30621</c:v>
                </c:pt>
                <c:pt idx="72">
                  <c:v>30651</c:v>
                </c:pt>
                <c:pt idx="73">
                  <c:v>30682</c:v>
                </c:pt>
                <c:pt idx="74">
                  <c:v>30713</c:v>
                </c:pt>
                <c:pt idx="75">
                  <c:v>30742</c:v>
                </c:pt>
                <c:pt idx="76">
                  <c:v>30773</c:v>
                </c:pt>
                <c:pt idx="77">
                  <c:v>30803</c:v>
                </c:pt>
                <c:pt idx="78">
                  <c:v>30834</c:v>
                </c:pt>
                <c:pt idx="79">
                  <c:v>30864</c:v>
                </c:pt>
                <c:pt idx="80">
                  <c:v>30895</c:v>
                </c:pt>
                <c:pt idx="81">
                  <c:v>30926</c:v>
                </c:pt>
                <c:pt idx="82">
                  <c:v>30956</c:v>
                </c:pt>
                <c:pt idx="83">
                  <c:v>30987</c:v>
                </c:pt>
                <c:pt idx="84">
                  <c:v>31017</c:v>
                </c:pt>
                <c:pt idx="85">
                  <c:v>31048</c:v>
                </c:pt>
                <c:pt idx="86">
                  <c:v>31079</c:v>
                </c:pt>
                <c:pt idx="87">
                  <c:v>31107</c:v>
                </c:pt>
                <c:pt idx="88">
                  <c:v>31138</c:v>
                </c:pt>
                <c:pt idx="89">
                  <c:v>31168</c:v>
                </c:pt>
                <c:pt idx="90">
                  <c:v>31199</c:v>
                </c:pt>
                <c:pt idx="91">
                  <c:v>31229</c:v>
                </c:pt>
                <c:pt idx="92">
                  <c:v>31260</c:v>
                </c:pt>
                <c:pt idx="93">
                  <c:v>31291</c:v>
                </c:pt>
                <c:pt idx="94">
                  <c:v>31321</c:v>
                </c:pt>
                <c:pt idx="95">
                  <c:v>31352</c:v>
                </c:pt>
                <c:pt idx="96">
                  <c:v>31382</c:v>
                </c:pt>
                <c:pt idx="97">
                  <c:v>31413</c:v>
                </c:pt>
                <c:pt idx="98">
                  <c:v>31444</c:v>
                </c:pt>
                <c:pt idx="99">
                  <c:v>31472</c:v>
                </c:pt>
                <c:pt idx="100">
                  <c:v>31503</c:v>
                </c:pt>
                <c:pt idx="101">
                  <c:v>31533</c:v>
                </c:pt>
                <c:pt idx="102">
                  <c:v>31564</c:v>
                </c:pt>
                <c:pt idx="103">
                  <c:v>31594</c:v>
                </c:pt>
                <c:pt idx="104">
                  <c:v>31625</c:v>
                </c:pt>
                <c:pt idx="105">
                  <c:v>31656</c:v>
                </c:pt>
                <c:pt idx="106">
                  <c:v>31686</c:v>
                </c:pt>
                <c:pt idx="107">
                  <c:v>31717</c:v>
                </c:pt>
                <c:pt idx="108">
                  <c:v>31747</c:v>
                </c:pt>
                <c:pt idx="109">
                  <c:v>31778</c:v>
                </c:pt>
                <c:pt idx="110">
                  <c:v>31809</c:v>
                </c:pt>
                <c:pt idx="111">
                  <c:v>31837</c:v>
                </c:pt>
                <c:pt idx="112">
                  <c:v>31868</c:v>
                </c:pt>
                <c:pt idx="113">
                  <c:v>31898</c:v>
                </c:pt>
                <c:pt idx="114">
                  <c:v>31929</c:v>
                </c:pt>
                <c:pt idx="115">
                  <c:v>31959</c:v>
                </c:pt>
                <c:pt idx="116">
                  <c:v>31990</c:v>
                </c:pt>
                <c:pt idx="117">
                  <c:v>32021</c:v>
                </c:pt>
                <c:pt idx="118">
                  <c:v>32051</c:v>
                </c:pt>
                <c:pt idx="119">
                  <c:v>32082</c:v>
                </c:pt>
                <c:pt idx="120">
                  <c:v>32112</c:v>
                </c:pt>
                <c:pt idx="121">
                  <c:v>32143</c:v>
                </c:pt>
                <c:pt idx="122">
                  <c:v>32174</c:v>
                </c:pt>
                <c:pt idx="123">
                  <c:v>32203</c:v>
                </c:pt>
                <c:pt idx="124">
                  <c:v>32234</c:v>
                </c:pt>
                <c:pt idx="125">
                  <c:v>32264</c:v>
                </c:pt>
                <c:pt idx="126">
                  <c:v>32295</c:v>
                </c:pt>
                <c:pt idx="127">
                  <c:v>32325</c:v>
                </c:pt>
                <c:pt idx="128">
                  <c:v>32356</c:v>
                </c:pt>
                <c:pt idx="129">
                  <c:v>32387</c:v>
                </c:pt>
                <c:pt idx="130">
                  <c:v>32417</c:v>
                </c:pt>
                <c:pt idx="131">
                  <c:v>32448</c:v>
                </c:pt>
                <c:pt idx="132">
                  <c:v>32478</c:v>
                </c:pt>
                <c:pt idx="133">
                  <c:v>32509</c:v>
                </c:pt>
                <c:pt idx="134">
                  <c:v>32540</c:v>
                </c:pt>
                <c:pt idx="135">
                  <c:v>32568</c:v>
                </c:pt>
                <c:pt idx="136">
                  <c:v>32599</c:v>
                </c:pt>
                <c:pt idx="137">
                  <c:v>32629</c:v>
                </c:pt>
                <c:pt idx="138">
                  <c:v>32660</c:v>
                </c:pt>
                <c:pt idx="139">
                  <c:v>32690</c:v>
                </c:pt>
                <c:pt idx="140">
                  <c:v>32721</c:v>
                </c:pt>
                <c:pt idx="141">
                  <c:v>32752</c:v>
                </c:pt>
                <c:pt idx="142">
                  <c:v>32782</c:v>
                </c:pt>
                <c:pt idx="143">
                  <c:v>32813</c:v>
                </c:pt>
                <c:pt idx="144">
                  <c:v>32843</c:v>
                </c:pt>
                <c:pt idx="145">
                  <c:v>32874</c:v>
                </c:pt>
                <c:pt idx="146">
                  <c:v>32905</c:v>
                </c:pt>
                <c:pt idx="147">
                  <c:v>32933</c:v>
                </c:pt>
                <c:pt idx="148">
                  <c:v>32964</c:v>
                </c:pt>
                <c:pt idx="149">
                  <c:v>32994</c:v>
                </c:pt>
                <c:pt idx="150">
                  <c:v>33025</c:v>
                </c:pt>
                <c:pt idx="151">
                  <c:v>33055</c:v>
                </c:pt>
                <c:pt idx="152">
                  <c:v>33086</c:v>
                </c:pt>
                <c:pt idx="153">
                  <c:v>33117</c:v>
                </c:pt>
                <c:pt idx="154">
                  <c:v>33147</c:v>
                </c:pt>
                <c:pt idx="155">
                  <c:v>33178</c:v>
                </c:pt>
                <c:pt idx="156">
                  <c:v>33208</c:v>
                </c:pt>
                <c:pt idx="157">
                  <c:v>33239</c:v>
                </c:pt>
                <c:pt idx="158">
                  <c:v>33270</c:v>
                </c:pt>
                <c:pt idx="159">
                  <c:v>33298</c:v>
                </c:pt>
                <c:pt idx="160">
                  <c:v>33329</c:v>
                </c:pt>
                <c:pt idx="161">
                  <c:v>33359</c:v>
                </c:pt>
                <c:pt idx="162">
                  <c:v>33390</c:v>
                </c:pt>
                <c:pt idx="163">
                  <c:v>33420</c:v>
                </c:pt>
                <c:pt idx="164">
                  <c:v>33451</c:v>
                </c:pt>
                <c:pt idx="165">
                  <c:v>33482</c:v>
                </c:pt>
                <c:pt idx="166">
                  <c:v>33512</c:v>
                </c:pt>
                <c:pt idx="167">
                  <c:v>33543</c:v>
                </c:pt>
                <c:pt idx="168">
                  <c:v>33573</c:v>
                </c:pt>
                <c:pt idx="169">
                  <c:v>33604</c:v>
                </c:pt>
                <c:pt idx="170">
                  <c:v>33635</c:v>
                </c:pt>
                <c:pt idx="171">
                  <c:v>33664</c:v>
                </c:pt>
                <c:pt idx="172">
                  <c:v>33695</c:v>
                </c:pt>
                <c:pt idx="173">
                  <c:v>33725</c:v>
                </c:pt>
                <c:pt idx="174">
                  <c:v>33756</c:v>
                </c:pt>
                <c:pt idx="175">
                  <c:v>33786</c:v>
                </c:pt>
                <c:pt idx="176">
                  <c:v>33817</c:v>
                </c:pt>
                <c:pt idx="177">
                  <c:v>33848</c:v>
                </c:pt>
                <c:pt idx="178">
                  <c:v>33878</c:v>
                </c:pt>
                <c:pt idx="179">
                  <c:v>33909</c:v>
                </c:pt>
                <c:pt idx="180">
                  <c:v>33939</c:v>
                </c:pt>
                <c:pt idx="181">
                  <c:v>33970</c:v>
                </c:pt>
                <c:pt idx="182">
                  <c:v>34001</c:v>
                </c:pt>
                <c:pt idx="183">
                  <c:v>34029</c:v>
                </c:pt>
                <c:pt idx="184">
                  <c:v>34060</c:v>
                </c:pt>
                <c:pt idx="185">
                  <c:v>34090</c:v>
                </c:pt>
                <c:pt idx="186">
                  <c:v>34121</c:v>
                </c:pt>
                <c:pt idx="187">
                  <c:v>34151</c:v>
                </c:pt>
                <c:pt idx="188">
                  <c:v>34182</c:v>
                </c:pt>
                <c:pt idx="189">
                  <c:v>34213</c:v>
                </c:pt>
                <c:pt idx="190">
                  <c:v>34243</c:v>
                </c:pt>
                <c:pt idx="191">
                  <c:v>34274</c:v>
                </c:pt>
                <c:pt idx="192">
                  <c:v>34304</c:v>
                </c:pt>
                <c:pt idx="193">
                  <c:v>34335</c:v>
                </c:pt>
                <c:pt idx="194">
                  <c:v>34366</c:v>
                </c:pt>
                <c:pt idx="195">
                  <c:v>34394</c:v>
                </c:pt>
                <c:pt idx="196">
                  <c:v>34425</c:v>
                </c:pt>
                <c:pt idx="197">
                  <c:v>34455</c:v>
                </c:pt>
                <c:pt idx="198">
                  <c:v>34486</c:v>
                </c:pt>
                <c:pt idx="199">
                  <c:v>34516</c:v>
                </c:pt>
                <c:pt idx="200">
                  <c:v>34547</c:v>
                </c:pt>
                <c:pt idx="201">
                  <c:v>34578</c:v>
                </c:pt>
                <c:pt idx="202">
                  <c:v>34608</c:v>
                </c:pt>
                <c:pt idx="203">
                  <c:v>34639</c:v>
                </c:pt>
                <c:pt idx="204">
                  <c:v>34669</c:v>
                </c:pt>
                <c:pt idx="205">
                  <c:v>34700</c:v>
                </c:pt>
                <c:pt idx="206">
                  <c:v>34731</c:v>
                </c:pt>
                <c:pt idx="207">
                  <c:v>34759</c:v>
                </c:pt>
                <c:pt idx="208">
                  <c:v>34790</c:v>
                </c:pt>
                <c:pt idx="209">
                  <c:v>34820</c:v>
                </c:pt>
                <c:pt idx="210">
                  <c:v>34851</c:v>
                </c:pt>
                <c:pt idx="211">
                  <c:v>34881</c:v>
                </c:pt>
                <c:pt idx="212">
                  <c:v>34912</c:v>
                </c:pt>
                <c:pt idx="213">
                  <c:v>34943</c:v>
                </c:pt>
                <c:pt idx="214">
                  <c:v>34973</c:v>
                </c:pt>
                <c:pt idx="215">
                  <c:v>35004</c:v>
                </c:pt>
                <c:pt idx="216">
                  <c:v>35034</c:v>
                </c:pt>
                <c:pt idx="217">
                  <c:v>35065</c:v>
                </c:pt>
                <c:pt idx="218">
                  <c:v>35096</c:v>
                </c:pt>
                <c:pt idx="219">
                  <c:v>35125</c:v>
                </c:pt>
                <c:pt idx="220">
                  <c:v>35156</c:v>
                </c:pt>
                <c:pt idx="221">
                  <c:v>35186</c:v>
                </c:pt>
                <c:pt idx="222">
                  <c:v>35217</c:v>
                </c:pt>
                <c:pt idx="223">
                  <c:v>35247</c:v>
                </c:pt>
                <c:pt idx="224">
                  <c:v>35278</c:v>
                </c:pt>
                <c:pt idx="225">
                  <c:v>35309</c:v>
                </c:pt>
                <c:pt idx="226">
                  <c:v>35339</c:v>
                </c:pt>
                <c:pt idx="227">
                  <c:v>35370</c:v>
                </c:pt>
                <c:pt idx="228">
                  <c:v>35400</c:v>
                </c:pt>
                <c:pt idx="229">
                  <c:v>35431</c:v>
                </c:pt>
                <c:pt idx="230">
                  <c:v>35462</c:v>
                </c:pt>
                <c:pt idx="231">
                  <c:v>35490</c:v>
                </c:pt>
                <c:pt idx="232">
                  <c:v>35521</c:v>
                </c:pt>
                <c:pt idx="233">
                  <c:v>35551</c:v>
                </c:pt>
                <c:pt idx="234">
                  <c:v>35582</c:v>
                </c:pt>
                <c:pt idx="235">
                  <c:v>35612</c:v>
                </c:pt>
                <c:pt idx="236">
                  <c:v>35643</c:v>
                </c:pt>
                <c:pt idx="237">
                  <c:v>35674</c:v>
                </c:pt>
                <c:pt idx="238">
                  <c:v>35704</c:v>
                </c:pt>
                <c:pt idx="239">
                  <c:v>35735</c:v>
                </c:pt>
                <c:pt idx="240">
                  <c:v>35765</c:v>
                </c:pt>
                <c:pt idx="241">
                  <c:v>35796</c:v>
                </c:pt>
                <c:pt idx="242">
                  <c:v>35827</c:v>
                </c:pt>
                <c:pt idx="243">
                  <c:v>35855</c:v>
                </c:pt>
                <c:pt idx="244">
                  <c:v>35886</c:v>
                </c:pt>
                <c:pt idx="245">
                  <c:v>35916</c:v>
                </c:pt>
                <c:pt idx="246">
                  <c:v>35947</c:v>
                </c:pt>
                <c:pt idx="247">
                  <c:v>35977</c:v>
                </c:pt>
                <c:pt idx="248">
                  <c:v>36008</c:v>
                </c:pt>
                <c:pt idx="249">
                  <c:v>36039</c:v>
                </c:pt>
                <c:pt idx="250">
                  <c:v>36069</c:v>
                </c:pt>
                <c:pt idx="251">
                  <c:v>36100</c:v>
                </c:pt>
                <c:pt idx="252">
                  <c:v>36130</c:v>
                </c:pt>
                <c:pt idx="253">
                  <c:v>36161</c:v>
                </c:pt>
                <c:pt idx="254">
                  <c:v>36192</c:v>
                </c:pt>
                <c:pt idx="255">
                  <c:v>36220</c:v>
                </c:pt>
                <c:pt idx="256">
                  <c:v>36251</c:v>
                </c:pt>
                <c:pt idx="257">
                  <c:v>36281</c:v>
                </c:pt>
                <c:pt idx="258">
                  <c:v>36312</c:v>
                </c:pt>
                <c:pt idx="259">
                  <c:v>36342</c:v>
                </c:pt>
                <c:pt idx="260">
                  <c:v>36373</c:v>
                </c:pt>
                <c:pt idx="261">
                  <c:v>36404</c:v>
                </c:pt>
                <c:pt idx="262">
                  <c:v>36434</c:v>
                </c:pt>
                <c:pt idx="263">
                  <c:v>36465</c:v>
                </c:pt>
                <c:pt idx="264">
                  <c:v>36495</c:v>
                </c:pt>
                <c:pt idx="265">
                  <c:v>36526</c:v>
                </c:pt>
                <c:pt idx="266">
                  <c:v>36557</c:v>
                </c:pt>
                <c:pt idx="267">
                  <c:v>36586</c:v>
                </c:pt>
                <c:pt idx="268">
                  <c:v>36617</c:v>
                </c:pt>
                <c:pt idx="269">
                  <c:v>36647</c:v>
                </c:pt>
                <c:pt idx="270">
                  <c:v>36678</c:v>
                </c:pt>
                <c:pt idx="271">
                  <c:v>36708</c:v>
                </c:pt>
                <c:pt idx="272">
                  <c:v>36739</c:v>
                </c:pt>
                <c:pt idx="273">
                  <c:v>36770</c:v>
                </c:pt>
                <c:pt idx="274">
                  <c:v>36800</c:v>
                </c:pt>
                <c:pt idx="275">
                  <c:v>36831</c:v>
                </c:pt>
                <c:pt idx="276">
                  <c:v>36861</c:v>
                </c:pt>
                <c:pt idx="277">
                  <c:v>36892</c:v>
                </c:pt>
                <c:pt idx="278">
                  <c:v>36923</c:v>
                </c:pt>
                <c:pt idx="279">
                  <c:v>36951</c:v>
                </c:pt>
                <c:pt idx="280">
                  <c:v>36982</c:v>
                </c:pt>
                <c:pt idx="281">
                  <c:v>37012</c:v>
                </c:pt>
                <c:pt idx="282">
                  <c:v>37043</c:v>
                </c:pt>
                <c:pt idx="283">
                  <c:v>37073</c:v>
                </c:pt>
                <c:pt idx="284">
                  <c:v>37104</c:v>
                </c:pt>
                <c:pt idx="285">
                  <c:v>37135</c:v>
                </c:pt>
                <c:pt idx="286">
                  <c:v>37165</c:v>
                </c:pt>
                <c:pt idx="287">
                  <c:v>37196</c:v>
                </c:pt>
                <c:pt idx="288">
                  <c:v>37226</c:v>
                </c:pt>
                <c:pt idx="289">
                  <c:v>37257</c:v>
                </c:pt>
                <c:pt idx="290">
                  <c:v>37288</c:v>
                </c:pt>
                <c:pt idx="291">
                  <c:v>37316</c:v>
                </c:pt>
                <c:pt idx="292">
                  <c:v>37347</c:v>
                </c:pt>
                <c:pt idx="293">
                  <c:v>37377</c:v>
                </c:pt>
                <c:pt idx="294">
                  <c:v>37408</c:v>
                </c:pt>
                <c:pt idx="295">
                  <c:v>37438</c:v>
                </c:pt>
                <c:pt idx="296">
                  <c:v>37469</c:v>
                </c:pt>
                <c:pt idx="297">
                  <c:v>37500</c:v>
                </c:pt>
                <c:pt idx="298">
                  <c:v>37530</c:v>
                </c:pt>
                <c:pt idx="299">
                  <c:v>37561</c:v>
                </c:pt>
                <c:pt idx="300">
                  <c:v>37591</c:v>
                </c:pt>
                <c:pt idx="301">
                  <c:v>37622</c:v>
                </c:pt>
                <c:pt idx="302">
                  <c:v>37653</c:v>
                </c:pt>
                <c:pt idx="303">
                  <c:v>37681</c:v>
                </c:pt>
                <c:pt idx="304">
                  <c:v>37712</c:v>
                </c:pt>
                <c:pt idx="305">
                  <c:v>37742</c:v>
                </c:pt>
                <c:pt idx="306">
                  <c:v>37773</c:v>
                </c:pt>
                <c:pt idx="307">
                  <c:v>37803</c:v>
                </c:pt>
                <c:pt idx="308">
                  <c:v>37834</c:v>
                </c:pt>
                <c:pt idx="309">
                  <c:v>37865</c:v>
                </c:pt>
                <c:pt idx="310">
                  <c:v>37895</c:v>
                </c:pt>
                <c:pt idx="311">
                  <c:v>37926</c:v>
                </c:pt>
                <c:pt idx="312">
                  <c:v>37956</c:v>
                </c:pt>
                <c:pt idx="313">
                  <c:v>37987</c:v>
                </c:pt>
                <c:pt idx="314">
                  <c:v>38018</c:v>
                </c:pt>
                <c:pt idx="315">
                  <c:v>38047</c:v>
                </c:pt>
                <c:pt idx="316">
                  <c:v>38078</c:v>
                </c:pt>
                <c:pt idx="317">
                  <c:v>38108</c:v>
                </c:pt>
                <c:pt idx="318">
                  <c:v>38139</c:v>
                </c:pt>
                <c:pt idx="319">
                  <c:v>38169</c:v>
                </c:pt>
                <c:pt idx="320">
                  <c:v>38200</c:v>
                </c:pt>
                <c:pt idx="321">
                  <c:v>38231</c:v>
                </c:pt>
                <c:pt idx="322">
                  <c:v>38261</c:v>
                </c:pt>
                <c:pt idx="323">
                  <c:v>38292</c:v>
                </c:pt>
                <c:pt idx="324">
                  <c:v>38322</c:v>
                </c:pt>
                <c:pt idx="325">
                  <c:v>38353</c:v>
                </c:pt>
                <c:pt idx="326">
                  <c:v>38384</c:v>
                </c:pt>
                <c:pt idx="327">
                  <c:v>38412</c:v>
                </c:pt>
                <c:pt idx="328">
                  <c:v>38443</c:v>
                </c:pt>
                <c:pt idx="329">
                  <c:v>38473</c:v>
                </c:pt>
                <c:pt idx="330">
                  <c:v>38504</c:v>
                </c:pt>
                <c:pt idx="331">
                  <c:v>38534</c:v>
                </c:pt>
                <c:pt idx="332">
                  <c:v>38565</c:v>
                </c:pt>
                <c:pt idx="333">
                  <c:v>38596</c:v>
                </c:pt>
                <c:pt idx="334">
                  <c:v>38626</c:v>
                </c:pt>
                <c:pt idx="335">
                  <c:v>38657</c:v>
                </c:pt>
                <c:pt idx="336">
                  <c:v>38687</c:v>
                </c:pt>
                <c:pt idx="337">
                  <c:v>38718</c:v>
                </c:pt>
                <c:pt idx="338">
                  <c:v>38749</c:v>
                </c:pt>
                <c:pt idx="339">
                  <c:v>38777</c:v>
                </c:pt>
                <c:pt idx="340">
                  <c:v>38808</c:v>
                </c:pt>
                <c:pt idx="341">
                  <c:v>38838</c:v>
                </c:pt>
                <c:pt idx="342">
                  <c:v>38869</c:v>
                </c:pt>
                <c:pt idx="343">
                  <c:v>38899</c:v>
                </c:pt>
                <c:pt idx="344">
                  <c:v>38930</c:v>
                </c:pt>
                <c:pt idx="345">
                  <c:v>38961</c:v>
                </c:pt>
                <c:pt idx="346">
                  <c:v>38991</c:v>
                </c:pt>
                <c:pt idx="347">
                  <c:v>39022</c:v>
                </c:pt>
                <c:pt idx="348">
                  <c:v>39052</c:v>
                </c:pt>
                <c:pt idx="349">
                  <c:v>39083</c:v>
                </c:pt>
                <c:pt idx="350">
                  <c:v>39114</c:v>
                </c:pt>
                <c:pt idx="351">
                  <c:v>39142</c:v>
                </c:pt>
                <c:pt idx="352">
                  <c:v>39173</c:v>
                </c:pt>
                <c:pt idx="353">
                  <c:v>39203</c:v>
                </c:pt>
                <c:pt idx="354">
                  <c:v>39234</c:v>
                </c:pt>
                <c:pt idx="355">
                  <c:v>39264</c:v>
                </c:pt>
                <c:pt idx="356">
                  <c:v>39295</c:v>
                </c:pt>
                <c:pt idx="357">
                  <c:v>39326</c:v>
                </c:pt>
                <c:pt idx="358">
                  <c:v>39356</c:v>
                </c:pt>
                <c:pt idx="359">
                  <c:v>39387</c:v>
                </c:pt>
                <c:pt idx="360">
                  <c:v>39417</c:v>
                </c:pt>
                <c:pt idx="361">
                  <c:v>39448</c:v>
                </c:pt>
                <c:pt idx="362">
                  <c:v>39479</c:v>
                </c:pt>
                <c:pt idx="363">
                  <c:v>39508</c:v>
                </c:pt>
                <c:pt idx="364">
                  <c:v>39539</c:v>
                </c:pt>
                <c:pt idx="365">
                  <c:v>39569</c:v>
                </c:pt>
                <c:pt idx="366">
                  <c:v>39600</c:v>
                </c:pt>
                <c:pt idx="367">
                  <c:v>39630</c:v>
                </c:pt>
                <c:pt idx="368">
                  <c:v>39661</c:v>
                </c:pt>
                <c:pt idx="369">
                  <c:v>39692</c:v>
                </c:pt>
                <c:pt idx="370">
                  <c:v>39722</c:v>
                </c:pt>
                <c:pt idx="371">
                  <c:v>39753</c:v>
                </c:pt>
                <c:pt idx="372">
                  <c:v>39783</c:v>
                </c:pt>
                <c:pt idx="373">
                  <c:v>39814</c:v>
                </c:pt>
                <c:pt idx="374">
                  <c:v>39845</c:v>
                </c:pt>
                <c:pt idx="375">
                  <c:v>39873</c:v>
                </c:pt>
                <c:pt idx="376">
                  <c:v>39904</c:v>
                </c:pt>
                <c:pt idx="377">
                  <c:v>39934</c:v>
                </c:pt>
                <c:pt idx="378">
                  <c:v>39965</c:v>
                </c:pt>
                <c:pt idx="379">
                  <c:v>39995</c:v>
                </c:pt>
                <c:pt idx="380">
                  <c:v>40026</c:v>
                </c:pt>
                <c:pt idx="381">
                  <c:v>40057</c:v>
                </c:pt>
                <c:pt idx="382">
                  <c:v>40087</c:v>
                </c:pt>
                <c:pt idx="383">
                  <c:v>40118</c:v>
                </c:pt>
                <c:pt idx="384">
                  <c:v>40148</c:v>
                </c:pt>
                <c:pt idx="385">
                  <c:v>40179</c:v>
                </c:pt>
                <c:pt idx="386">
                  <c:v>40210</c:v>
                </c:pt>
                <c:pt idx="387">
                  <c:v>40238</c:v>
                </c:pt>
                <c:pt idx="388">
                  <c:v>40269</c:v>
                </c:pt>
                <c:pt idx="389">
                  <c:v>40299</c:v>
                </c:pt>
                <c:pt idx="390">
                  <c:v>40330</c:v>
                </c:pt>
                <c:pt idx="391">
                  <c:v>40360</c:v>
                </c:pt>
                <c:pt idx="392">
                  <c:v>40391</c:v>
                </c:pt>
                <c:pt idx="393">
                  <c:v>40422</c:v>
                </c:pt>
                <c:pt idx="394">
                  <c:v>40452</c:v>
                </c:pt>
                <c:pt idx="395">
                  <c:v>40483</c:v>
                </c:pt>
                <c:pt idx="396">
                  <c:v>40513</c:v>
                </c:pt>
                <c:pt idx="397">
                  <c:v>40544</c:v>
                </c:pt>
                <c:pt idx="398">
                  <c:v>40575</c:v>
                </c:pt>
                <c:pt idx="399">
                  <c:v>40603</c:v>
                </c:pt>
                <c:pt idx="400">
                  <c:v>40634</c:v>
                </c:pt>
                <c:pt idx="401">
                  <c:v>40664</c:v>
                </c:pt>
                <c:pt idx="402">
                  <c:v>40695</c:v>
                </c:pt>
                <c:pt idx="403">
                  <c:v>40725</c:v>
                </c:pt>
                <c:pt idx="404">
                  <c:v>40756</c:v>
                </c:pt>
                <c:pt idx="405">
                  <c:v>40787</c:v>
                </c:pt>
                <c:pt idx="406">
                  <c:v>40817</c:v>
                </c:pt>
                <c:pt idx="407">
                  <c:v>40848</c:v>
                </c:pt>
                <c:pt idx="408">
                  <c:v>40878</c:v>
                </c:pt>
                <c:pt idx="409">
                  <c:v>40909</c:v>
                </c:pt>
                <c:pt idx="410">
                  <c:v>40940</c:v>
                </c:pt>
                <c:pt idx="411">
                  <c:v>40969</c:v>
                </c:pt>
                <c:pt idx="412">
                  <c:v>41000</c:v>
                </c:pt>
                <c:pt idx="413">
                  <c:v>41030</c:v>
                </c:pt>
                <c:pt idx="414">
                  <c:v>41061</c:v>
                </c:pt>
                <c:pt idx="415">
                  <c:v>41091</c:v>
                </c:pt>
                <c:pt idx="416">
                  <c:v>41122</c:v>
                </c:pt>
                <c:pt idx="417">
                  <c:v>41153</c:v>
                </c:pt>
                <c:pt idx="418">
                  <c:v>41183</c:v>
                </c:pt>
                <c:pt idx="419">
                  <c:v>41214</c:v>
                </c:pt>
                <c:pt idx="420">
                  <c:v>41244</c:v>
                </c:pt>
                <c:pt idx="421">
                  <c:v>41275</c:v>
                </c:pt>
                <c:pt idx="422">
                  <c:v>41306</c:v>
                </c:pt>
                <c:pt idx="423">
                  <c:v>41334</c:v>
                </c:pt>
                <c:pt idx="424">
                  <c:v>41365</c:v>
                </c:pt>
                <c:pt idx="425">
                  <c:v>41395</c:v>
                </c:pt>
                <c:pt idx="426">
                  <c:v>41426</c:v>
                </c:pt>
                <c:pt idx="427">
                  <c:v>41456</c:v>
                </c:pt>
                <c:pt idx="428">
                  <c:v>41487</c:v>
                </c:pt>
                <c:pt idx="429">
                  <c:v>41518</c:v>
                </c:pt>
                <c:pt idx="430">
                  <c:v>41548</c:v>
                </c:pt>
                <c:pt idx="431">
                  <c:v>41579</c:v>
                </c:pt>
                <c:pt idx="432">
                  <c:v>41609</c:v>
                </c:pt>
                <c:pt idx="433">
                  <c:v>41640</c:v>
                </c:pt>
                <c:pt idx="434">
                  <c:v>41671</c:v>
                </c:pt>
                <c:pt idx="435">
                  <c:v>41699</c:v>
                </c:pt>
                <c:pt idx="436">
                  <c:v>41730</c:v>
                </c:pt>
                <c:pt idx="437">
                  <c:v>41760</c:v>
                </c:pt>
                <c:pt idx="438">
                  <c:v>41791</c:v>
                </c:pt>
                <c:pt idx="439">
                  <c:v>41821</c:v>
                </c:pt>
                <c:pt idx="440">
                  <c:v>41852</c:v>
                </c:pt>
                <c:pt idx="441">
                  <c:v>41883</c:v>
                </c:pt>
                <c:pt idx="442">
                  <c:v>41913</c:v>
                </c:pt>
                <c:pt idx="443">
                  <c:v>41944</c:v>
                </c:pt>
                <c:pt idx="444">
                  <c:v>41974</c:v>
                </c:pt>
                <c:pt idx="445">
                  <c:v>42005</c:v>
                </c:pt>
                <c:pt idx="446">
                  <c:v>42036</c:v>
                </c:pt>
                <c:pt idx="447">
                  <c:v>42064</c:v>
                </c:pt>
                <c:pt idx="448">
                  <c:v>42095</c:v>
                </c:pt>
                <c:pt idx="449">
                  <c:v>42125</c:v>
                </c:pt>
                <c:pt idx="450">
                  <c:v>42156</c:v>
                </c:pt>
                <c:pt idx="451">
                  <c:v>42186</c:v>
                </c:pt>
                <c:pt idx="452">
                  <c:v>42217</c:v>
                </c:pt>
                <c:pt idx="453">
                  <c:v>42248</c:v>
                </c:pt>
                <c:pt idx="454">
                  <c:v>42278</c:v>
                </c:pt>
                <c:pt idx="455">
                  <c:v>42309</c:v>
                </c:pt>
                <c:pt idx="456">
                  <c:v>42339</c:v>
                </c:pt>
                <c:pt idx="457">
                  <c:v>42370</c:v>
                </c:pt>
                <c:pt idx="458">
                  <c:v>42401</c:v>
                </c:pt>
                <c:pt idx="459">
                  <c:v>42430</c:v>
                </c:pt>
                <c:pt idx="460">
                  <c:v>42461</c:v>
                </c:pt>
                <c:pt idx="461">
                  <c:v>42491</c:v>
                </c:pt>
                <c:pt idx="462">
                  <c:v>42522</c:v>
                </c:pt>
                <c:pt idx="463">
                  <c:v>42552</c:v>
                </c:pt>
                <c:pt idx="464">
                  <c:v>42583</c:v>
                </c:pt>
                <c:pt idx="465">
                  <c:v>42614</c:v>
                </c:pt>
                <c:pt idx="466">
                  <c:v>42644</c:v>
                </c:pt>
                <c:pt idx="467">
                  <c:v>42675</c:v>
                </c:pt>
                <c:pt idx="468">
                  <c:v>42705</c:v>
                </c:pt>
                <c:pt idx="469">
                  <c:v>42736</c:v>
                </c:pt>
                <c:pt idx="470">
                  <c:v>42767</c:v>
                </c:pt>
                <c:pt idx="471">
                  <c:v>42795</c:v>
                </c:pt>
                <c:pt idx="472">
                  <c:v>42826</c:v>
                </c:pt>
                <c:pt idx="473">
                  <c:v>42856</c:v>
                </c:pt>
                <c:pt idx="474">
                  <c:v>42887</c:v>
                </c:pt>
                <c:pt idx="475">
                  <c:v>42917</c:v>
                </c:pt>
                <c:pt idx="476">
                  <c:v>42948</c:v>
                </c:pt>
                <c:pt idx="477">
                  <c:v>42979</c:v>
                </c:pt>
                <c:pt idx="478">
                  <c:v>43009</c:v>
                </c:pt>
                <c:pt idx="479">
                  <c:v>43040</c:v>
                </c:pt>
                <c:pt idx="480">
                  <c:v>43070</c:v>
                </c:pt>
                <c:pt idx="481">
                  <c:v>43101</c:v>
                </c:pt>
                <c:pt idx="482">
                  <c:v>43132</c:v>
                </c:pt>
                <c:pt idx="483">
                  <c:v>43160</c:v>
                </c:pt>
                <c:pt idx="484">
                  <c:v>43191</c:v>
                </c:pt>
                <c:pt idx="485">
                  <c:v>43221</c:v>
                </c:pt>
                <c:pt idx="486">
                  <c:v>43252</c:v>
                </c:pt>
                <c:pt idx="487">
                  <c:v>43282</c:v>
                </c:pt>
                <c:pt idx="488">
                  <c:v>43313</c:v>
                </c:pt>
                <c:pt idx="489">
                  <c:v>43344</c:v>
                </c:pt>
                <c:pt idx="490">
                  <c:v>43374</c:v>
                </c:pt>
                <c:pt idx="491">
                  <c:v>43405</c:v>
                </c:pt>
                <c:pt idx="492">
                  <c:v>43435</c:v>
                </c:pt>
                <c:pt idx="493">
                  <c:v>43466</c:v>
                </c:pt>
                <c:pt idx="494">
                  <c:v>43497</c:v>
                </c:pt>
                <c:pt idx="495">
                  <c:v>43525</c:v>
                </c:pt>
                <c:pt idx="496">
                  <c:v>43556</c:v>
                </c:pt>
                <c:pt idx="497">
                  <c:v>43586</c:v>
                </c:pt>
                <c:pt idx="498">
                  <c:v>43617</c:v>
                </c:pt>
                <c:pt idx="499">
                  <c:v>43647</c:v>
                </c:pt>
                <c:pt idx="500">
                  <c:v>43678</c:v>
                </c:pt>
                <c:pt idx="501">
                  <c:v>43709</c:v>
                </c:pt>
                <c:pt idx="502">
                  <c:v>43739</c:v>
                </c:pt>
                <c:pt idx="503">
                  <c:v>43770</c:v>
                </c:pt>
              </c:numCache>
            </c:numRef>
          </c:cat>
          <c:val>
            <c:numRef>
              <c:f>'Yield Spread'!$C$13:$C$516</c:f>
              <c:numCache>
                <c:formatCode>General</c:formatCode>
                <c:ptCount val="504"/>
                <c:pt idx="49" formatCode="0.00">
                  <c:v>1.67</c:v>
                </c:pt>
                <c:pt idx="50" formatCode="0.00">
                  <c:v>0.15</c:v>
                </c:pt>
                <c:pt idx="51" formatCode="0.00">
                  <c:v>0.55000000000000004</c:v>
                </c:pt>
                <c:pt idx="52" formatCode="0.00">
                  <c:v>0.53</c:v>
                </c:pt>
                <c:pt idx="53" formatCode="0.00">
                  <c:v>0.91</c:v>
                </c:pt>
                <c:pt idx="54" formatCode="0.00">
                  <c:v>1.22</c:v>
                </c:pt>
                <c:pt idx="55" formatCode="0.00">
                  <c:v>2.09</c:v>
                </c:pt>
                <c:pt idx="56" formatCode="0.00">
                  <c:v>4.0599999999999996</c:v>
                </c:pt>
                <c:pt idx="57" formatCode="0.00">
                  <c:v>4.1500000000000004</c:v>
                </c:pt>
                <c:pt idx="58" formatCode="0.00">
                  <c:v>2.94</c:v>
                </c:pt>
                <c:pt idx="59" formatCode="0.00">
                  <c:v>2.2000000000000002</c:v>
                </c:pt>
                <c:pt idx="60" formatCode="0.00">
                  <c:v>2.34</c:v>
                </c:pt>
                <c:pt idx="61" formatCode="0.00">
                  <c:v>2.34</c:v>
                </c:pt>
                <c:pt idx="62" formatCode="0.00">
                  <c:v>2.33</c:v>
                </c:pt>
                <c:pt idx="63" formatCode="0.00">
                  <c:v>1.85</c:v>
                </c:pt>
                <c:pt idx="64" formatCode="0.00">
                  <c:v>1.89</c:v>
                </c:pt>
                <c:pt idx="65" formatCode="0.00">
                  <c:v>1.88</c:v>
                </c:pt>
                <c:pt idx="66" formatCode="0.00">
                  <c:v>1.71</c:v>
                </c:pt>
                <c:pt idx="67" formatCode="0.00">
                  <c:v>1.93</c:v>
                </c:pt>
                <c:pt idx="68" formatCode="0.00">
                  <c:v>2.11</c:v>
                </c:pt>
                <c:pt idx="69" formatCode="0.00">
                  <c:v>2.29</c:v>
                </c:pt>
                <c:pt idx="70" formatCode="0.00">
                  <c:v>2.5499999999999998</c:v>
                </c:pt>
                <c:pt idx="71" formatCode="0.00">
                  <c:v>2.58</c:v>
                </c:pt>
                <c:pt idx="72" formatCode="0.00">
                  <c:v>2.4700000000000002</c:v>
                </c:pt>
                <c:pt idx="73" formatCode="0.00">
                  <c:v>2.41</c:v>
                </c:pt>
                <c:pt idx="74" formatCode="0.00">
                  <c:v>2.38</c:v>
                </c:pt>
                <c:pt idx="75" formatCode="0.00">
                  <c:v>2.4300000000000002</c:v>
                </c:pt>
                <c:pt idx="76" formatCode="0.00">
                  <c:v>2.56</c:v>
                </c:pt>
                <c:pt idx="77" formatCode="0.00">
                  <c:v>3.19</c:v>
                </c:pt>
                <c:pt idx="78" formatCode="0.00">
                  <c:v>3.3</c:v>
                </c:pt>
                <c:pt idx="79" formatCode="0.00">
                  <c:v>2.83</c:v>
                </c:pt>
                <c:pt idx="80" formatCode="0.00">
                  <c:v>1.82</c:v>
                </c:pt>
                <c:pt idx="81" formatCode="0.00">
                  <c:v>1.72</c:v>
                </c:pt>
                <c:pt idx="82" formatCode="0.00">
                  <c:v>2.04</c:v>
                </c:pt>
                <c:pt idx="83" formatCode="0.00">
                  <c:v>2.65</c:v>
                </c:pt>
                <c:pt idx="84" formatCode="0.00">
                  <c:v>3.16</c:v>
                </c:pt>
                <c:pt idx="85" formatCode="0.00">
                  <c:v>3.36</c:v>
                </c:pt>
                <c:pt idx="86" formatCode="0.00">
                  <c:v>2.95</c:v>
                </c:pt>
                <c:pt idx="87" formatCode="0.00">
                  <c:v>3.03</c:v>
                </c:pt>
                <c:pt idx="88" formatCode="0.00">
                  <c:v>3.21</c:v>
                </c:pt>
                <c:pt idx="89" formatCode="0.00">
                  <c:v>3.12</c:v>
                </c:pt>
                <c:pt idx="90" formatCode="0.00">
                  <c:v>2.98</c:v>
                </c:pt>
                <c:pt idx="91" formatCode="0.00">
                  <c:v>2.99</c:v>
                </c:pt>
                <c:pt idx="92" formatCode="0.00">
                  <c:v>2.96</c:v>
                </c:pt>
                <c:pt idx="93" formatCode="0.00">
                  <c:v>3.04</c:v>
                </c:pt>
                <c:pt idx="94" formatCode="0.00">
                  <c:v>2.84</c:v>
                </c:pt>
                <c:pt idx="95" formatCode="0.00">
                  <c:v>2.2999999999999998</c:v>
                </c:pt>
                <c:pt idx="96" formatCode="0.00">
                  <c:v>1.93</c:v>
                </c:pt>
                <c:pt idx="97" formatCode="0.00">
                  <c:v>1.89</c:v>
                </c:pt>
                <c:pt idx="98" formatCode="0.00">
                  <c:v>1.41</c:v>
                </c:pt>
                <c:pt idx="99" formatCode="0.00">
                  <c:v>1.02</c:v>
                </c:pt>
                <c:pt idx="100" formatCode="0.00">
                  <c:v>1.06</c:v>
                </c:pt>
                <c:pt idx="101" formatCode="0.00">
                  <c:v>1.38</c:v>
                </c:pt>
                <c:pt idx="102" formatCode="0.00">
                  <c:v>1.4</c:v>
                </c:pt>
                <c:pt idx="103" formatCode="0.00">
                  <c:v>1.3</c:v>
                </c:pt>
                <c:pt idx="104" formatCode="0.00">
                  <c:v>1.48</c:v>
                </c:pt>
                <c:pt idx="105" formatCode="0.00">
                  <c:v>2.1</c:v>
                </c:pt>
                <c:pt idx="106" formatCode="0.00">
                  <c:v>2.11</c:v>
                </c:pt>
                <c:pt idx="107" formatCode="0.00">
                  <c:v>1.75</c:v>
                </c:pt>
                <c:pt idx="108" formatCode="0.00">
                  <c:v>1.43</c:v>
                </c:pt>
                <c:pt idx="109" formatCode="0.00">
                  <c:v>1.5</c:v>
                </c:pt>
                <c:pt idx="110" formatCode="0.00">
                  <c:v>1.5</c:v>
                </c:pt>
                <c:pt idx="111" formatCode="0.00">
                  <c:v>1.48</c:v>
                </c:pt>
                <c:pt idx="112" formatCode="0.00">
                  <c:v>2.2000000000000002</c:v>
                </c:pt>
                <c:pt idx="113" formatCode="0.00">
                  <c:v>2.76</c:v>
                </c:pt>
                <c:pt idx="114" formatCode="0.00">
                  <c:v>2.5499999999999998</c:v>
                </c:pt>
                <c:pt idx="115" formatCode="0.00">
                  <c:v>2.57</c:v>
                </c:pt>
                <c:pt idx="116" formatCode="0.00">
                  <c:v>2.5299999999999998</c:v>
                </c:pt>
                <c:pt idx="117" formatCode="0.00">
                  <c:v>2.8</c:v>
                </c:pt>
                <c:pt idx="118" formatCode="0.00">
                  <c:v>3.17</c:v>
                </c:pt>
                <c:pt idx="119" formatCode="0.00">
                  <c:v>2.97</c:v>
                </c:pt>
                <c:pt idx="120" formatCode="0.00">
                  <c:v>3.03</c:v>
                </c:pt>
                <c:pt idx="121" formatCode="0.00">
                  <c:v>2.67</c:v>
                </c:pt>
                <c:pt idx="122" formatCode="0.00">
                  <c:v>2.37</c:v>
                </c:pt>
                <c:pt idx="123" formatCode="0.00">
                  <c:v>2.5</c:v>
                </c:pt>
                <c:pt idx="124" formatCode="0.00">
                  <c:v>2.64</c:v>
                </c:pt>
                <c:pt idx="125" formatCode="0.00">
                  <c:v>2.64</c:v>
                </c:pt>
                <c:pt idx="126" formatCode="0.00">
                  <c:v>2.2599999999999998</c:v>
                </c:pt>
                <c:pt idx="127" formatCode="0.00">
                  <c:v>2.11</c:v>
                </c:pt>
                <c:pt idx="128" formatCode="0.00">
                  <c:v>1.96</c:v>
                </c:pt>
                <c:pt idx="129" formatCode="0.00">
                  <c:v>1.5</c:v>
                </c:pt>
                <c:pt idx="130" formatCode="0.00">
                  <c:v>1.2</c:v>
                </c:pt>
                <c:pt idx="131" formatCode="0.00">
                  <c:v>0.93</c:v>
                </c:pt>
                <c:pt idx="132" formatCode="0.00">
                  <c:v>0.76</c:v>
                </c:pt>
                <c:pt idx="133" formatCode="0.00">
                  <c:v>0.53</c:v>
                </c:pt>
                <c:pt idx="134" formatCode="0.00">
                  <c:v>0.33</c:v>
                </c:pt>
                <c:pt idx="135" formatCode="0.00">
                  <c:v>0.22</c:v>
                </c:pt>
                <c:pt idx="136" formatCode="0.00">
                  <c:v>0.22</c:v>
                </c:pt>
                <c:pt idx="137" formatCode="0.00">
                  <c:v>0.12</c:v>
                </c:pt>
                <c:pt idx="138" formatCode="0.00">
                  <c:v>-0.15</c:v>
                </c:pt>
                <c:pt idx="139" formatCode="0.00">
                  <c:v>-0.13</c:v>
                </c:pt>
                <c:pt idx="140" formatCode="0.00">
                  <c:v>-0.06</c:v>
                </c:pt>
                <c:pt idx="141" formatCode="0.00">
                  <c:v>0.18</c:v>
                </c:pt>
                <c:pt idx="142" formatCode="0.00">
                  <c:v>0.11</c:v>
                </c:pt>
                <c:pt idx="143" formatCode="0.00">
                  <c:v>-7.0000000000000007E-2</c:v>
                </c:pt>
                <c:pt idx="144" formatCode="0.00">
                  <c:v>-0.04</c:v>
                </c:pt>
                <c:pt idx="145" formatCode="0.00">
                  <c:v>0.31</c:v>
                </c:pt>
                <c:pt idx="146" formatCode="0.00">
                  <c:v>0.47</c:v>
                </c:pt>
                <c:pt idx="147" formatCode="0.00">
                  <c:v>0.42</c:v>
                </c:pt>
                <c:pt idx="148" formatCode="0.00">
                  <c:v>0.75</c:v>
                </c:pt>
                <c:pt idx="149" formatCode="0.00">
                  <c:v>0.75</c:v>
                </c:pt>
                <c:pt idx="150" formatCode="0.00">
                  <c:v>0.49</c:v>
                </c:pt>
                <c:pt idx="151" formatCode="0.00">
                  <c:v>0.6</c:v>
                </c:pt>
                <c:pt idx="152" formatCode="0.00">
                  <c:v>1.06</c:v>
                </c:pt>
                <c:pt idx="153" formatCode="0.00">
                  <c:v>1.29</c:v>
                </c:pt>
                <c:pt idx="154" formatCode="0.00">
                  <c:v>1.32</c:v>
                </c:pt>
                <c:pt idx="155" formatCode="0.00">
                  <c:v>1.1000000000000001</c:v>
                </c:pt>
                <c:pt idx="156" formatCode="0.00">
                  <c:v>1.1299999999999999</c:v>
                </c:pt>
                <c:pt idx="157" formatCode="0.00">
                  <c:v>1.68</c:v>
                </c:pt>
                <c:pt idx="158" formatCode="0.00">
                  <c:v>1.73</c:v>
                </c:pt>
                <c:pt idx="159" formatCode="0.00">
                  <c:v>2.02</c:v>
                </c:pt>
                <c:pt idx="160" formatCode="0.00">
                  <c:v>2.21</c:v>
                </c:pt>
                <c:pt idx="161" formatCode="0.00">
                  <c:v>2.44</c:v>
                </c:pt>
                <c:pt idx="162" formatCode="0.00">
                  <c:v>2.5299999999999998</c:v>
                </c:pt>
                <c:pt idx="163" formatCode="0.00">
                  <c:v>2.52</c:v>
                </c:pt>
                <c:pt idx="164" formatCode="0.00">
                  <c:v>2.4</c:v>
                </c:pt>
                <c:pt idx="165" formatCode="0.00">
                  <c:v>2.2799999999999998</c:v>
                </c:pt>
                <c:pt idx="166" formatCode="0.00">
                  <c:v>2.39</c:v>
                </c:pt>
                <c:pt idx="167" formatCode="0.00">
                  <c:v>2.73</c:v>
                </c:pt>
                <c:pt idx="168" formatCode="0.00">
                  <c:v>2.91</c:v>
                </c:pt>
                <c:pt idx="169" formatCode="0.00">
                  <c:v>3.12</c:v>
                </c:pt>
                <c:pt idx="170" formatCode="0.00">
                  <c:v>3.39</c:v>
                </c:pt>
                <c:pt idx="171" formatCode="0.00">
                  <c:v>3.4</c:v>
                </c:pt>
                <c:pt idx="172" formatCode="0.00">
                  <c:v>3.64</c:v>
                </c:pt>
                <c:pt idx="173" formatCode="0.00">
                  <c:v>3.67</c:v>
                </c:pt>
                <c:pt idx="174" formatCode="0.00">
                  <c:v>3.51</c:v>
                </c:pt>
                <c:pt idx="175" formatCode="0.00">
                  <c:v>3.56</c:v>
                </c:pt>
                <c:pt idx="176" formatCode="0.00">
                  <c:v>3.39</c:v>
                </c:pt>
                <c:pt idx="177" formatCode="0.00">
                  <c:v>3.45</c:v>
                </c:pt>
                <c:pt idx="178" formatCode="0.00">
                  <c:v>3.66</c:v>
                </c:pt>
                <c:pt idx="179" formatCode="0.00">
                  <c:v>3.66</c:v>
                </c:pt>
                <c:pt idx="180" formatCode="0.00">
                  <c:v>3.48</c:v>
                </c:pt>
                <c:pt idx="181" formatCode="0.00">
                  <c:v>3.53</c:v>
                </c:pt>
                <c:pt idx="182" formatCode="0.00">
                  <c:v>3.27</c:v>
                </c:pt>
                <c:pt idx="183" formatCode="0.00">
                  <c:v>2.97</c:v>
                </c:pt>
                <c:pt idx="184" formatCode="0.00">
                  <c:v>3.04</c:v>
                </c:pt>
                <c:pt idx="185" formatCode="0.00">
                  <c:v>3.01</c:v>
                </c:pt>
                <c:pt idx="186" formatCode="0.00">
                  <c:v>2.82</c:v>
                </c:pt>
                <c:pt idx="187" formatCode="0.00">
                  <c:v>2.7</c:v>
                </c:pt>
                <c:pt idx="188" formatCode="0.00">
                  <c:v>2.59</c:v>
                </c:pt>
                <c:pt idx="189" formatCode="0.00">
                  <c:v>2.35</c:v>
                </c:pt>
                <c:pt idx="190" formatCode="0.00">
                  <c:v>2.2400000000000002</c:v>
                </c:pt>
                <c:pt idx="191" formatCode="0.00">
                  <c:v>2.54</c:v>
                </c:pt>
                <c:pt idx="192" formatCode="0.00">
                  <c:v>2.64</c:v>
                </c:pt>
                <c:pt idx="193" formatCode="0.00">
                  <c:v>2.71</c:v>
                </c:pt>
                <c:pt idx="194" formatCode="0.00">
                  <c:v>2.64</c:v>
                </c:pt>
                <c:pt idx="195" formatCode="0.00">
                  <c:v>2.89</c:v>
                </c:pt>
                <c:pt idx="196" formatCode="0.00">
                  <c:v>3.19</c:v>
                </c:pt>
                <c:pt idx="197" formatCode="0.00">
                  <c:v>2.91</c:v>
                </c:pt>
                <c:pt idx="198" formatCode="0.00">
                  <c:v>2.85</c:v>
                </c:pt>
                <c:pt idx="199" formatCode="0.00">
                  <c:v>2.84</c:v>
                </c:pt>
                <c:pt idx="200" formatCode="0.00">
                  <c:v>2.63</c:v>
                </c:pt>
                <c:pt idx="201" formatCode="0.00">
                  <c:v>2.71</c:v>
                </c:pt>
                <c:pt idx="202" formatCode="0.00">
                  <c:v>2.64</c:v>
                </c:pt>
                <c:pt idx="203" formatCode="0.00">
                  <c:v>2.5099999999999998</c:v>
                </c:pt>
                <c:pt idx="204" formatCode="0.00">
                  <c:v>2.0499999999999998</c:v>
                </c:pt>
                <c:pt idx="205" formatCode="0.00">
                  <c:v>1.88</c:v>
                </c:pt>
                <c:pt idx="206" formatCode="0.00">
                  <c:v>1.53</c:v>
                </c:pt>
                <c:pt idx="207" formatCode="0.00">
                  <c:v>1.29</c:v>
                </c:pt>
                <c:pt idx="208" formatCode="0.00">
                  <c:v>1.22</c:v>
                </c:pt>
                <c:pt idx="209" formatCode="0.00">
                  <c:v>0.78</c:v>
                </c:pt>
                <c:pt idx="210" formatCode="0.00">
                  <c:v>0.53</c:v>
                </c:pt>
                <c:pt idx="211" formatCode="0.00">
                  <c:v>0.69</c:v>
                </c:pt>
                <c:pt idx="212" formatCode="0.00">
                  <c:v>0.92</c:v>
                </c:pt>
                <c:pt idx="213" formatCode="0.00">
                  <c:v>0.77</c:v>
                </c:pt>
                <c:pt idx="214" formatCode="0.00">
                  <c:v>0.6</c:v>
                </c:pt>
                <c:pt idx="215" formatCode="0.00">
                  <c:v>0.41</c:v>
                </c:pt>
                <c:pt idx="216" formatCode="0.00">
                  <c:v>0.42</c:v>
                </c:pt>
                <c:pt idx="217" formatCode="0.00">
                  <c:v>0.5</c:v>
                </c:pt>
                <c:pt idx="218" formatCode="0.00">
                  <c:v>0.85</c:v>
                </c:pt>
                <c:pt idx="219" formatCode="0.00">
                  <c:v>1.17</c:v>
                </c:pt>
                <c:pt idx="220" formatCode="0.00">
                  <c:v>1.42</c:v>
                </c:pt>
                <c:pt idx="221" formatCode="0.00">
                  <c:v>1.59</c:v>
                </c:pt>
                <c:pt idx="222" formatCode="0.00">
                  <c:v>1.68</c:v>
                </c:pt>
                <c:pt idx="223" formatCode="0.00">
                  <c:v>1.57</c:v>
                </c:pt>
                <c:pt idx="224" formatCode="0.00">
                  <c:v>1.45</c:v>
                </c:pt>
                <c:pt idx="225" formatCode="0.00">
                  <c:v>1.59</c:v>
                </c:pt>
                <c:pt idx="226" formatCode="0.00">
                  <c:v>1.41</c:v>
                </c:pt>
                <c:pt idx="227" formatCode="0.00">
                  <c:v>1.03</c:v>
                </c:pt>
                <c:pt idx="228" formatCode="0.00">
                  <c:v>1.26</c:v>
                </c:pt>
                <c:pt idx="229" formatCode="0.00">
                  <c:v>1.41</c:v>
                </c:pt>
                <c:pt idx="230" formatCode="0.00">
                  <c:v>1.28</c:v>
                </c:pt>
                <c:pt idx="231" formatCode="0.00">
                  <c:v>1.41</c:v>
                </c:pt>
                <c:pt idx="232" formatCode="0.00">
                  <c:v>1.59</c:v>
                </c:pt>
                <c:pt idx="233" formatCode="0.00">
                  <c:v>1.51</c:v>
                </c:pt>
                <c:pt idx="234" formatCode="0.00">
                  <c:v>1.42</c:v>
                </c:pt>
                <c:pt idx="235" formatCode="0.00">
                  <c:v>1.03</c:v>
                </c:pt>
                <c:pt idx="236" formatCode="0.00">
                  <c:v>1.02</c:v>
                </c:pt>
                <c:pt idx="237" formatCode="0.00">
                  <c:v>1.1299999999999999</c:v>
                </c:pt>
                <c:pt idx="238" formatCode="0.00">
                  <c:v>0.92</c:v>
                </c:pt>
                <c:pt idx="239" formatCode="0.00">
                  <c:v>0.6</c:v>
                </c:pt>
                <c:pt idx="240" formatCode="0.00">
                  <c:v>0.51</c:v>
                </c:pt>
                <c:pt idx="241" formatCode="0.00">
                  <c:v>0.36</c:v>
                </c:pt>
                <c:pt idx="242" formatCode="0.00">
                  <c:v>0.34</c:v>
                </c:pt>
                <c:pt idx="243" formatCode="0.00">
                  <c:v>0.49</c:v>
                </c:pt>
                <c:pt idx="244" formatCode="0.00">
                  <c:v>0.56000000000000005</c:v>
                </c:pt>
                <c:pt idx="245" formatCode="0.00">
                  <c:v>0.51</c:v>
                </c:pt>
                <c:pt idx="246" formatCode="0.00">
                  <c:v>0.38</c:v>
                </c:pt>
                <c:pt idx="247" formatCode="0.00">
                  <c:v>0.37</c:v>
                </c:pt>
                <c:pt idx="248" formatCode="0.00">
                  <c:v>0.3</c:v>
                </c:pt>
                <c:pt idx="249" formatCode="0.00">
                  <c:v>7.0000000000000007E-2</c:v>
                </c:pt>
                <c:pt idx="250" formatCode="0.00">
                  <c:v>0.46</c:v>
                </c:pt>
                <c:pt idx="251" formatCode="0.00">
                  <c:v>0.3</c:v>
                </c:pt>
                <c:pt idx="252" formatCode="0.00">
                  <c:v>0.15</c:v>
                </c:pt>
                <c:pt idx="253" formatCode="0.00">
                  <c:v>0.27</c:v>
                </c:pt>
                <c:pt idx="254" formatCode="0.00">
                  <c:v>0.44</c:v>
                </c:pt>
                <c:pt idx="255" formatCode="0.00">
                  <c:v>0.66</c:v>
                </c:pt>
                <c:pt idx="256" formatCode="0.00">
                  <c:v>0.77</c:v>
                </c:pt>
                <c:pt idx="257" formatCode="0.00">
                  <c:v>0.91</c:v>
                </c:pt>
                <c:pt idx="258" formatCode="0.00">
                  <c:v>1.18</c:v>
                </c:pt>
                <c:pt idx="259" formatCode="0.00">
                  <c:v>1.1000000000000001</c:v>
                </c:pt>
                <c:pt idx="260" formatCode="0.00">
                  <c:v>1.07</c:v>
                </c:pt>
                <c:pt idx="261" formatCode="0.00">
                  <c:v>1.1000000000000001</c:v>
                </c:pt>
                <c:pt idx="262" formatCode="0.00">
                  <c:v>1.0900000000000001</c:v>
                </c:pt>
                <c:pt idx="263" formatCode="0.00">
                  <c:v>0.8</c:v>
                </c:pt>
                <c:pt idx="264" formatCode="0.00">
                  <c:v>0.92</c:v>
                </c:pt>
                <c:pt idx="265" formatCode="0.00">
                  <c:v>1.1599999999999999</c:v>
                </c:pt>
                <c:pt idx="266" formatCode="0.00">
                  <c:v>0.79</c:v>
                </c:pt>
                <c:pt idx="267" formatCode="0.00">
                  <c:v>0.4</c:v>
                </c:pt>
                <c:pt idx="268" formatCode="0.00">
                  <c:v>0.17</c:v>
                </c:pt>
                <c:pt idx="269" formatCode="0.00">
                  <c:v>0.45</c:v>
                </c:pt>
                <c:pt idx="270" formatCode="0.00">
                  <c:v>0.24</c:v>
                </c:pt>
                <c:pt idx="271" formatCode="0.00">
                  <c:v>-0.09</c:v>
                </c:pt>
                <c:pt idx="272" formatCode="0.00">
                  <c:v>-0.45</c:v>
                </c:pt>
                <c:pt idx="273" formatCode="0.00">
                  <c:v>-0.38</c:v>
                </c:pt>
                <c:pt idx="274" formatCode="0.00">
                  <c:v>-0.55000000000000004</c:v>
                </c:pt>
                <c:pt idx="275" formatCode="0.00">
                  <c:v>-0.64</c:v>
                </c:pt>
                <c:pt idx="276" formatCode="0.00">
                  <c:v>-0.7</c:v>
                </c:pt>
                <c:pt idx="277" formatCode="0.00">
                  <c:v>-0.13</c:v>
                </c:pt>
                <c:pt idx="278" formatCode="0.00">
                  <c:v>0.09</c:v>
                </c:pt>
                <c:pt idx="279" formatCode="0.00">
                  <c:v>0.35</c:v>
                </c:pt>
                <c:pt idx="280" formatCode="0.00">
                  <c:v>1.17</c:v>
                </c:pt>
                <c:pt idx="281" formatCode="0.00">
                  <c:v>1.69</c:v>
                </c:pt>
                <c:pt idx="282" formatCode="0.00">
                  <c:v>1.71</c:v>
                </c:pt>
                <c:pt idx="283" formatCode="0.00">
                  <c:v>1.65</c:v>
                </c:pt>
                <c:pt idx="284" formatCode="0.00">
                  <c:v>1.53</c:v>
                </c:pt>
                <c:pt idx="285" formatCode="0.00">
                  <c:v>2.04</c:v>
                </c:pt>
                <c:pt idx="286" formatCode="0.00">
                  <c:v>2.37</c:v>
                </c:pt>
                <c:pt idx="287" formatCode="0.00">
                  <c:v>2.74</c:v>
                </c:pt>
                <c:pt idx="288" formatCode="0.00">
                  <c:v>3.37</c:v>
                </c:pt>
                <c:pt idx="289" formatCode="0.00">
                  <c:v>3.36</c:v>
                </c:pt>
                <c:pt idx="290" formatCode="0.00">
                  <c:v>3.15</c:v>
                </c:pt>
                <c:pt idx="291" formatCode="0.00">
                  <c:v>3.45</c:v>
                </c:pt>
                <c:pt idx="292" formatCode="0.00">
                  <c:v>3.46</c:v>
                </c:pt>
                <c:pt idx="293" formatCode="0.00">
                  <c:v>3.4</c:v>
                </c:pt>
                <c:pt idx="294" formatCode="0.00">
                  <c:v>3.2</c:v>
                </c:pt>
                <c:pt idx="295" formatCode="0.00">
                  <c:v>2.94</c:v>
                </c:pt>
                <c:pt idx="296" formatCode="0.00">
                  <c:v>2.61</c:v>
                </c:pt>
                <c:pt idx="297" formatCode="0.00">
                  <c:v>2.21</c:v>
                </c:pt>
                <c:pt idx="298" formatCode="0.00">
                  <c:v>2.33</c:v>
                </c:pt>
                <c:pt idx="299" formatCode="0.00">
                  <c:v>2.8</c:v>
                </c:pt>
                <c:pt idx="300" formatCode="0.00">
                  <c:v>2.82</c:v>
                </c:pt>
                <c:pt idx="301" formatCode="0.00">
                  <c:v>2.86</c:v>
                </c:pt>
                <c:pt idx="302" formatCode="0.00">
                  <c:v>2.71</c:v>
                </c:pt>
                <c:pt idx="303" formatCode="0.00">
                  <c:v>2.66</c:v>
                </c:pt>
                <c:pt idx="304" formatCode="0.00">
                  <c:v>2.81</c:v>
                </c:pt>
                <c:pt idx="305" formatCode="0.00">
                  <c:v>2.48</c:v>
                </c:pt>
                <c:pt idx="306" formatCode="0.00">
                  <c:v>2.39</c:v>
                </c:pt>
                <c:pt idx="307" formatCode="0.00">
                  <c:v>3.06</c:v>
                </c:pt>
                <c:pt idx="308" formatCode="0.00">
                  <c:v>3.48</c:v>
                </c:pt>
                <c:pt idx="309" formatCode="0.00">
                  <c:v>3.31</c:v>
                </c:pt>
                <c:pt idx="310" formatCode="0.00">
                  <c:v>3.35</c:v>
                </c:pt>
                <c:pt idx="311" formatCode="0.00">
                  <c:v>3.35</c:v>
                </c:pt>
                <c:pt idx="312" formatCode="0.00">
                  <c:v>3.36</c:v>
                </c:pt>
                <c:pt idx="313" formatCode="0.00">
                  <c:v>3.25</c:v>
                </c:pt>
                <c:pt idx="314" formatCode="0.00">
                  <c:v>3.14</c:v>
                </c:pt>
                <c:pt idx="315" formatCode="0.00">
                  <c:v>2.88</c:v>
                </c:pt>
                <c:pt idx="316" formatCode="0.00">
                  <c:v>3.39</c:v>
                </c:pt>
                <c:pt idx="317" formatCode="0.00">
                  <c:v>3.68</c:v>
                </c:pt>
                <c:pt idx="318" formatCode="0.00">
                  <c:v>3.44</c:v>
                </c:pt>
                <c:pt idx="319" formatCode="0.00">
                  <c:v>3.14</c:v>
                </c:pt>
                <c:pt idx="320" formatCode="0.00">
                  <c:v>2.78</c:v>
                </c:pt>
                <c:pt idx="321" formatCode="0.00">
                  <c:v>2.4500000000000002</c:v>
                </c:pt>
                <c:pt idx="322" formatCode="0.00">
                  <c:v>2.31</c:v>
                </c:pt>
                <c:pt idx="323" formatCode="0.00">
                  <c:v>2.08</c:v>
                </c:pt>
                <c:pt idx="324" formatCode="0.00">
                  <c:v>2.0099999999999998</c:v>
                </c:pt>
                <c:pt idx="325" formatCode="0.00">
                  <c:v>1.85</c:v>
                </c:pt>
                <c:pt idx="326" formatCode="0.00">
                  <c:v>1.59</c:v>
                </c:pt>
                <c:pt idx="327" formatCode="0.00">
                  <c:v>1.7</c:v>
                </c:pt>
                <c:pt idx="328" formatCode="0.00">
                  <c:v>1.5</c:v>
                </c:pt>
                <c:pt idx="329" formatCode="0.00">
                  <c:v>1.24</c:v>
                </c:pt>
                <c:pt idx="330" formatCode="0.00">
                  <c:v>0.96</c:v>
                </c:pt>
                <c:pt idx="331" formatCode="0.00">
                  <c:v>0.89</c:v>
                </c:pt>
                <c:pt idx="332" formatCode="0.00">
                  <c:v>0.74</c:v>
                </c:pt>
                <c:pt idx="333" formatCode="0.00">
                  <c:v>0.71</c:v>
                </c:pt>
                <c:pt idx="334" formatCode="0.00">
                  <c:v>0.67</c:v>
                </c:pt>
                <c:pt idx="335" formatCode="0.00">
                  <c:v>0.56999999999999995</c:v>
                </c:pt>
                <c:pt idx="336" formatCode="0.00">
                  <c:v>0.5</c:v>
                </c:pt>
                <c:pt idx="337" formatCode="0.00">
                  <c:v>0.08</c:v>
                </c:pt>
                <c:pt idx="338" formatCode="0.00">
                  <c:v>0.03</c:v>
                </c:pt>
                <c:pt idx="339" formatCode="0.00">
                  <c:v>0.09</c:v>
                </c:pt>
                <c:pt idx="340" formatCode="0.00">
                  <c:v>0.27</c:v>
                </c:pt>
                <c:pt idx="341" formatCode="0.00">
                  <c:v>0.27</c:v>
                </c:pt>
                <c:pt idx="342" formatCode="0.00">
                  <c:v>0.19</c:v>
                </c:pt>
                <c:pt idx="343" formatCode="0.00">
                  <c:v>0.01</c:v>
                </c:pt>
                <c:pt idx="344" formatCode="0.00">
                  <c:v>-0.21</c:v>
                </c:pt>
                <c:pt idx="345" formatCode="0.00">
                  <c:v>-0.21</c:v>
                </c:pt>
                <c:pt idx="346" formatCode="0.00">
                  <c:v>-0.32</c:v>
                </c:pt>
                <c:pt idx="347" formatCode="0.00">
                  <c:v>-0.47</c:v>
                </c:pt>
                <c:pt idx="348" formatCode="0.00">
                  <c:v>-0.41</c:v>
                </c:pt>
                <c:pt idx="349" formatCode="0.00">
                  <c:v>-0.35</c:v>
                </c:pt>
                <c:pt idx="350" formatCode="0.00">
                  <c:v>-0.44</c:v>
                </c:pt>
                <c:pt idx="351" formatCode="0.00">
                  <c:v>-0.52</c:v>
                </c:pt>
                <c:pt idx="352" formatCode="0.00">
                  <c:v>-0.32</c:v>
                </c:pt>
                <c:pt idx="353" formatCode="0.00">
                  <c:v>-0.12</c:v>
                </c:pt>
                <c:pt idx="354" formatCode="0.00">
                  <c:v>0.36</c:v>
                </c:pt>
                <c:pt idx="355" formatCode="0.00">
                  <c:v>0.04</c:v>
                </c:pt>
                <c:pt idx="356" formatCode="0.00">
                  <c:v>0.35</c:v>
                </c:pt>
                <c:pt idx="357" formatCode="0.00">
                  <c:v>0.53</c:v>
                </c:pt>
                <c:pt idx="358" formatCode="0.00">
                  <c:v>0.53</c:v>
                </c:pt>
                <c:pt idx="359" formatCode="0.00">
                  <c:v>0.8</c:v>
                </c:pt>
                <c:pt idx="360" formatCode="0.00">
                  <c:v>1.03</c:v>
                </c:pt>
                <c:pt idx="361" formatCode="0.00">
                  <c:v>0.92</c:v>
                </c:pt>
                <c:pt idx="362" formatCode="0.00">
                  <c:v>1.57</c:v>
                </c:pt>
                <c:pt idx="363" formatCode="0.00">
                  <c:v>2.23</c:v>
                </c:pt>
                <c:pt idx="364" formatCode="0.00">
                  <c:v>2.37</c:v>
                </c:pt>
                <c:pt idx="365" formatCode="0.00">
                  <c:v>2.12</c:v>
                </c:pt>
                <c:pt idx="366" formatCode="0.00">
                  <c:v>2.21</c:v>
                </c:pt>
                <c:pt idx="367" formatCode="0.00">
                  <c:v>2.35</c:v>
                </c:pt>
                <c:pt idx="368" formatCode="0.00">
                  <c:v>2.14</c:v>
                </c:pt>
                <c:pt idx="369" formatCode="0.00">
                  <c:v>2.54</c:v>
                </c:pt>
                <c:pt idx="370" formatCode="0.00">
                  <c:v>3.12</c:v>
                </c:pt>
                <c:pt idx="371" formatCode="0.00">
                  <c:v>3.34</c:v>
                </c:pt>
                <c:pt idx="372" formatCode="0.00">
                  <c:v>2.39</c:v>
                </c:pt>
                <c:pt idx="373" formatCode="0.00">
                  <c:v>2.39</c:v>
                </c:pt>
                <c:pt idx="374" formatCode="0.00">
                  <c:v>2.57</c:v>
                </c:pt>
                <c:pt idx="375" formatCode="0.00">
                  <c:v>2.6</c:v>
                </c:pt>
                <c:pt idx="376" formatCode="0.00">
                  <c:v>2.77</c:v>
                </c:pt>
                <c:pt idx="377" formatCode="0.00">
                  <c:v>3.11</c:v>
                </c:pt>
                <c:pt idx="378" formatCode="0.00">
                  <c:v>3.54</c:v>
                </c:pt>
                <c:pt idx="379" formatCode="0.00">
                  <c:v>3.38</c:v>
                </c:pt>
                <c:pt idx="380" formatCode="0.00">
                  <c:v>3.42</c:v>
                </c:pt>
                <c:pt idx="381" formatCode="0.00">
                  <c:v>3.28</c:v>
                </c:pt>
                <c:pt idx="382" formatCode="0.00">
                  <c:v>3.32</c:v>
                </c:pt>
                <c:pt idx="383" formatCode="0.00">
                  <c:v>3.35</c:v>
                </c:pt>
                <c:pt idx="384" formatCode="0.00">
                  <c:v>3.54</c:v>
                </c:pt>
                <c:pt idx="385" formatCode="0.00">
                  <c:v>3.67</c:v>
                </c:pt>
                <c:pt idx="386" formatCode="0.00">
                  <c:v>3.58</c:v>
                </c:pt>
                <c:pt idx="387" formatCode="0.00">
                  <c:v>3.58</c:v>
                </c:pt>
                <c:pt idx="388" formatCode="0.00">
                  <c:v>3.69</c:v>
                </c:pt>
                <c:pt idx="389" formatCode="0.00">
                  <c:v>3.26</c:v>
                </c:pt>
                <c:pt idx="390" formatCode="0.00">
                  <c:v>3.08</c:v>
                </c:pt>
                <c:pt idx="391" formatCode="0.00">
                  <c:v>2.85</c:v>
                </c:pt>
                <c:pt idx="392" formatCode="0.00">
                  <c:v>2.54</c:v>
                </c:pt>
                <c:pt idx="393" formatCode="0.00">
                  <c:v>2.5</c:v>
                </c:pt>
                <c:pt idx="394" formatCode="0.00">
                  <c:v>2.41</c:v>
                </c:pt>
                <c:pt idx="395" formatCode="0.00">
                  <c:v>2.62</c:v>
                </c:pt>
                <c:pt idx="396" formatCode="0.00">
                  <c:v>3.15</c:v>
                </c:pt>
                <c:pt idx="397" formatCode="0.00">
                  <c:v>3.24</c:v>
                </c:pt>
                <c:pt idx="398" formatCode="0.00">
                  <c:v>3.45</c:v>
                </c:pt>
                <c:pt idx="399" formatCode="0.00">
                  <c:v>3.31</c:v>
                </c:pt>
                <c:pt idx="400" formatCode="0.00">
                  <c:v>3.4</c:v>
                </c:pt>
                <c:pt idx="401" formatCode="0.00">
                  <c:v>3.13</c:v>
                </c:pt>
                <c:pt idx="402" formatCode="0.00">
                  <c:v>2.96</c:v>
                </c:pt>
                <c:pt idx="403" formatCode="0.00">
                  <c:v>2.96</c:v>
                </c:pt>
                <c:pt idx="404" formatCode="0.00">
                  <c:v>2.2799999999999998</c:v>
                </c:pt>
                <c:pt idx="405" formatCode="0.00">
                  <c:v>1.97</c:v>
                </c:pt>
                <c:pt idx="406" formatCode="0.00">
                  <c:v>2.13</c:v>
                </c:pt>
                <c:pt idx="407" formatCode="0.00">
                  <c:v>2</c:v>
                </c:pt>
                <c:pt idx="408" formatCode="0.00">
                  <c:v>1.97</c:v>
                </c:pt>
                <c:pt idx="409" formatCode="0.00">
                  <c:v>1.94</c:v>
                </c:pt>
                <c:pt idx="410" formatCode="0.00">
                  <c:v>1.88</c:v>
                </c:pt>
                <c:pt idx="411" formatCode="0.00">
                  <c:v>2.09</c:v>
                </c:pt>
                <c:pt idx="412" formatCode="0.00">
                  <c:v>1.97</c:v>
                </c:pt>
                <c:pt idx="413" formatCode="0.00">
                  <c:v>1.71</c:v>
                </c:pt>
                <c:pt idx="414" formatCode="0.00">
                  <c:v>1.53</c:v>
                </c:pt>
                <c:pt idx="415" formatCode="0.00">
                  <c:v>1.43</c:v>
                </c:pt>
                <c:pt idx="416" formatCode="0.00">
                  <c:v>1.58</c:v>
                </c:pt>
                <c:pt idx="417" formatCode="0.00">
                  <c:v>1.61</c:v>
                </c:pt>
                <c:pt idx="418" formatCode="0.00">
                  <c:v>1.65</c:v>
                </c:pt>
                <c:pt idx="419" formatCode="0.00">
                  <c:v>1.56</c:v>
                </c:pt>
                <c:pt idx="420" formatCode="0.00">
                  <c:v>1.65</c:v>
                </c:pt>
                <c:pt idx="421" formatCode="0.00">
                  <c:v>1.84</c:v>
                </c:pt>
                <c:pt idx="422" formatCode="0.00">
                  <c:v>1.88</c:v>
                </c:pt>
                <c:pt idx="423" formatCode="0.00">
                  <c:v>1.87</c:v>
                </c:pt>
                <c:pt idx="424" formatCode="0.00">
                  <c:v>1.7</c:v>
                </c:pt>
                <c:pt idx="425" formatCode="0.00">
                  <c:v>1.89</c:v>
                </c:pt>
                <c:pt idx="426" formatCode="0.00">
                  <c:v>2.25</c:v>
                </c:pt>
                <c:pt idx="427" formatCode="0.00">
                  <c:v>2.54</c:v>
                </c:pt>
                <c:pt idx="428" formatCode="0.00">
                  <c:v>2.7</c:v>
                </c:pt>
                <c:pt idx="429" formatCode="0.00">
                  <c:v>2.79</c:v>
                </c:pt>
                <c:pt idx="430" formatCode="0.00">
                  <c:v>2.57</c:v>
                </c:pt>
                <c:pt idx="431" formatCode="0.00">
                  <c:v>2.65</c:v>
                </c:pt>
                <c:pt idx="432" formatCode="0.00">
                  <c:v>2.83</c:v>
                </c:pt>
                <c:pt idx="433" formatCode="0.00">
                  <c:v>2.82</c:v>
                </c:pt>
                <c:pt idx="434" formatCode="0.00">
                  <c:v>2.66</c:v>
                </c:pt>
                <c:pt idx="435" formatCode="0.00">
                  <c:v>2.67</c:v>
                </c:pt>
                <c:pt idx="436" formatCode="0.00">
                  <c:v>2.68</c:v>
                </c:pt>
                <c:pt idx="437" formatCode="0.00">
                  <c:v>2.5299999999999998</c:v>
                </c:pt>
                <c:pt idx="438" formatCode="0.00">
                  <c:v>2.56</c:v>
                </c:pt>
                <c:pt idx="439" formatCode="0.00">
                  <c:v>2.5099999999999998</c:v>
                </c:pt>
                <c:pt idx="440" formatCode="0.00">
                  <c:v>2.39</c:v>
                </c:pt>
                <c:pt idx="441" formatCode="0.00">
                  <c:v>2.5099999999999998</c:v>
                </c:pt>
                <c:pt idx="442" formatCode="0.00">
                  <c:v>2.2799999999999998</c:v>
                </c:pt>
                <c:pt idx="443" formatCode="0.00">
                  <c:v>2.31</c:v>
                </c:pt>
                <c:pt idx="444" formatCode="0.00">
                  <c:v>2.1800000000000002</c:v>
                </c:pt>
                <c:pt idx="445" formatCode="0.00">
                  <c:v>1.85</c:v>
                </c:pt>
                <c:pt idx="446" formatCode="0.00">
                  <c:v>1.96</c:v>
                </c:pt>
                <c:pt idx="447" formatCode="0.00">
                  <c:v>2.0099999999999998</c:v>
                </c:pt>
                <c:pt idx="448" formatCode="0.00">
                  <c:v>1.92</c:v>
                </c:pt>
                <c:pt idx="449" formatCode="0.00">
                  <c:v>2.1800000000000002</c:v>
                </c:pt>
                <c:pt idx="450" formatCode="0.00">
                  <c:v>2.34</c:v>
                </c:pt>
                <c:pt idx="451" formatCode="0.00">
                  <c:v>2.29</c:v>
                </c:pt>
                <c:pt idx="452" formatCode="0.00">
                  <c:v>2.1</c:v>
                </c:pt>
                <c:pt idx="453" formatCode="0.00">
                  <c:v>2.15</c:v>
                </c:pt>
                <c:pt idx="454" formatCode="0.00">
                  <c:v>2.0499999999999998</c:v>
                </c:pt>
                <c:pt idx="455" formatCode="0.00">
                  <c:v>2.13</c:v>
                </c:pt>
                <c:pt idx="456" formatCode="0.00">
                  <c:v>2.0099999999999998</c:v>
                </c:pt>
                <c:pt idx="457" formatCode="0.00">
                  <c:v>1.83</c:v>
                </c:pt>
                <c:pt idx="458" formatCode="0.00">
                  <c:v>1.47</c:v>
                </c:pt>
                <c:pt idx="459" formatCode="0.00">
                  <c:v>1.59</c:v>
                </c:pt>
                <c:pt idx="460" formatCode="0.00">
                  <c:v>1.58</c:v>
                </c:pt>
                <c:pt idx="461" formatCode="0.00">
                  <c:v>1.53</c:v>
                </c:pt>
                <c:pt idx="462" formatCode="0.00">
                  <c:v>1.37</c:v>
                </c:pt>
                <c:pt idx="463" formatCode="0.00">
                  <c:v>1.2</c:v>
                </c:pt>
                <c:pt idx="464" formatCode="0.00">
                  <c:v>1.26</c:v>
                </c:pt>
                <c:pt idx="465" formatCode="0.00">
                  <c:v>1.34</c:v>
                </c:pt>
                <c:pt idx="466" formatCode="0.00">
                  <c:v>1.43</c:v>
                </c:pt>
                <c:pt idx="467" formatCode="0.00">
                  <c:v>1.69</c:v>
                </c:pt>
                <c:pt idx="468" formatCode="0.00">
                  <c:v>1.98</c:v>
                </c:pt>
                <c:pt idx="469" formatCode="0.00">
                  <c:v>1.91</c:v>
                </c:pt>
                <c:pt idx="470" formatCode="0.00">
                  <c:v>1.89</c:v>
                </c:pt>
                <c:pt idx="471" formatCode="0.00">
                  <c:v>1.73</c:v>
                </c:pt>
                <c:pt idx="472" formatCode="0.00">
                  <c:v>1.49</c:v>
                </c:pt>
                <c:pt idx="473" formatCode="0.00">
                  <c:v>1.4</c:v>
                </c:pt>
                <c:pt idx="474" formatCode="0.00">
                  <c:v>1.19</c:v>
                </c:pt>
                <c:pt idx="475" formatCode="0.00">
                  <c:v>1.23</c:v>
                </c:pt>
                <c:pt idx="476" formatCode="0.00">
                  <c:v>1.18</c:v>
                </c:pt>
                <c:pt idx="477" formatCode="0.00">
                  <c:v>1.1499999999999999</c:v>
                </c:pt>
                <c:pt idx="478" formatCode="0.00">
                  <c:v>1.27</c:v>
                </c:pt>
                <c:pt idx="479" formatCode="0.00">
                  <c:v>1.1000000000000001</c:v>
                </c:pt>
                <c:pt idx="480" formatCode="0.00">
                  <c:v>1.06</c:v>
                </c:pt>
                <c:pt idx="481" formatCode="0.00">
                  <c:v>1.1499999999999999</c:v>
                </c:pt>
                <c:pt idx="482" formatCode="0.00">
                  <c:v>1.27</c:v>
                </c:pt>
                <c:pt idx="483" formatCode="0.00">
                  <c:v>1.1100000000000001</c:v>
                </c:pt>
                <c:pt idx="484" formatCode="0.00">
                  <c:v>1.08</c:v>
                </c:pt>
                <c:pt idx="485" formatCode="0.00">
                  <c:v>1.08</c:v>
                </c:pt>
                <c:pt idx="486" formatCode="0.00">
                  <c:v>0.97</c:v>
                </c:pt>
                <c:pt idx="487" formatCode="0.00">
                  <c:v>0.9</c:v>
                </c:pt>
                <c:pt idx="488" formatCode="0.00">
                  <c:v>0.82</c:v>
                </c:pt>
                <c:pt idx="489" formatCode="0.00">
                  <c:v>0.83</c:v>
                </c:pt>
                <c:pt idx="490" formatCode="0.00">
                  <c:v>0.86</c:v>
                </c:pt>
                <c:pt idx="491" formatCode="0.00">
                  <c:v>0.75</c:v>
                </c:pt>
                <c:pt idx="492" formatCode="0.00">
                  <c:v>0.42</c:v>
                </c:pt>
                <c:pt idx="493" formatCode="0.00">
                  <c:v>0.28999999999999998</c:v>
                </c:pt>
                <c:pt idx="494" formatCode="0.00">
                  <c:v>0.24</c:v>
                </c:pt>
                <c:pt idx="495" formatCode="0.00">
                  <c:v>0.12</c:v>
                </c:pt>
                <c:pt idx="496" formatCode="0.00">
                  <c:v>0.1</c:v>
                </c:pt>
                <c:pt idx="497" formatCode="0.00">
                  <c:v>0</c:v>
                </c:pt>
                <c:pt idx="498" formatCode="0.00">
                  <c:v>-0.15</c:v>
                </c:pt>
                <c:pt idx="499" formatCode="0.00">
                  <c:v>-0.08</c:v>
                </c:pt>
                <c:pt idx="500" formatCode="0.00">
                  <c:v>-0.36</c:v>
                </c:pt>
                <c:pt idx="501" formatCode="0.00">
                  <c:v>-0.23</c:v>
                </c:pt>
                <c:pt idx="502" formatCode="0.00">
                  <c:v>0.03</c:v>
                </c:pt>
                <c:pt idx="503" formatCode="0.00">
                  <c:v>0.24</c:v>
                </c:pt>
              </c:numCache>
            </c:numRef>
          </c:val>
          <c:smooth val="0"/>
          <c:extLst>
            <c:ext xmlns:c16="http://schemas.microsoft.com/office/drawing/2014/chart" uri="{C3380CC4-5D6E-409C-BE32-E72D297353CC}">
              <c16:uniqueId val="{00000002-5C36-4409-9A77-485273604695}"/>
            </c:ext>
          </c:extLst>
        </c:ser>
        <c:dLbls>
          <c:showLegendKey val="0"/>
          <c:showVal val="0"/>
          <c:showCatName val="0"/>
          <c:showSerName val="0"/>
          <c:showPercent val="0"/>
          <c:showBubbleSize val="0"/>
        </c:dLbls>
        <c:marker val="1"/>
        <c:smooth val="0"/>
        <c:axId val="479893992"/>
        <c:axId val="479892352"/>
      </c:lineChart>
      <c:dateAx>
        <c:axId val="479893992"/>
        <c:scaling>
          <c:orientation val="minMax"/>
        </c:scaling>
        <c:delete val="0"/>
        <c:axPos val="b"/>
        <c:numFmt formatCode="yyyy" sourceLinked="0"/>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92352"/>
        <c:crosses val="autoZero"/>
        <c:auto val="1"/>
        <c:lblOffset val="100"/>
        <c:baseTimeUnit val="months"/>
        <c:majorUnit val="20"/>
        <c:majorTimeUnit val="months"/>
        <c:minorUnit val="1"/>
        <c:minorTimeUnit val="months"/>
      </c:dateAx>
      <c:valAx>
        <c:axId val="479892352"/>
        <c:scaling>
          <c:orientation val="minMax"/>
          <c:max val="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93992"/>
        <c:crosses val="autoZero"/>
        <c:crossBetween val="between"/>
        <c:minorUnit val="0.2"/>
      </c:valAx>
      <c:valAx>
        <c:axId val="407463576"/>
        <c:scaling>
          <c:orientation val="minMax"/>
          <c:max val="5"/>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noFill/>
                <a:latin typeface="+mn-lt"/>
                <a:ea typeface="+mn-ea"/>
                <a:cs typeface="+mn-cs"/>
              </a:defRPr>
            </a:pPr>
            <a:endParaRPr lang="en-US"/>
          </a:p>
        </c:txPr>
        <c:crossAx val="407460952"/>
        <c:crosses val="max"/>
        <c:crossBetween val="between"/>
      </c:valAx>
      <c:dateAx>
        <c:axId val="407460952"/>
        <c:scaling>
          <c:orientation val="minMax"/>
        </c:scaling>
        <c:delete val="1"/>
        <c:axPos val="b"/>
        <c:numFmt formatCode="mmm\-yy" sourceLinked="1"/>
        <c:majorTickMark val="out"/>
        <c:minorTickMark val="none"/>
        <c:tickLblPos val="nextTo"/>
        <c:crossAx val="407463576"/>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strRef>
              <c:f>Sheet1!$Y$4</c:f>
              <c:strCache>
                <c:ptCount val="1"/>
                <c:pt idx="0">
                  <c:v>C.D. Howe Institute recession</c:v>
                </c:pt>
              </c:strCache>
            </c:strRef>
          </c:tx>
          <c:spPr>
            <a:solidFill>
              <a:schemeClr val="bg1">
                <a:lumMod val="85000"/>
              </a:schemeClr>
            </a:solidFill>
            <a:ln>
              <a:noFill/>
            </a:ln>
            <a:effectLst/>
          </c:spPr>
          <c:invertIfNegative val="0"/>
          <c:cat>
            <c:numRef>
              <c:f>Sheet1!$V$5:$V$689</c:f>
              <c:numCache>
                <c:formatCode>General</c:formatCode>
                <c:ptCount val="685"/>
                <c:pt idx="0">
                  <c:v>1962</c:v>
                </c:pt>
                <c:pt idx="12">
                  <c:v>1963</c:v>
                </c:pt>
                <c:pt idx="24">
                  <c:v>1964</c:v>
                </c:pt>
                <c:pt idx="36">
                  <c:v>1965</c:v>
                </c:pt>
                <c:pt idx="48">
                  <c:v>1966</c:v>
                </c:pt>
                <c:pt idx="60">
                  <c:v>1967</c:v>
                </c:pt>
                <c:pt idx="72">
                  <c:v>1968</c:v>
                </c:pt>
                <c:pt idx="84">
                  <c:v>1969</c:v>
                </c:pt>
                <c:pt idx="96">
                  <c:v>1970</c:v>
                </c:pt>
                <c:pt idx="108">
                  <c:v>1971</c:v>
                </c:pt>
                <c:pt idx="120">
                  <c:v>1972</c:v>
                </c:pt>
                <c:pt idx="132">
                  <c:v>1973</c:v>
                </c:pt>
                <c:pt idx="144">
                  <c:v>1974</c:v>
                </c:pt>
                <c:pt idx="156">
                  <c:v>1975</c:v>
                </c:pt>
                <c:pt idx="168">
                  <c:v>1976</c:v>
                </c:pt>
                <c:pt idx="180">
                  <c:v>1977</c:v>
                </c:pt>
                <c:pt idx="192">
                  <c:v>1978</c:v>
                </c:pt>
                <c:pt idx="204">
                  <c:v>1979</c:v>
                </c:pt>
                <c:pt idx="216">
                  <c:v>1980</c:v>
                </c:pt>
                <c:pt idx="228">
                  <c:v>1981</c:v>
                </c:pt>
                <c:pt idx="240">
                  <c:v>1982</c:v>
                </c:pt>
                <c:pt idx="252">
                  <c:v>1983</c:v>
                </c:pt>
                <c:pt idx="264">
                  <c:v>1984</c:v>
                </c:pt>
                <c:pt idx="276">
                  <c:v>1985</c:v>
                </c:pt>
                <c:pt idx="288">
                  <c:v>1986</c:v>
                </c:pt>
                <c:pt idx="300">
                  <c:v>1987</c:v>
                </c:pt>
                <c:pt idx="312">
                  <c:v>1988</c:v>
                </c:pt>
                <c:pt idx="324">
                  <c:v>1989</c:v>
                </c:pt>
                <c:pt idx="336">
                  <c:v>1990</c:v>
                </c:pt>
                <c:pt idx="348">
                  <c:v>1991</c:v>
                </c:pt>
                <c:pt idx="360">
                  <c:v>1992</c:v>
                </c:pt>
                <c:pt idx="372">
                  <c:v>1993</c:v>
                </c:pt>
                <c:pt idx="384">
                  <c:v>1994</c:v>
                </c:pt>
                <c:pt idx="396">
                  <c:v>1995</c:v>
                </c:pt>
                <c:pt idx="408">
                  <c:v>1996</c:v>
                </c:pt>
                <c:pt idx="420">
                  <c:v>1997</c:v>
                </c:pt>
                <c:pt idx="432">
                  <c:v>1998</c:v>
                </c:pt>
                <c:pt idx="444">
                  <c:v>1999</c:v>
                </c:pt>
                <c:pt idx="456">
                  <c:v>2000</c:v>
                </c:pt>
                <c:pt idx="468">
                  <c:v>2001</c:v>
                </c:pt>
                <c:pt idx="480">
                  <c:v>2002</c:v>
                </c:pt>
                <c:pt idx="492">
                  <c:v>2003</c:v>
                </c:pt>
                <c:pt idx="504">
                  <c:v>2004</c:v>
                </c:pt>
                <c:pt idx="516">
                  <c:v>2005</c:v>
                </c:pt>
                <c:pt idx="528">
                  <c:v>2006</c:v>
                </c:pt>
                <c:pt idx="540">
                  <c:v>2007</c:v>
                </c:pt>
                <c:pt idx="552">
                  <c:v>2008</c:v>
                </c:pt>
                <c:pt idx="564">
                  <c:v>2009</c:v>
                </c:pt>
                <c:pt idx="576">
                  <c:v>2010</c:v>
                </c:pt>
                <c:pt idx="588">
                  <c:v>2011</c:v>
                </c:pt>
                <c:pt idx="600">
                  <c:v>2012</c:v>
                </c:pt>
                <c:pt idx="612">
                  <c:v>2013</c:v>
                </c:pt>
                <c:pt idx="624">
                  <c:v>2014</c:v>
                </c:pt>
                <c:pt idx="636">
                  <c:v>2015</c:v>
                </c:pt>
                <c:pt idx="648">
                  <c:v>2016</c:v>
                </c:pt>
                <c:pt idx="660">
                  <c:v>2017</c:v>
                </c:pt>
                <c:pt idx="672">
                  <c:v>2018</c:v>
                </c:pt>
                <c:pt idx="684">
                  <c:v>2019</c:v>
                </c:pt>
              </c:numCache>
            </c:numRef>
          </c:cat>
          <c:val>
            <c:numRef>
              <c:f>Sheet1!$Y$5:$Y$689</c:f>
              <c:numCache>
                <c:formatCode>General</c:formatCode>
                <c:ptCount val="68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1</c:v>
                </c:pt>
                <c:pt idx="157">
                  <c:v>1</c:v>
                </c:pt>
                <c:pt idx="158">
                  <c:v>1</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1</c:v>
                </c:pt>
                <c:pt idx="218">
                  <c:v>1</c:v>
                </c:pt>
                <c:pt idx="219">
                  <c:v>1</c:v>
                </c:pt>
                <c:pt idx="220">
                  <c:v>1</c:v>
                </c:pt>
                <c:pt idx="221">
                  <c:v>1</c:v>
                </c:pt>
                <c:pt idx="222">
                  <c:v>0</c:v>
                </c:pt>
                <c:pt idx="223">
                  <c:v>0</c:v>
                </c:pt>
                <c:pt idx="224">
                  <c:v>0</c:v>
                </c:pt>
                <c:pt idx="225">
                  <c:v>0</c:v>
                </c:pt>
                <c:pt idx="226">
                  <c:v>0</c:v>
                </c:pt>
                <c:pt idx="227">
                  <c:v>0</c:v>
                </c:pt>
                <c:pt idx="228">
                  <c:v>0</c:v>
                </c:pt>
                <c:pt idx="229">
                  <c:v>0</c:v>
                </c:pt>
                <c:pt idx="230">
                  <c:v>0</c:v>
                </c:pt>
                <c:pt idx="231">
                  <c:v>0</c:v>
                </c:pt>
                <c:pt idx="232">
                  <c:v>0</c:v>
                </c:pt>
                <c:pt idx="233">
                  <c:v>0</c:v>
                </c:pt>
                <c:pt idx="234">
                  <c:v>1</c:v>
                </c:pt>
                <c:pt idx="235">
                  <c:v>1</c:v>
                </c:pt>
                <c:pt idx="236">
                  <c:v>1</c:v>
                </c:pt>
                <c:pt idx="237">
                  <c:v>1</c:v>
                </c:pt>
                <c:pt idx="238">
                  <c:v>1</c:v>
                </c:pt>
                <c:pt idx="239">
                  <c:v>1</c:v>
                </c:pt>
                <c:pt idx="240">
                  <c:v>1</c:v>
                </c:pt>
                <c:pt idx="241">
                  <c:v>1</c:v>
                </c:pt>
                <c:pt idx="242">
                  <c:v>1</c:v>
                </c:pt>
                <c:pt idx="243">
                  <c:v>1</c:v>
                </c:pt>
                <c:pt idx="244">
                  <c:v>1</c:v>
                </c:pt>
                <c:pt idx="245">
                  <c:v>1</c:v>
                </c:pt>
                <c:pt idx="246">
                  <c:v>1</c:v>
                </c:pt>
                <c:pt idx="247">
                  <c:v>1</c:v>
                </c:pt>
                <c:pt idx="248">
                  <c:v>1</c:v>
                </c:pt>
                <c:pt idx="249">
                  <c:v>1</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1</c:v>
                </c:pt>
                <c:pt idx="340">
                  <c:v>1</c:v>
                </c:pt>
                <c:pt idx="341">
                  <c:v>1</c:v>
                </c:pt>
                <c:pt idx="342">
                  <c:v>1</c:v>
                </c:pt>
                <c:pt idx="343">
                  <c:v>1</c:v>
                </c:pt>
                <c:pt idx="344">
                  <c:v>1</c:v>
                </c:pt>
                <c:pt idx="345">
                  <c:v>1</c:v>
                </c:pt>
                <c:pt idx="346">
                  <c:v>1</c:v>
                </c:pt>
                <c:pt idx="347">
                  <c:v>1</c:v>
                </c:pt>
                <c:pt idx="348">
                  <c:v>1</c:v>
                </c:pt>
                <c:pt idx="349">
                  <c:v>1</c:v>
                </c:pt>
                <c:pt idx="350">
                  <c:v>1</c:v>
                </c:pt>
                <c:pt idx="351">
                  <c:v>1</c:v>
                </c:pt>
                <c:pt idx="352">
                  <c:v>1</c:v>
                </c:pt>
                <c:pt idx="353">
                  <c:v>1</c:v>
                </c:pt>
                <c:pt idx="354">
                  <c:v>1</c:v>
                </c:pt>
                <c:pt idx="355">
                  <c:v>1</c:v>
                </c:pt>
                <c:pt idx="356">
                  <c:v>1</c:v>
                </c:pt>
                <c:pt idx="357">
                  <c:v>1</c:v>
                </c:pt>
                <c:pt idx="358">
                  <c:v>1</c:v>
                </c:pt>
                <c:pt idx="359">
                  <c:v>1</c:v>
                </c:pt>
                <c:pt idx="360">
                  <c:v>1</c:v>
                </c:pt>
                <c:pt idx="361">
                  <c:v>1</c:v>
                </c:pt>
                <c:pt idx="362">
                  <c:v>1</c:v>
                </c:pt>
                <c:pt idx="363">
                  <c:v>1</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1</c:v>
                </c:pt>
                <c:pt idx="563">
                  <c:v>1</c:v>
                </c:pt>
                <c:pt idx="564">
                  <c:v>1</c:v>
                </c:pt>
                <c:pt idx="565">
                  <c:v>1</c:v>
                </c:pt>
                <c:pt idx="566">
                  <c:v>1</c:v>
                </c:pt>
                <c:pt idx="567">
                  <c:v>1</c:v>
                </c:pt>
                <c:pt idx="568">
                  <c:v>1</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numCache>
            </c:numRef>
          </c:val>
          <c:extLst>
            <c:ext xmlns:c16="http://schemas.microsoft.com/office/drawing/2014/chart" uri="{C3380CC4-5D6E-409C-BE32-E72D297353CC}">
              <c16:uniqueId val="{00000000-742F-4BF2-AB1F-C86E0861773A}"/>
            </c:ext>
          </c:extLst>
        </c:ser>
        <c:dLbls>
          <c:showLegendKey val="0"/>
          <c:showVal val="0"/>
          <c:showCatName val="0"/>
          <c:showSerName val="0"/>
          <c:showPercent val="0"/>
          <c:showBubbleSize val="0"/>
        </c:dLbls>
        <c:gapWidth val="0"/>
        <c:axId val="2021413936"/>
        <c:axId val="2019423344"/>
      </c:barChart>
      <c:lineChart>
        <c:grouping val="standard"/>
        <c:varyColors val="0"/>
        <c:ser>
          <c:idx val="0"/>
          <c:order val="0"/>
          <c:tx>
            <c:strRef>
              <c:f>Sheet1!$W$4</c:f>
              <c:strCache>
                <c:ptCount val="1"/>
                <c:pt idx="0">
                  <c:v>10+ year to 1-3 year spread </c:v>
                </c:pt>
              </c:strCache>
            </c:strRef>
          </c:tx>
          <c:spPr>
            <a:ln w="12700" cap="rnd">
              <a:solidFill>
                <a:schemeClr val="accent1"/>
              </a:solidFill>
              <a:round/>
            </a:ln>
            <a:effectLst/>
          </c:spPr>
          <c:marker>
            <c:symbol val="none"/>
          </c:marker>
          <c:cat>
            <c:numRef>
              <c:f>Sheet1!$V$5:$V$689</c:f>
              <c:numCache>
                <c:formatCode>General</c:formatCode>
                <c:ptCount val="685"/>
                <c:pt idx="0">
                  <c:v>1962</c:v>
                </c:pt>
                <c:pt idx="12">
                  <c:v>1963</c:v>
                </c:pt>
                <c:pt idx="24">
                  <c:v>1964</c:v>
                </c:pt>
                <c:pt idx="36">
                  <c:v>1965</c:v>
                </c:pt>
                <c:pt idx="48">
                  <c:v>1966</c:v>
                </c:pt>
                <c:pt idx="60">
                  <c:v>1967</c:v>
                </c:pt>
                <c:pt idx="72">
                  <c:v>1968</c:v>
                </c:pt>
                <c:pt idx="84">
                  <c:v>1969</c:v>
                </c:pt>
                <c:pt idx="96">
                  <c:v>1970</c:v>
                </c:pt>
                <c:pt idx="108">
                  <c:v>1971</c:v>
                </c:pt>
                <c:pt idx="120">
                  <c:v>1972</c:v>
                </c:pt>
                <c:pt idx="132">
                  <c:v>1973</c:v>
                </c:pt>
                <c:pt idx="144">
                  <c:v>1974</c:v>
                </c:pt>
                <c:pt idx="156">
                  <c:v>1975</c:v>
                </c:pt>
                <c:pt idx="168">
                  <c:v>1976</c:v>
                </c:pt>
                <c:pt idx="180">
                  <c:v>1977</c:v>
                </c:pt>
                <c:pt idx="192">
                  <c:v>1978</c:v>
                </c:pt>
                <c:pt idx="204">
                  <c:v>1979</c:v>
                </c:pt>
                <c:pt idx="216">
                  <c:v>1980</c:v>
                </c:pt>
                <c:pt idx="228">
                  <c:v>1981</c:v>
                </c:pt>
                <c:pt idx="240">
                  <c:v>1982</c:v>
                </c:pt>
                <c:pt idx="252">
                  <c:v>1983</c:v>
                </c:pt>
                <c:pt idx="264">
                  <c:v>1984</c:v>
                </c:pt>
                <c:pt idx="276">
                  <c:v>1985</c:v>
                </c:pt>
                <c:pt idx="288">
                  <c:v>1986</c:v>
                </c:pt>
                <c:pt idx="300">
                  <c:v>1987</c:v>
                </c:pt>
                <c:pt idx="312">
                  <c:v>1988</c:v>
                </c:pt>
                <c:pt idx="324">
                  <c:v>1989</c:v>
                </c:pt>
                <c:pt idx="336">
                  <c:v>1990</c:v>
                </c:pt>
                <c:pt idx="348">
                  <c:v>1991</c:v>
                </c:pt>
                <c:pt idx="360">
                  <c:v>1992</c:v>
                </c:pt>
                <c:pt idx="372">
                  <c:v>1993</c:v>
                </c:pt>
                <c:pt idx="384">
                  <c:v>1994</c:v>
                </c:pt>
                <c:pt idx="396">
                  <c:v>1995</c:v>
                </c:pt>
                <c:pt idx="408">
                  <c:v>1996</c:v>
                </c:pt>
                <c:pt idx="420">
                  <c:v>1997</c:v>
                </c:pt>
                <c:pt idx="432">
                  <c:v>1998</c:v>
                </c:pt>
                <c:pt idx="444">
                  <c:v>1999</c:v>
                </c:pt>
                <c:pt idx="456">
                  <c:v>2000</c:v>
                </c:pt>
                <c:pt idx="468">
                  <c:v>2001</c:v>
                </c:pt>
                <c:pt idx="480">
                  <c:v>2002</c:v>
                </c:pt>
                <c:pt idx="492">
                  <c:v>2003</c:v>
                </c:pt>
                <c:pt idx="504">
                  <c:v>2004</c:v>
                </c:pt>
                <c:pt idx="516">
                  <c:v>2005</c:v>
                </c:pt>
                <c:pt idx="528">
                  <c:v>2006</c:v>
                </c:pt>
                <c:pt idx="540">
                  <c:v>2007</c:v>
                </c:pt>
                <c:pt idx="552">
                  <c:v>2008</c:v>
                </c:pt>
                <c:pt idx="564">
                  <c:v>2009</c:v>
                </c:pt>
                <c:pt idx="576">
                  <c:v>2010</c:v>
                </c:pt>
                <c:pt idx="588">
                  <c:v>2011</c:v>
                </c:pt>
                <c:pt idx="600">
                  <c:v>2012</c:v>
                </c:pt>
                <c:pt idx="612">
                  <c:v>2013</c:v>
                </c:pt>
                <c:pt idx="624">
                  <c:v>2014</c:v>
                </c:pt>
                <c:pt idx="636">
                  <c:v>2015</c:v>
                </c:pt>
                <c:pt idx="648">
                  <c:v>2016</c:v>
                </c:pt>
                <c:pt idx="660">
                  <c:v>2017</c:v>
                </c:pt>
                <c:pt idx="672">
                  <c:v>2018</c:v>
                </c:pt>
                <c:pt idx="684">
                  <c:v>2019</c:v>
                </c:pt>
              </c:numCache>
            </c:numRef>
          </c:cat>
          <c:val>
            <c:numRef>
              <c:f>Sheet1!$W$5:$W$689</c:f>
              <c:numCache>
                <c:formatCode>General</c:formatCode>
                <c:ptCount val="685"/>
                <c:pt idx="0">
                  <c:v>1.4699999999999998</c:v>
                </c:pt>
                <c:pt idx="1">
                  <c:v>1.5400000000000005</c:v>
                </c:pt>
                <c:pt idx="2">
                  <c:v>1.6600000000000001</c:v>
                </c:pt>
                <c:pt idx="3">
                  <c:v>1.3399999999999999</c:v>
                </c:pt>
                <c:pt idx="4">
                  <c:v>1.08</c:v>
                </c:pt>
                <c:pt idx="5">
                  <c:v>-0.19000000000000039</c:v>
                </c:pt>
                <c:pt idx="6">
                  <c:v>-0.1899999999999995</c:v>
                </c:pt>
                <c:pt idx="7">
                  <c:v>3.0000000000000249E-2</c:v>
                </c:pt>
                <c:pt idx="8">
                  <c:v>0.25999999999999979</c:v>
                </c:pt>
                <c:pt idx="9">
                  <c:v>0.89000000000000057</c:v>
                </c:pt>
                <c:pt idx="10">
                  <c:v>1.0899999999999999</c:v>
                </c:pt>
                <c:pt idx="11">
                  <c:v>0.97999999999999954</c:v>
                </c:pt>
                <c:pt idx="12">
                  <c:v>0.91000000000000014</c:v>
                </c:pt>
                <c:pt idx="13">
                  <c:v>0.82000000000000028</c:v>
                </c:pt>
                <c:pt idx="14">
                  <c:v>0.71</c:v>
                </c:pt>
                <c:pt idx="15">
                  <c:v>0.62000000000000011</c:v>
                </c:pt>
                <c:pt idx="16">
                  <c:v>0.9700000000000002</c:v>
                </c:pt>
                <c:pt idx="17">
                  <c:v>1.1499999999999999</c:v>
                </c:pt>
                <c:pt idx="18">
                  <c:v>0.86000000000000032</c:v>
                </c:pt>
                <c:pt idx="19">
                  <c:v>0.83000000000000007</c:v>
                </c:pt>
                <c:pt idx="20">
                  <c:v>0.89000000000000057</c:v>
                </c:pt>
                <c:pt idx="21">
                  <c:v>0.96999999999999975</c:v>
                </c:pt>
                <c:pt idx="22">
                  <c:v>0.9300000000000006</c:v>
                </c:pt>
                <c:pt idx="23">
                  <c:v>0.89999999999999947</c:v>
                </c:pt>
                <c:pt idx="24">
                  <c:v>0.79</c:v>
                </c:pt>
                <c:pt idx="25">
                  <c:v>0.83999999999999986</c:v>
                </c:pt>
                <c:pt idx="26">
                  <c:v>0.75999999999999979</c:v>
                </c:pt>
                <c:pt idx="27">
                  <c:v>0.74000000000000021</c:v>
                </c:pt>
                <c:pt idx="28">
                  <c:v>0.91000000000000014</c:v>
                </c:pt>
                <c:pt idx="29">
                  <c:v>0.87999999999999989</c:v>
                </c:pt>
                <c:pt idx="30">
                  <c:v>0.76999999999999957</c:v>
                </c:pt>
                <c:pt idx="31">
                  <c:v>0.6800000000000006</c:v>
                </c:pt>
                <c:pt idx="32">
                  <c:v>0.80999999999999961</c:v>
                </c:pt>
                <c:pt idx="33">
                  <c:v>0.71999999999999975</c:v>
                </c:pt>
                <c:pt idx="34">
                  <c:v>0.62000000000000011</c:v>
                </c:pt>
                <c:pt idx="35">
                  <c:v>0.82000000000000028</c:v>
                </c:pt>
                <c:pt idx="36">
                  <c:v>0.95000000000000018</c:v>
                </c:pt>
                <c:pt idx="37">
                  <c:v>0.72000000000000064</c:v>
                </c:pt>
                <c:pt idx="38">
                  <c:v>0.96</c:v>
                </c:pt>
                <c:pt idx="39">
                  <c:v>0.96</c:v>
                </c:pt>
                <c:pt idx="40">
                  <c:v>0.92999999999999972</c:v>
                </c:pt>
                <c:pt idx="41">
                  <c:v>0.87000000000000011</c:v>
                </c:pt>
                <c:pt idx="42">
                  <c:v>0.79</c:v>
                </c:pt>
                <c:pt idx="43">
                  <c:v>0.59999999999999964</c:v>
                </c:pt>
                <c:pt idx="44">
                  <c:v>0.45999999999999996</c:v>
                </c:pt>
                <c:pt idx="45">
                  <c:v>0.36000000000000032</c:v>
                </c:pt>
                <c:pt idx="46">
                  <c:v>0.37000000000000011</c:v>
                </c:pt>
                <c:pt idx="47">
                  <c:v>0.29000000000000004</c:v>
                </c:pt>
                <c:pt idx="48">
                  <c:v>0.41999999999999993</c:v>
                </c:pt>
                <c:pt idx="49">
                  <c:v>0.41999999999999993</c:v>
                </c:pt>
                <c:pt idx="50">
                  <c:v>0.3100000000000005</c:v>
                </c:pt>
                <c:pt idx="51">
                  <c:v>0.39999999999999947</c:v>
                </c:pt>
                <c:pt idx="52">
                  <c:v>0.44000000000000039</c:v>
                </c:pt>
                <c:pt idx="53">
                  <c:v>0.5</c:v>
                </c:pt>
                <c:pt idx="54">
                  <c:v>0.29999999999999982</c:v>
                </c:pt>
                <c:pt idx="55">
                  <c:v>3.0000000000000249E-2</c:v>
                </c:pt>
                <c:pt idx="56">
                  <c:v>0.25999999999999979</c:v>
                </c:pt>
                <c:pt idx="57">
                  <c:v>0.16999999999999993</c:v>
                </c:pt>
                <c:pt idx="58">
                  <c:v>0.16999999999999993</c:v>
                </c:pt>
                <c:pt idx="59">
                  <c:v>0.33000000000000007</c:v>
                </c:pt>
                <c:pt idx="60">
                  <c:v>0.67999999999999972</c:v>
                </c:pt>
                <c:pt idx="61">
                  <c:v>0.58999999999999986</c:v>
                </c:pt>
                <c:pt idx="62">
                  <c:v>1.1300000000000008</c:v>
                </c:pt>
                <c:pt idx="63">
                  <c:v>1.0899999999999999</c:v>
                </c:pt>
                <c:pt idx="64">
                  <c:v>0.79999999999999982</c:v>
                </c:pt>
                <c:pt idx="65">
                  <c:v>0.53000000000000025</c:v>
                </c:pt>
                <c:pt idx="66">
                  <c:v>0.47999999999999954</c:v>
                </c:pt>
                <c:pt idx="67">
                  <c:v>0.5</c:v>
                </c:pt>
                <c:pt idx="68">
                  <c:v>0.39000000000000057</c:v>
                </c:pt>
                <c:pt idx="69">
                  <c:v>0.57000000000000028</c:v>
                </c:pt>
                <c:pt idx="70">
                  <c:v>0.61000000000000032</c:v>
                </c:pt>
                <c:pt idx="71">
                  <c:v>0.37999999999999989</c:v>
                </c:pt>
                <c:pt idx="72">
                  <c:v>0.19000000000000039</c:v>
                </c:pt>
                <c:pt idx="73">
                  <c:v>0.20999999999999996</c:v>
                </c:pt>
                <c:pt idx="74">
                  <c:v>0.21999999999999975</c:v>
                </c:pt>
                <c:pt idx="75">
                  <c:v>4.0000000000000036E-2</c:v>
                </c:pt>
                <c:pt idx="76">
                  <c:v>0.25999999999999979</c:v>
                </c:pt>
                <c:pt idx="77">
                  <c:v>-9.9999999999997868E-3</c:v>
                </c:pt>
                <c:pt idx="78">
                  <c:v>0.32000000000000028</c:v>
                </c:pt>
                <c:pt idx="79">
                  <c:v>0.55999999999999961</c:v>
                </c:pt>
                <c:pt idx="80">
                  <c:v>0.65999999999999925</c:v>
                </c:pt>
                <c:pt idx="81">
                  <c:v>0.66999999999999993</c:v>
                </c:pt>
                <c:pt idx="82">
                  <c:v>0.82000000000000028</c:v>
                </c:pt>
                <c:pt idx="83">
                  <c:v>0.58999999999999986</c:v>
                </c:pt>
                <c:pt idx="84">
                  <c:v>0.45000000000000018</c:v>
                </c:pt>
                <c:pt idx="85">
                  <c:v>0.37999999999999989</c:v>
                </c:pt>
                <c:pt idx="86">
                  <c:v>0.21999999999999975</c:v>
                </c:pt>
                <c:pt idx="87">
                  <c:v>7.0000000000000284E-2</c:v>
                </c:pt>
                <c:pt idx="88">
                  <c:v>-5.9999999999999609E-2</c:v>
                </c:pt>
                <c:pt idx="89">
                  <c:v>-3.0000000000000249E-2</c:v>
                </c:pt>
                <c:pt idx="90">
                  <c:v>-0.25</c:v>
                </c:pt>
                <c:pt idx="91">
                  <c:v>-0.16000000000000014</c:v>
                </c:pt>
                <c:pt idx="92">
                  <c:v>-5.0000000000000711E-2</c:v>
                </c:pt>
                <c:pt idx="93">
                  <c:v>8.9999999999999858E-2</c:v>
                </c:pt>
                <c:pt idx="94">
                  <c:v>0.20999999999999996</c:v>
                </c:pt>
                <c:pt idx="95">
                  <c:v>0.25999999999999979</c:v>
                </c:pt>
                <c:pt idx="96">
                  <c:v>0.36000000000000032</c:v>
                </c:pt>
                <c:pt idx="97">
                  <c:v>0.47000000000000064</c:v>
                </c:pt>
                <c:pt idx="98">
                  <c:v>0.83999999999999986</c:v>
                </c:pt>
                <c:pt idx="99">
                  <c:v>1.2099999999999991</c:v>
                </c:pt>
                <c:pt idx="100">
                  <c:v>1.4500000000000002</c:v>
                </c:pt>
                <c:pt idx="101">
                  <c:v>1.5700000000000003</c:v>
                </c:pt>
                <c:pt idx="102">
                  <c:v>1.4699999999999998</c:v>
                </c:pt>
                <c:pt idx="103">
                  <c:v>1.4800000000000004</c:v>
                </c:pt>
                <c:pt idx="104">
                  <c:v>1.4100000000000001</c:v>
                </c:pt>
                <c:pt idx="105">
                  <c:v>1.58</c:v>
                </c:pt>
                <c:pt idx="106">
                  <c:v>2.13</c:v>
                </c:pt>
                <c:pt idx="107">
                  <c:v>2.1000000000000005</c:v>
                </c:pt>
                <c:pt idx="108">
                  <c:v>1.62</c:v>
                </c:pt>
                <c:pt idx="109">
                  <c:v>1.7999999999999998</c:v>
                </c:pt>
                <c:pt idx="110">
                  <c:v>1.9900000000000002</c:v>
                </c:pt>
                <c:pt idx="111">
                  <c:v>2.09</c:v>
                </c:pt>
                <c:pt idx="112">
                  <c:v>2.41</c:v>
                </c:pt>
                <c:pt idx="113">
                  <c:v>1.9900000000000002</c:v>
                </c:pt>
                <c:pt idx="114">
                  <c:v>1.9800000000000004</c:v>
                </c:pt>
                <c:pt idx="115">
                  <c:v>1.8200000000000003</c:v>
                </c:pt>
                <c:pt idx="116">
                  <c:v>1.71</c:v>
                </c:pt>
                <c:pt idx="117">
                  <c:v>2.2999999999999998</c:v>
                </c:pt>
                <c:pt idx="118">
                  <c:v>2.3499999999999996</c:v>
                </c:pt>
                <c:pt idx="119">
                  <c:v>2.1399999999999997</c:v>
                </c:pt>
                <c:pt idx="120">
                  <c:v>1.9700000000000006</c:v>
                </c:pt>
                <c:pt idx="121">
                  <c:v>1.7200000000000006</c:v>
                </c:pt>
                <c:pt idx="122">
                  <c:v>1.7300000000000004</c:v>
                </c:pt>
                <c:pt idx="123">
                  <c:v>1.5399999999999991</c:v>
                </c:pt>
                <c:pt idx="124">
                  <c:v>1.38</c:v>
                </c:pt>
                <c:pt idx="125">
                  <c:v>1.5899999999999999</c:v>
                </c:pt>
                <c:pt idx="126">
                  <c:v>1.62</c:v>
                </c:pt>
                <c:pt idx="127">
                  <c:v>1.4700000000000006</c:v>
                </c:pt>
                <c:pt idx="128">
                  <c:v>1.6100000000000003</c:v>
                </c:pt>
                <c:pt idx="129">
                  <c:v>1.5999999999999996</c:v>
                </c:pt>
                <c:pt idx="130">
                  <c:v>2.0499999999999998</c:v>
                </c:pt>
                <c:pt idx="131">
                  <c:v>1.9699999999999998</c:v>
                </c:pt>
                <c:pt idx="132">
                  <c:v>1.6799999999999997</c:v>
                </c:pt>
                <c:pt idx="133">
                  <c:v>1.7599999999999998</c:v>
                </c:pt>
                <c:pt idx="134">
                  <c:v>1.5300000000000002</c:v>
                </c:pt>
                <c:pt idx="135">
                  <c:v>1.1499999999999995</c:v>
                </c:pt>
                <c:pt idx="136">
                  <c:v>0.5699999999999994</c:v>
                </c:pt>
                <c:pt idx="137">
                  <c:v>0.79999999999999982</c:v>
                </c:pt>
                <c:pt idx="138">
                  <c:v>0.64000000000000057</c:v>
                </c:pt>
                <c:pt idx="139">
                  <c:v>0.55000000000000071</c:v>
                </c:pt>
                <c:pt idx="140">
                  <c:v>0.77999999999999936</c:v>
                </c:pt>
                <c:pt idx="141">
                  <c:v>0.98999999999999932</c:v>
                </c:pt>
                <c:pt idx="142">
                  <c:v>1.0699999999999994</c:v>
                </c:pt>
                <c:pt idx="143">
                  <c:v>0.78000000000000025</c:v>
                </c:pt>
                <c:pt idx="144">
                  <c:v>1</c:v>
                </c:pt>
                <c:pt idx="145">
                  <c:v>1.1600000000000001</c:v>
                </c:pt>
                <c:pt idx="146">
                  <c:v>0.63999999999999968</c:v>
                </c:pt>
                <c:pt idx="147">
                  <c:v>-1.9999999999999574E-2</c:v>
                </c:pt>
                <c:pt idx="148">
                  <c:v>-1.9999999999999574E-2</c:v>
                </c:pt>
                <c:pt idx="149">
                  <c:v>0.17000000000000171</c:v>
                </c:pt>
                <c:pt idx="150">
                  <c:v>0.45000000000000107</c:v>
                </c:pt>
                <c:pt idx="151">
                  <c:v>0.53999999999999915</c:v>
                </c:pt>
                <c:pt idx="152">
                  <c:v>0.80000000000000071</c:v>
                </c:pt>
                <c:pt idx="153">
                  <c:v>1.7299999999999995</c:v>
                </c:pt>
                <c:pt idx="154">
                  <c:v>1.8899999999999988</c:v>
                </c:pt>
                <c:pt idx="155">
                  <c:v>2.1099999999999994</c:v>
                </c:pt>
                <c:pt idx="156">
                  <c:v>2.1400000000000006</c:v>
                </c:pt>
                <c:pt idx="157">
                  <c:v>1.9500000000000002</c:v>
                </c:pt>
                <c:pt idx="158">
                  <c:v>1.910000000000001</c:v>
                </c:pt>
                <c:pt idx="159">
                  <c:v>1.8099999999999987</c:v>
                </c:pt>
                <c:pt idx="160">
                  <c:v>1.620000000000001</c:v>
                </c:pt>
                <c:pt idx="161">
                  <c:v>1.5300000000000011</c:v>
                </c:pt>
                <c:pt idx="162">
                  <c:v>1.4399999999999995</c:v>
                </c:pt>
                <c:pt idx="163">
                  <c:v>1.0200000000000014</c:v>
                </c:pt>
                <c:pt idx="164">
                  <c:v>0.96000000000000085</c:v>
                </c:pt>
                <c:pt idx="165">
                  <c:v>1.1199999999999992</c:v>
                </c:pt>
                <c:pt idx="166">
                  <c:v>1.0999999999999996</c:v>
                </c:pt>
                <c:pt idx="167">
                  <c:v>1.1300000000000008</c:v>
                </c:pt>
                <c:pt idx="168">
                  <c:v>1.1599999999999984</c:v>
                </c:pt>
                <c:pt idx="169">
                  <c:v>0.91000000000000014</c:v>
                </c:pt>
                <c:pt idx="170">
                  <c:v>0.75999999999999979</c:v>
                </c:pt>
                <c:pt idx="171">
                  <c:v>0.87999999999999901</c:v>
                </c:pt>
                <c:pt idx="172">
                  <c:v>1.0700000000000003</c:v>
                </c:pt>
                <c:pt idx="173">
                  <c:v>0.94999999999999929</c:v>
                </c:pt>
                <c:pt idx="174">
                  <c:v>0.92999999999999972</c:v>
                </c:pt>
                <c:pt idx="175">
                  <c:v>0.79000000000000092</c:v>
                </c:pt>
                <c:pt idx="176">
                  <c:v>0.85999999999999943</c:v>
                </c:pt>
                <c:pt idx="177">
                  <c:v>0.74000000000000021</c:v>
                </c:pt>
                <c:pt idx="178">
                  <c:v>0.8100000000000005</c:v>
                </c:pt>
                <c:pt idx="179">
                  <c:v>0.97000000000000064</c:v>
                </c:pt>
                <c:pt idx="180">
                  <c:v>0.94999999999999929</c:v>
                </c:pt>
                <c:pt idx="181">
                  <c:v>1.1999999999999993</c:v>
                </c:pt>
                <c:pt idx="182">
                  <c:v>1.37</c:v>
                </c:pt>
                <c:pt idx="183">
                  <c:v>1.29</c:v>
                </c:pt>
                <c:pt idx="184">
                  <c:v>1.4399999999999995</c:v>
                </c:pt>
                <c:pt idx="185">
                  <c:v>1.410000000000001</c:v>
                </c:pt>
                <c:pt idx="186">
                  <c:v>1.3299999999999992</c:v>
                </c:pt>
                <c:pt idx="187">
                  <c:v>1.21</c:v>
                </c:pt>
                <c:pt idx="188">
                  <c:v>1.1799999999999997</c:v>
                </c:pt>
                <c:pt idx="189">
                  <c:v>1.1799999999999997</c:v>
                </c:pt>
                <c:pt idx="190">
                  <c:v>1.1400000000000006</c:v>
                </c:pt>
                <c:pt idx="191">
                  <c:v>1.1799999999999997</c:v>
                </c:pt>
                <c:pt idx="192">
                  <c:v>1.3600000000000003</c:v>
                </c:pt>
                <c:pt idx="193">
                  <c:v>1.33</c:v>
                </c:pt>
                <c:pt idx="194">
                  <c:v>0.89000000000000057</c:v>
                </c:pt>
                <c:pt idx="195">
                  <c:v>0.64000000000000057</c:v>
                </c:pt>
                <c:pt idx="196">
                  <c:v>0.65000000000000036</c:v>
                </c:pt>
                <c:pt idx="197">
                  <c:v>0.63000000000000078</c:v>
                </c:pt>
                <c:pt idx="198">
                  <c:v>0.53999999999999915</c:v>
                </c:pt>
                <c:pt idx="199">
                  <c:v>0.52999999999999936</c:v>
                </c:pt>
                <c:pt idx="200">
                  <c:v>0.38000000000000078</c:v>
                </c:pt>
                <c:pt idx="201">
                  <c:v>0</c:v>
                </c:pt>
                <c:pt idx="202">
                  <c:v>-0.53000000000000114</c:v>
                </c:pt>
                <c:pt idx="203">
                  <c:v>-0.46000000000000085</c:v>
                </c:pt>
                <c:pt idx="204">
                  <c:v>-0.25999999999999979</c:v>
                </c:pt>
                <c:pt idx="205">
                  <c:v>-9.9999999999999645E-2</c:v>
                </c:pt>
                <c:pt idx="206">
                  <c:v>-0.1899999999999995</c:v>
                </c:pt>
                <c:pt idx="207">
                  <c:v>-9.9999999999999645E-2</c:v>
                </c:pt>
                <c:pt idx="208">
                  <c:v>-8.0000000000000071E-2</c:v>
                </c:pt>
                <c:pt idx="209">
                  <c:v>-0.13999999999999879</c:v>
                </c:pt>
                <c:pt idx="210">
                  <c:v>-0.22000000000000064</c:v>
                </c:pt>
                <c:pt idx="211">
                  <c:v>-0.74000000000000021</c:v>
                </c:pt>
                <c:pt idx="212">
                  <c:v>-0.78999999999999915</c:v>
                </c:pt>
                <c:pt idx="213">
                  <c:v>-1.6199999999999992</c:v>
                </c:pt>
                <c:pt idx="214">
                  <c:v>-1.4700000000000006</c:v>
                </c:pt>
                <c:pt idx="215">
                  <c:v>-0.91999999999999993</c:v>
                </c:pt>
                <c:pt idx="216">
                  <c:v>-0.65999999999999837</c:v>
                </c:pt>
                <c:pt idx="217">
                  <c:v>-0.70999999999999908</c:v>
                </c:pt>
                <c:pt idx="218">
                  <c:v>-0.82000000000000028</c:v>
                </c:pt>
                <c:pt idx="219">
                  <c:v>-0.33999999999999986</c:v>
                </c:pt>
                <c:pt idx="220">
                  <c:v>0.57000000000000028</c:v>
                </c:pt>
                <c:pt idx="221">
                  <c:v>0.80999999999999872</c:v>
                </c:pt>
                <c:pt idx="222">
                  <c:v>1.2100000000000009</c:v>
                </c:pt>
                <c:pt idx="223">
                  <c:v>0.41999999999999993</c:v>
                </c:pt>
                <c:pt idx="224">
                  <c:v>0.29000000000000092</c:v>
                </c:pt>
                <c:pt idx="225">
                  <c:v>0.11000000000000121</c:v>
                </c:pt>
                <c:pt idx="226">
                  <c:v>-7.0000000000000284E-2</c:v>
                </c:pt>
                <c:pt idx="227">
                  <c:v>-0.27999999999999936</c:v>
                </c:pt>
                <c:pt idx="228">
                  <c:v>-9.9999999999999645E-2</c:v>
                </c:pt>
                <c:pt idx="229">
                  <c:v>-0.27999999999999936</c:v>
                </c:pt>
                <c:pt idx="230">
                  <c:v>-0.55999999999999872</c:v>
                </c:pt>
                <c:pt idx="231">
                  <c:v>-0.70999999999999908</c:v>
                </c:pt>
                <c:pt idx="232">
                  <c:v>-1.259999999999998</c:v>
                </c:pt>
                <c:pt idx="233">
                  <c:v>-1.1600000000000019</c:v>
                </c:pt>
                <c:pt idx="234">
                  <c:v>-1.6999999999999993</c:v>
                </c:pt>
                <c:pt idx="235">
                  <c:v>-2.0500000000000007</c:v>
                </c:pt>
                <c:pt idx="236">
                  <c:v>-1.2800000000000011</c:v>
                </c:pt>
                <c:pt idx="237">
                  <c:v>-0.66999999999999815</c:v>
                </c:pt>
                <c:pt idx="238">
                  <c:v>0.75</c:v>
                </c:pt>
                <c:pt idx="239">
                  <c:v>4.9999999999998934E-2</c:v>
                </c:pt>
                <c:pt idx="240">
                  <c:v>-9.9999999999997868E-3</c:v>
                </c:pt>
                <c:pt idx="241">
                  <c:v>-1.9999999999999574E-2</c:v>
                </c:pt>
                <c:pt idx="242">
                  <c:v>-0.36999999999999922</c:v>
                </c:pt>
                <c:pt idx="243">
                  <c:v>-0.42999999999999972</c:v>
                </c:pt>
                <c:pt idx="244">
                  <c:v>9.9999999999997868E-3</c:v>
                </c:pt>
                <c:pt idx="245">
                  <c:v>-0.46999999999999886</c:v>
                </c:pt>
                <c:pt idx="246">
                  <c:v>-7.0000000000000284E-2</c:v>
                </c:pt>
                <c:pt idx="247">
                  <c:v>0.43000000000000149</c:v>
                </c:pt>
                <c:pt idx="248">
                  <c:v>0.73000000000000043</c:v>
                </c:pt>
                <c:pt idx="249">
                  <c:v>1.0600000000000005</c:v>
                </c:pt>
                <c:pt idx="250">
                  <c:v>1.379999999999999</c:v>
                </c:pt>
                <c:pt idx="251">
                  <c:v>1.4499999999999993</c:v>
                </c:pt>
                <c:pt idx="252">
                  <c:v>2</c:v>
                </c:pt>
                <c:pt idx="253">
                  <c:v>1.5700000000000003</c:v>
                </c:pt>
                <c:pt idx="254">
                  <c:v>1.5199999999999996</c:v>
                </c:pt>
                <c:pt idx="255">
                  <c:v>1.1799999999999997</c:v>
                </c:pt>
                <c:pt idx="256">
                  <c:v>1.5500000000000007</c:v>
                </c:pt>
                <c:pt idx="257">
                  <c:v>1.4800000000000004</c:v>
                </c:pt>
                <c:pt idx="258">
                  <c:v>1.6499999999999986</c:v>
                </c:pt>
                <c:pt idx="259">
                  <c:v>1.4800000000000004</c:v>
                </c:pt>
                <c:pt idx="260">
                  <c:v>1.6600000000000001</c:v>
                </c:pt>
                <c:pt idx="261">
                  <c:v>1.8499999999999996</c:v>
                </c:pt>
                <c:pt idx="262">
                  <c:v>1.7700000000000014</c:v>
                </c:pt>
                <c:pt idx="263">
                  <c:v>1.629999999999999</c:v>
                </c:pt>
                <c:pt idx="264">
                  <c:v>1.6899999999999995</c:v>
                </c:pt>
                <c:pt idx="265">
                  <c:v>1.6600000000000001</c:v>
                </c:pt>
                <c:pt idx="266">
                  <c:v>1.5600000000000005</c:v>
                </c:pt>
                <c:pt idx="267">
                  <c:v>1.5500000000000007</c:v>
                </c:pt>
                <c:pt idx="268">
                  <c:v>1.0099999999999998</c:v>
                </c:pt>
                <c:pt idx="269">
                  <c:v>0.91999999999999993</c:v>
                </c:pt>
                <c:pt idx="270">
                  <c:v>0.39000000000000057</c:v>
                </c:pt>
                <c:pt idx="271">
                  <c:v>0.5</c:v>
                </c:pt>
                <c:pt idx="272">
                  <c:v>0.59000000000000163</c:v>
                </c:pt>
                <c:pt idx="273">
                  <c:v>0.74000000000000021</c:v>
                </c:pt>
                <c:pt idx="274">
                  <c:v>1.1400000000000006</c:v>
                </c:pt>
                <c:pt idx="275">
                  <c:v>1.2200000000000006</c:v>
                </c:pt>
                <c:pt idx="276">
                  <c:v>1.1100000000000012</c:v>
                </c:pt>
                <c:pt idx="277">
                  <c:v>0.61000000000000121</c:v>
                </c:pt>
                <c:pt idx="278">
                  <c:v>0.78999999999999915</c:v>
                </c:pt>
                <c:pt idx="279">
                  <c:v>0.91000000000000014</c:v>
                </c:pt>
                <c:pt idx="280">
                  <c:v>0.59999999999999964</c:v>
                </c:pt>
                <c:pt idx="281">
                  <c:v>0.86000000000000121</c:v>
                </c:pt>
                <c:pt idx="282">
                  <c:v>0.84999999999999964</c:v>
                </c:pt>
                <c:pt idx="283">
                  <c:v>1</c:v>
                </c:pt>
                <c:pt idx="284">
                  <c:v>1.08</c:v>
                </c:pt>
                <c:pt idx="285">
                  <c:v>1.2800000000000011</c:v>
                </c:pt>
                <c:pt idx="286">
                  <c:v>1.08</c:v>
                </c:pt>
                <c:pt idx="287">
                  <c:v>0.96000000000000085</c:v>
                </c:pt>
                <c:pt idx="288">
                  <c:v>0.60999999999999943</c:v>
                </c:pt>
                <c:pt idx="289">
                  <c:v>0.30000000000000071</c:v>
                </c:pt>
                <c:pt idx="290">
                  <c:v>0.17999999999999972</c:v>
                </c:pt>
                <c:pt idx="291">
                  <c:v>0.5</c:v>
                </c:pt>
                <c:pt idx="292">
                  <c:v>0.53999999999999915</c:v>
                </c:pt>
                <c:pt idx="293">
                  <c:v>0.58999999999999986</c:v>
                </c:pt>
                <c:pt idx="294">
                  <c:v>0.28999999999999915</c:v>
                </c:pt>
                <c:pt idx="295">
                  <c:v>0.14000000000000057</c:v>
                </c:pt>
                <c:pt idx="296">
                  <c:v>0.34999999999999964</c:v>
                </c:pt>
                <c:pt idx="297">
                  <c:v>0.53999999999999915</c:v>
                </c:pt>
                <c:pt idx="298">
                  <c:v>0.5600000000000005</c:v>
                </c:pt>
                <c:pt idx="299">
                  <c:v>0.59999999999999964</c:v>
                </c:pt>
                <c:pt idx="300">
                  <c:v>1.0899999999999999</c:v>
                </c:pt>
                <c:pt idx="301">
                  <c:v>1.0899999999999999</c:v>
                </c:pt>
                <c:pt idx="302">
                  <c:v>1.2700000000000005</c:v>
                </c:pt>
                <c:pt idx="303">
                  <c:v>0.58999999999999986</c:v>
                </c:pt>
                <c:pt idx="304">
                  <c:v>0.58999999999999986</c:v>
                </c:pt>
                <c:pt idx="305">
                  <c:v>0.66999999999999993</c:v>
                </c:pt>
                <c:pt idx="306">
                  <c:v>0.5</c:v>
                </c:pt>
                <c:pt idx="307">
                  <c:v>0.55999999999999872</c:v>
                </c:pt>
                <c:pt idx="308">
                  <c:v>0.53000000000000114</c:v>
                </c:pt>
                <c:pt idx="309">
                  <c:v>0.75</c:v>
                </c:pt>
                <c:pt idx="310">
                  <c:v>0.84999999999999964</c:v>
                </c:pt>
                <c:pt idx="311">
                  <c:v>0.65000000000000036</c:v>
                </c:pt>
                <c:pt idx="312">
                  <c:v>0.70000000000000107</c:v>
                </c:pt>
                <c:pt idx="313">
                  <c:v>0.77999999999999936</c:v>
                </c:pt>
                <c:pt idx="314">
                  <c:v>1.1400000000000006</c:v>
                </c:pt>
                <c:pt idx="315">
                  <c:v>1.0399999999999991</c:v>
                </c:pt>
                <c:pt idx="316">
                  <c:v>0.91999999999999993</c:v>
                </c:pt>
                <c:pt idx="317">
                  <c:v>0.64000000000000057</c:v>
                </c:pt>
                <c:pt idx="318">
                  <c:v>0.75</c:v>
                </c:pt>
                <c:pt idx="319">
                  <c:v>0.26999999999999957</c:v>
                </c:pt>
                <c:pt idx="320">
                  <c:v>0.29000000000000092</c:v>
                </c:pt>
                <c:pt idx="321">
                  <c:v>0.33000000000000007</c:v>
                </c:pt>
                <c:pt idx="322">
                  <c:v>-3.9999999999999147E-2</c:v>
                </c:pt>
                <c:pt idx="323">
                  <c:v>-0.22000000000000064</c:v>
                </c:pt>
                <c:pt idx="324">
                  <c:v>-0.40000000000000036</c:v>
                </c:pt>
                <c:pt idx="325">
                  <c:v>-0.75</c:v>
                </c:pt>
                <c:pt idx="326">
                  <c:v>-1.1099999999999994</c:v>
                </c:pt>
                <c:pt idx="327">
                  <c:v>-0.82000000000000028</c:v>
                </c:pt>
                <c:pt idx="328">
                  <c:v>-0.75999999999999979</c:v>
                </c:pt>
                <c:pt idx="329">
                  <c:v>-0.58999999999999986</c:v>
                </c:pt>
                <c:pt idx="330">
                  <c:v>-0.43000000000000149</c:v>
                </c:pt>
                <c:pt idx="331">
                  <c:v>-1.0100000000000016</c:v>
                </c:pt>
                <c:pt idx="332">
                  <c:v>-0.60999999999999943</c:v>
                </c:pt>
                <c:pt idx="333">
                  <c:v>-0.70000000000000107</c:v>
                </c:pt>
                <c:pt idx="334">
                  <c:v>-1.1899999999999995</c:v>
                </c:pt>
                <c:pt idx="335">
                  <c:v>-1.1500000000000004</c:v>
                </c:pt>
                <c:pt idx="336">
                  <c:v>-0.77000000000000135</c:v>
                </c:pt>
                <c:pt idx="337">
                  <c:v>-1.4100000000000001</c:v>
                </c:pt>
                <c:pt idx="338">
                  <c:v>-1.5299999999999994</c:v>
                </c:pt>
                <c:pt idx="339">
                  <c:v>-1.3800000000000008</c:v>
                </c:pt>
                <c:pt idx="340">
                  <c:v>-1.4700000000000006</c:v>
                </c:pt>
                <c:pt idx="341">
                  <c:v>-1.1899999999999995</c:v>
                </c:pt>
                <c:pt idx="342">
                  <c:v>-1.120000000000001</c:v>
                </c:pt>
                <c:pt idx="343">
                  <c:v>-0.42999999999999972</c:v>
                </c:pt>
                <c:pt idx="344">
                  <c:v>0.11999999999999922</c:v>
                </c:pt>
                <c:pt idx="345">
                  <c:v>-6.0000000000000497E-2</c:v>
                </c:pt>
                <c:pt idx="346">
                  <c:v>-0.10000000000000142</c:v>
                </c:pt>
                <c:pt idx="347">
                  <c:v>-0.25999999999999979</c:v>
                </c:pt>
                <c:pt idx="348">
                  <c:v>0.13000000000000078</c:v>
                </c:pt>
                <c:pt idx="349">
                  <c:v>0.30000000000000071</c:v>
                </c:pt>
                <c:pt idx="350">
                  <c:v>0.30000000000000071</c:v>
                </c:pt>
                <c:pt idx="351">
                  <c:v>0.41000000000000014</c:v>
                </c:pt>
                <c:pt idx="352">
                  <c:v>0.62000000000000099</c:v>
                </c:pt>
                <c:pt idx="353">
                  <c:v>0.85999999999999943</c:v>
                </c:pt>
                <c:pt idx="354">
                  <c:v>0.76999999999999957</c:v>
                </c:pt>
                <c:pt idx="355">
                  <c:v>0.88000000000000078</c:v>
                </c:pt>
                <c:pt idx="356">
                  <c:v>0.94999999999999929</c:v>
                </c:pt>
                <c:pt idx="357">
                  <c:v>1.4399999999999995</c:v>
                </c:pt>
                <c:pt idx="358">
                  <c:v>1.29</c:v>
                </c:pt>
                <c:pt idx="359">
                  <c:v>1.3200000000000003</c:v>
                </c:pt>
                <c:pt idx="360">
                  <c:v>1.38</c:v>
                </c:pt>
                <c:pt idx="361">
                  <c:v>1.2500000000000009</c:v>
                </c:pt>
                <c:pt idx="362">
                  <c:v>1.0299999999999994</c:v>
                </c:pt>
                <c:pt idx="363">
                  <c:v>1.5299999999999994</c:v>
                </c:pt>
                <c:pt idx="364">
                  <c:v>2</c:v>
                </c:pt>
                <c:pt idx="365">
                  <c:v>2.2899999999999991</c:v>
                </c:pt>
                <c:pt idx="366">
                  <c:v>2.5100000000000007</c:v>
                </c:pt>
                <c:pt idx="367">
                  <c:v>2.59</c:v>
                </c:pt>
                <c:pt idx="368">
                  <c:v>1.4099999999999993</c:v>
                </c:pt>
                <c:pt idx="369">
                  <c:v>2.17</c:v>
                </c:pt>
                <c:pt idx="370">
                  <c:v>1.29</c:v>
                </c:pt>
                <c:pt idx="371">
                  <c:v>1.339999999999999</c:v>
                </c:pt>
                <c:pt idx="372">
                  <c:v>1.58</c:v>
                </c:pt>
                <c:pt idx="373">
                  <c:v>1.42</c:v>
                </c:pt>
                <c:pt idx="374">
                  <c:v>1.7299999999999995</c:v>
                </c:pt>
                <c:pt idx="375">
                  <c:v>1.6899999999999995</c:v>
                </c:pt>
                <c:pt idx="376">
                  <c:v>1.8199999999999994</c:v>
                </c:pt>
                <c:pt idx="377">
                  <c:v>2.0700000000000003</c:v>
                </c:pt>
                <c:pt idx="378">
                  <c:v>2.2800000000000002</c:v>
                </c:pt>
                <c:pt idx="379">
                  <c:v>1.9900000000000002</c:v>
                </c:pt>
                <c:pt idx="380">
                  <c:v>1.8099999999999996</c:v>
                </c:pt>
                <c:pt idx="381">
                  <c:v>2.1899999999999995</c:v>
                </c:pt>
                <c:pt idx="382">
                  <c:v>2.3900000000000006</c:v>
                </c:pt>
                <c:pt idx="383">
                  <c:v>2.5499999999999998</c:v>
                </c:pt>
                <c:pt idx="384">
                  <c:v>2.6800000000000006</c:v>
                </c:pt>
                <c:pt idx="385">
                  <c:v>2.4000000000000004</c:v>
                </c:pt>
                <c:pt idx="386">
                  <c:v>1.54</c:v>
                </c:pt>
                <c:pt idx="387">
                  <c:v>1.29</c:v>
                </c:pt>
                <c:pt idx="388">
                  <c:v>1.1500000000000004</c:v>
                </c:pt>
                <c:pt idx="389">
                  <c:v>0.95999999999999908</c:v>
                </c:pt>
                <c:pt idx="390">
                  <c:v>1.3100000000000005</c:v>
                </c:pt>
                <c:pt idx="391">
                  <c:v>1.4600000000000009</c:v>
                </c:pt>
                <c:pt idx="392">
                  <c:v>1.8099999999999987</c:v>
                </c:pt>
                <c:pt idx="393">
                  <c:v>1.7599999999999989</c:v>
                </c:pt>
                <c:pt idx="394">
                  <c:v>1.2599999999999998</c:v>
                </c:pt>
                <c:pt idx="395">
                  <c:v>0.30000000000000071</c:v>
                </c:pt>
                <c:pt idx="396">
                  <c:v>0.5600000000000005</c:v>
                </c:pt>
                <c:pt idx="397">
                  <c:v>0.75999999999999979</c:v>
                </c:pt>
                <c:pt idx="398">
                  <c:v>0.59999999999999964</c:v>
                </c:pt>
                <c:pt idx="399">
                  <c:v>0.70999999999999908</c:v>
                </c:pt>
                <c:pt idx="400">
                  <c:v>0.96999999999999975</c:v>
                </c:pt>
                <c:pt idx="401">
                  <c:v>1.2599999999999998</c:v>
                </c:pt>
                <c:pt idx="402">
                  <c:v>1.3399999999999999</c:v>
                </c:pt>
                <c:pt idx="403">
                  <c:v>1.2400000000000002</c:v>
                </c:pt>
                <c:pt idx="404">
                  <c:v>1.0399999999999991</c:v>
                </c:pt>
                <c:pt idx="405">
                  <c:v>1.0299999999999994</c:v>
                </c:pt>
                <c:pt idx="406">
                  <c:v>1.2800000000000002</c:v>
                </c:pt>
                <c:pt idx="407">
                  <c:v>1.4499999999999993</c:v>
                </c:pt>
                <c:pt idx="408">
                  <c:v>1.8699999999999992</c:v>
                </c:pt>
                <c:pt idx="409">
                  <c:v>1.9500000000000002</c:v>
                </c:pt>
                <c:pt idx="410">
                  <c:v>1.8100000000000005</c:v>
                </c:pt>
                <c:pt idx="411">
                  <c:v>2</c:v>
                </c:pt>
                <c:pt idx="412">
                  <c:v>1.87</c:v>
                </c:pt>
                <c:pt idx="413">
                  <c:v>1.9100000000000001</c:v>
                </c:pt>
                <c:pt idx="414">
                  <c:v>2.0300000000000002</c:v>
                </c:pt>
                <c:pt idx="415">
                  <c:v>2.2599999999999998</c:v>
                </c:pt>
                <c:pt idx="416">
                  <c:v>2.5200000000000005</c:v>
                </c:pt>
                <c:pt idx="417">
                  <c:v>2.4299999999999997</c:v>
                </c:pt>
                <c:pt idx="418">
                  <c:v>2.66</c:v>
                </c:pt>
                <c:pt idx="419">
                  <c:v>2.5299999999999994</c:v>
                </c:pt>
                <c:pt idx="420">
                  <c:v>2.79</c:v>
                </c:pt>
                <c:pt idx="421">
                  <c:v>2.5600000000000005</c:v>
                </c:pt>
                <c:pt idx="422">
                  <c:v>2.1799999999999997</c:v>
                </c:pt>
                <c:pt idx="423">
                  <c:v>1.9899999999999993</c:v>
                </c:pt>
                <c:pt idx="424">
                  <c:v>2.0700000000000003</c:v>
                </c:pt>
                <c:pt idx="425">
                  <c:v>2.0300000000000002</c:v>
                </c:pt>
                <c:pt idx="426">
                  <c:v>1.4500000000000002</c:v>
                </c:pt>
                <c:pt idx="427">
                  <c:v>1.7199999999999998</c:v>
                </c:pt>
                <c:pt idx="428">
                  <c:v>1.38</c:v>
                </c:pt>
                <c:pt idx="429">
                  <c:v>1.2699999999999996</c:v>
                </c:pt>
                <c:pt idx="430">
                  <c:v>0.96</c:v>
                </c:pt>
                <c:pt idx="431">
                  <c:v>0.58000000000000007</c:v>
                </c:pt>
                <c:pt idx="432">
                  <c:v>0.72999999999999954</c:v>
                </c:pt>
                <c:pt idx="433">
                  <c:v>0.50999999999999979</c:v>
                </c:pt>
                <c:pt idx="434">
                  <c:v>0.54</c:v>
                </c:pt>
                <c:pt idx="435">
                  <c:v>0.40999999999999925</c:v>
                </c:pt>
                <c:pt idx="436">
                  <c:v>0.32000000000000028</c:v>
                </c:pt>
                <c:pt idx="437">
                  <c:v>0.16999999999999993</c:v>
                </c:pt>
                <c:pt idx="438">
                  <c:v>0.19999999999999929</c:v>
                </c:pt>
                <c:pt idx="439">
                  <c:v>0.22000000000000064</c:v>
                </c:pt>
                <c:pt idx="440">
                  <c:v>0.28000000000000025</c:v>
                </c:pt>
                <c:pt idx="441">
                  <c:v>0.59999999999999964</c:v>
                </c:pt>
                <c:pt idx="442">
                  <c:v>0.29000000000000004</c:v>
                </c:pt>
                <c:pt idx="443">
                  <c:v>0.24000000000000021</c:v>
                </c:pt>
                <c:pt idx="444">
                  <c:v>0.25</c:v>
                </c:pt>
                <c:pt idx="445">
                  <c:v>0.16000000000000014</c:v>
                </c:pt>
                <c:pt idx="446">
                  <c:v>0.30000000000000071</c:v>
                </c:pt>
                <c:pt idx="447">
                  <c:v>0.47999999999999954</c:v>
                </c:pt>
                <c:pt idx="448">
                  <c:v>0.33000000000000007</c:v>
                </c:pt>
                <c:pt idx="449">
                  <c:v>0.41000000000000014</c:v>
                </c:pt>
                <c:pt idx="450">
                  <c:v>0.28000000000000025</c:v>
                </c:pt>
                <c:pt idx="451">
                  <c:v>0.29000000000000004</c:v>
                </c:pt>
                <c:pt idx="452">
                  <c:v>0.4399999999999995</c:v>
                </c:pt>
                <c:pt idx="453">
                  <c:v>0.34999999999999964</c:v>
                </c:pt>
                <c:pt idx="454">
                  <c:v>0.33999999999999986</c:v>
                </c:pt>
                <c:pt idx="455">
                  <c:v>0.38999999999999968</c:v>
                </c:pt>
                <c:pt idx="456">
                  <c:v>0.32000000000000028</c:v>
                </c:pt>
                <c:pt idx="457">
                  <c:v>-6.9999999999999396E-2</c:v>
                </c:pt>
                <c:pt idx="458">
                  <c:v>-9.9999999999999645E-2</c:v>
                </c:pt>
                <c:pt idx="459">
                  <c:v>-4.9999999999999822E-2</c:v>
                </c:pt>
                <c:pt idx="460">
                  <c:v>-0.3199999999999994</c:v>
                </c:pt>
                <c:pt idx="461">
                  <c:v>-0.15999999999999925</c:v>
                </c:pt>
                <c:pt idx="462">
                  <c:v>-0.15000000000000036</c:v>
                </c:pt>
                <c:pt idx="463">
                  <c:v>-0.11000000000000032</c:v>
                </c:pt>
                <c:pt idx="464">
                  <c:v>6.0000000000000497E-2</c:v>
                </c:pt>
                <c:pt idx="465">
                  <c:v>4.0000000000000036E-2</c:v>
                </c:pt>
                <c:pt idx="466">
                  <c:v>-4.0000000000000036E-2</c:v>
                </c:pt>
                <c:pt idx="467">
                  <c:v>0.29999999999999982</c:v>
                </c:pt>
                <c:pt idx="468">
                  <c:v>0.79999999999999982</c:v>
                </c:pt>
                <c:pt idx="469">
                  <c:v>0.79999999999999982</c:v>
                </c:pt>
                <c:pt idx="470">
                  <c:v>1.08</c:v>
                </c:pt>
                <c:pt idx="471">
                  <c:v>1.2300000000000004</c:v>
                </c:pt>
                <c:pt idx="472">
                  <c:v>1.1500000000000004</c:v>
                </c:pt>
                <c:pt idx="473">
                  <c:v>1.0699999999999994</c:v>
                </c:pt>
                <c:pt idx="474">
                  <c:v>1.2599999999999998</c:v>
                </c:pt>
                <c:pt idx="475">
                  <c:v>1.4500000000000002</c:v>
                </c:pt>
                <c:pt idx="476">
                  <c:v>2.2700000000000005</c:v>
                </c:pt>
                <c:pt idx="477">
                  <c:v>2.4400000000000004</c:v>
                </c:pt>
                <c:pt idx="478">
                  <c:v>2.37</c:v>
                </c:pt>
                <c:pt idx="479">
                  <c:v>2.4700000000000002</c:v>
                </c:pt>
                <c:pt idx="480">
                  <c:v>2.3899999999999997</c:v>
                </c:pt>
                <c:pt idx="481">
                  <c:v>2.34</c:v>
                </c:pt>
                <c:pt idx="482">
                  <c:v>1.7699999999999996</c:v>
                </c:pt>
                <c:pt idx="483">
                  <c:v>1.9699999999999998</c:v>
                </c:pt>
                <c:pt idx="484">
                  <c:v>1.8399999999999999</c:v>
                </c:pt>
                <c:pt idx="485">
                  <c:v>1.9700000000000006</c:v>
                </c:pt>
                <c:pt idx="486">
                  <c:v>2.39</c:v>
                </c:pt>
                <c:pt idx="487">
                  <c:v>2.0499999999999998</c:v>
                </c:pt>
                <c:pt idx="488">
                  <c:v>1.96</c:v>
                </c:pt>
                <c:pt idx="489">
                  <c:v>2.3100000000000005</c:v>
                </c:pt>
                <c:pt idx="490">
                  <c:v>2.1799999999999997</c:v>
                </c:pt>
                <c:pt idx="491">
                  <c:v>2.14</c:v>
                </c:pt>
                <c:pt idx="492">
                  <c:v>1.9000000000000004</c:v>
                </c:pt>
                <c:pt idx="493">
                  <c:v>1.9099999999999997</c:v>
                </c:pt>
                <c:pt idx="494">
                  <c:v>1.6699999999999995</c:v>
                </c:pt>
                <c:pt idx="495">
                  <c:v>1.7399999999999998</c:v>
                </c:pt>
                <c:pt idx="496">
                  <c:v>1.8099999999999996</c:v>
                </c:pt>
                <c:pt idx="497">
                  <c:v>1.9300000000000006</c:v>
                </c:pt>
                <c:pt idx="498">
                  <c:v>2.4799999999999995</c:v>
                </c:pt>
                <c:pt idx="499">
                  <c:v>2.2300000000000004</c:v>
                </c:pt>
                <c:pt idx="500">
                  <c:v>2.2400000000000002</c:v>
                </c:pt>
                <c:pt idx="501">
                  <c:v>2.27</c:v>
                </c:pt>
                <c:pt idx="502">
                  <c:v>2.14</c:v>
                </c:pt>
                <c:pt idx="503">
                  <c:v>2.1199999999999997</c:v>
                </c:pt>
                <c:pt idx="504">
                  <c:v>2.4400000000000004</c:v>
                </c:pt>
                <c:pt idx="505">
                  <c:v>2.5200000000000005</c:v>
                </c:pt>
                <c:pt idx="506">
                  <c:v>2.6000000000000005</c:v>
                </c:pt>
                <c:pt idx="507">
                  <c:v>2.5400000000000005</c:v>
                </c:pt>
                <c:pt idx="508">
                  <c:v>2.3200000000000003</c:v>
                </c:pt>
                <c:pt idx="509">
                  <c:v>2.1199999999999997</c:v>
                </c:pt>
                <c:pt idx="510">
                  <c:v>2.09</c:v>
                </c:pt>
                <c:pt idx="511">
                  <c:v>2.13</c:v>
                </c:pt>
                <c:pt idx="512">
                  <c:v>1.7999999999999994</c:v>
                </c:pt>
                <c:pt idx="513">
                  <c:v>1.7799999999999998</c:v>
                </c:pt>
                <c:pt idx="514">
                  <c:v>1.7400000000000002</c:v>
                </c:pt>
                <c:pt idx="515">
                  <c:v>1.8000000000000003</c:v>
                </c:pt>
                <c:pt idx="516">
                  <c:v>1.8600000000000003</c:v>
                </c:pt>
                <c:pt idx="517">
                  <c:v>1.7399999999999998</c:v>
                </c:pt>
                <c:pt idx="518">
                  <c:v>1.5</c:v>
                </c:pt>
                <c:pt idx="519">
                  <c:v>1.5799999999999996</c:v>
                </c:pt>
                <c:pt idx="520">
                  <c:v>1.5</c:v>
                </c:pt>
                <c:pt idx="521">
                  <c:v>1.4399999999999995</c:v>
                </c:pt>
                <c:pt idx="522">
                  <c:v>1.2899999999999996</c:v>
                </c:pt>
                <c:pt idx="523">
                  <c:v>1.1400000000000001</c:v>
                </c:pt>
                <c:pt idx="524">
                  <c:v>0.93000000000000016</c:v>
                </c:pt>
                <c:pt idx="525">
                  <c:v>0.79999999999999982</c:v>
                </c:pt>
                <c:pt idx="526">
                  <c:v>0.43000000000000016</c:v>
                </c:pt>
                <c:pt idx="527">
                  <c:v>0.24000000000000021</c:v>
                </c:pt>
                <c:pt idx="528">
                  <c:v>0.38999999999999968</c:v>
                </c:pt>
                <c:pt idx="529">
                  <c:v>0.25</c:v>
                </c:pt>
                <c:pt idx="530">
                  <c:v>0.25999999999999979</c:v>
                </c:pt>
                <c:pt idx="531">
                  <c:v>0.39999999999999947</c:v>
                </c:pt>
                <c:pt idx="532">
                  <c:v>0.29000000000000004</c:v>
                </c:pt>
                <c:pt idx="533">
                  <c:v>0.20000000000000018</c:v>
                </c:pt>
                <c:pt idx="534">
                  <c:v>0.25999999999999979</c:v>
                </c:pt>
                <c:pt idx="535">
                  <c:v>0.17999999999999972</c:v>
                </c:pt>
                <c:pt idx="536">
                  <c:v>0.16999999999999993</c:v>
                </c:pt>
                <c:pt idx="537">
                  <c:v>0.15000000000000036</c:v>
                </c:pt>
                <c:pt idx="538">
                  <c:v>0.11000000000000032</c:v>
                </c:pt>
                <c:pt idx="539">
                  <c:v>0.13000000000000034</c:v>
                </c:pt>
                <c:pt idx="540">
                  <c:v>0.13000000000000078</c:v>
                </c:pt>
                <c:pt idx="541">
                  <c:v>0.12999999999999945</c:v>
                </c:pt>
                <c:pt idx="542">
                  <c:v>0.20000000000000018</c:v>
                </c:pt>
                <c:pt idx="543">
                  <c:v>4.0000000000000036E-2</c:v>
                </c:pt>
                <c:pt idx="544">
                  <c:v>-0.12999999999999989</c:v>
                </c:pt>
                <c:pt idx="545">
                  <c:v>-7.0000000000000284E-2</c:v>
                </c:pt>
                <c:pt idx="546">
                  <c:v>-0.19000000000000039</c:v>
                </c:pt>
                <c:pt idx="547">
                  <c:v>0.16000000000000014</c:v>
                </c:pt>
                <c:pt idx="548">
                  <c:v>0.28000000000000025</c:v>
                </c:pt>
                <c:pt idx="549">
                  <c:v>0.16999999999999993</c:v>
                </c:pt>
                <c:pt idx="550">
                  <c:v>0.37999999999999989</c:v>
                </c:pt>
                <c:pt idx="551">
                  <c:v>0.26999999999999957</c:v>
                </c:pt>
                <c:pt idx="552">
                  <c:v>0.94999999999999973</c:v>
                </c:pt>
                <c:pt idx="553">
                  <c:v>1.0399999999999996</c:v>
                </c:pt>
                <c:pt idx="554">
                  <c:v>1.2800000000000002</c:v>
                </c:pt>
                <c:pt idx="555">
                  <c:v>1.2799999999999994</c:v>
                </c:pt>
                <c:pt idx="556">
                  <c:v>1.0200000000000005</c:v>
                </c:pt>
                <c:pt idx="557">
                  <c:v>0.80000000000000027</c:v>
                </c:pt>
                <c:pt idx="558">
                  <c:v>1.0799999999999996</c:v>
                </c:pt>
                <c:pt idx="559">
                  <c:v>1.2599999999999998</c:v>
                </c:pt>
                <c:pt idx="560">
                  <c:v>1.2099999999999995</c:v>
                </c:pt>
                <c:pt idx="561">
                  <c:v>2.1499999999999995</c:v>
                </c:pt>
                <c:pt idx="562">
                  <c:v>2.21</c:v>
                </c:pt>
                <c:pt idx="563">
                  <c:v>2.34</c:v>
                </c:pt>
                <c:pt idx="564">
                  <c:v>2.3500000000000005</c:v>
                </c:pt>
                <c:pt idx="565">
                  <c:v>2.4300000000000002</c:v>
                </c:pt>
                <c:pt idx="566">
                  <c:v>2.5299999999999998</c:v>
                </c:pt>
                <c:pt idx="567">
                  <c:v>2.92</c:v>
                </c:pt>
                <c:pt idx="568">
                  <c:v>3.0700000000000003</c:v>
                </c:pt>
                <c:pt idx="569">
                  <c:v>2.63</c:v>
                </c:pt>
                <c:pt idx="570">
                  <c:v>2.7699999999999996</c:v>
                </c:pt>
                <c:pt idx="571">
                  <c:v>2.76</c:v>
                </c:pt>
                <c:pt idx="572">
                  <c:v>2.5700000000000003</c:v>
                </c:pt>
                <c:pt idx="573">
                  <c:v>2.67</c:v>
                </c:pt>
                <c:pt idx="574">
                  <c:v>2.78</c:v>
                </c:pt>
                <c:pt idx="575">
                  <c:v>2.67</c:v>
                </c:pt>
                <c:pt idx="576">
                  <c:v>2.71</c:v>
                </c:pt>
                <c:pt idx="577">
                  <c:v>2.79</c:v>
                </c:pt>
                <c:pt idx="578">
                  <c:v>2.3600000000000003</c:v>
                </c:pt>
                <c:pt idx="579">
                  <c:v>2.1000000000000005</c:v>
                </c:pt>
                <c:pt idx="580">
                  <c:v>2.14</c:v>
                </c:pt>
                <c:pt idx="581">
                  <c:v>2.1399999999999997</c:v>
                </c:pt>
                <c:pt idx="582">
                  <c:v>2.16</c:v>
                </c:pt>
                <c:pt idx="583">
                  <c:v>2.1800000000000002</c:v>
                </c:pt>
                <c:pt idx="584">
                  <c:v>1.83</c:v>
                </c:pt>
                <c:pt idx="585">
                  <c:v>1.95</c:v>
                </c:pt>
                <c:pt idx="586">
                  <c:v>1.9000000000000001</c:v>
                </c:pt>
                <c:pt idx="587">
                  <c:v>1.8299999999999998</c:v>
                </c:pt>
                <c:pt idx="588">
                  <c:v>2.0700000000000003</c:v>
                </c:pt>
                <c:pt idx="589">
                  <c:v>2</c:v>
                </c:pt>
                <c:pt idx="590">
                  <c:v>1.9400000000000002</c:v>
                </c:pt>
                <c:pt idx="591">
                  <c:v>1.93</c:v>
                </c:pt>
                <c:pt idx="592">
                  <c:v>1.84</c:v>
                </c:pt>
                <c:pt idx="593">
                  <c:v>1.9200000000000002</c:v>
                </c:pt>
                <c:pt idx="594">
                  <c:v>1.8099999999999998</c:v>
                </c:pt>
                <c:pt idx="595">
                  <c:v>1.88</c:v>
                </c:pt>
                <c:pt idx="596">
                  <c:v>1.7900000000000003</c:v>
                </c:pt>
                <c:pt idx="597">
                  <c:v>1.82</c:v>
                </c:pt>
                <c:pt idx="598">
                  <c:v>1.5999999999999999</c:v>
                </c:pt>
                <c:pt idx="599">
                  <c:v>1.47</c:v>
                </c:pt>
                <c:pt idx="600">
                  <c:v>1.5199999999999998</c:v>
                </c:pt>
                <c:pt idx="601">
                  <c:v>1.3599999999999999</c:v>
                </c:pt>
                <c:pt idx="602">
                  <c:v>1.37</c:v>
                </c:pt>
                <c:pt idx="603">
                  <c:v>1.1299999999999999</c:v>
                </c:pt>
                <c:pt idx="604">
                  <c:v>1.1000000000000001</c:v>
                </c:pt>
                <c:pt idx="605">
                  <c:v>1.2400000000000002</c:v>
                </c:pt>
                <c:pt idx="606">
                  <c:v>1.1600000000000001</c:v>
                </c:pt>
                <c:pt idx="607">
                  <c:v>1.1199999999999999</c:v>
                </c:pt>
                <c:pt idx="608">
                  <c:v>1.1400000000000001</c:v>
                </c:pt>
                <c:pt idx="609">
                  <c:v>1.19</c:v>
                </c:pt>
                <c:pt idx="610">
                  <c:v>1.1000000000000001</c:v>
                </c:pt>
                <c:pt idx="611">
                  <c:v>1.1400000000000001</c:v>
                </c:pt>
                <c:pt idx="612">
                  <c:v>1.3000000000000003</c:v>
                </c:pt>
                <c:pt idx="613">
                  <c:v>1.37</c:v>
                </c:pt>
                <c:pt idx="614">
                  <c:v>1.3299999999999998</c:v>
                </c:pt>
                <c:pt idx="615">
                  <c:v>1.2</c:v>
                </c:pt>
                <c:pt idx="616">
                  <c:v>1.39</c:v>
                </c:pt>
                <c:pt idx="617">
                  <c:v>1.65</c:v>
                </c:pt>
                <c:pt idx="618">
                  <c:v>1.7</c:v>
                </c:pt>
                <c:pt idx="619">
                  <c:v>1.76</c:v>
                </c:pt>
                <c:pt idx="620">
                  <c:v>1.79</c:v>
                </c:pt>
                <c:pt idx="621">
                  <c:v>1.78</c:v>
                </c:pt>
                <c:pt idx="622">
                  <c:v>1.9399999999999997</c:v>
                </c:pt>
                <c:pt idx="623">
                  <c:v>1.9899999999999998</c:v>
                </c:pt>
                <c:pt idx="624">
                  <c:v>1.8199999999999998</c:v>
                </c:pt>
                <c:pt idx="625">
                  <c:v>1.7799999999999998</c:v>
                </c:pt>
                <c:pt idx="626">
                  <c:v>1.7599999999999998</c:v>
                </c:pt>
                <c:pt idx="627">
                  <c:v>1.7099999999999997</c:v>
                </c:pt>
                <c:pt idx="628">
                  <c:v>1.57</c:v>
                </c:pt>
                <c:pt idx="629">
                  <c:v>1.62</c:v>
                </c:pt>
                <c:pt idx="630">
                  <c:v>1.4999999999999998</c:v>
                </c:pt>
                <c:pt idx="631">
                  <c:v>1.3499999999999999</c:v>
                </c:pt>
                <c:pt idx="632">
                  <c:v>1.48</c:v>
                </c:pt>
                <c:pt idx="633">
                  <c:v>1.41</c:v>
                </c:pt>
                <c:pt idx="634">
                  <c:v>1.3399999999999999</c:v>
                </c:pt>
                <c:pt idx="635">
                  <c:v>1.2200000000000002</c:v>
                </c:pt>
                <c:pt idx="636">
                  <c:v>1.29</c:v>
                </c:pt>
                <c:pt idx="637">
                  <c:v>1.3</c:v>
                </c:pt>
                <c:pt idx="638">
                  <c:v>1.3</c:v>
                </c:pt>
                <c:pt idx="639">
                  <c:v>1.3399999999999999</c:v>
                </c:pt>
                <c:pt idx="640">
                  <c:v>1.44</c:v>
                </c:pt>
                <c:pt idx="641">
                  <c:v>1.7000000000000002</c:v>
                </c:pt>
                <c:pt idx="642">
                  <c:v>1.64</c:v>
                </c:pt>
                <c:pt idx="643">
                  <c:v>1.6800000000000002</c:v>
                </c:pt>
                <c:pt idx="644">
                  <c:v>1.5699999999999998</c:v>
                </c:pt>
                <c:pt idx="645">
                  <c:v>1.5899999999999999</c:v>
                </c:pt>
                <c:pt idx="646">
                  <c:v>1.5499999999999998</c:v>
                </c:pt>
                <c:pt idx="647">
                  <c:v>1.56</c:v>
                </c:pt>
                <c:pt idx="648">
                  <c:v>1.47</c:v>
                </c:pt>
                <c:pt idx="649">
                  <c:v>1.29</c:v>
                </c:pt>
                <c:pt idx="650">
                  <c:v>1.33</c:v>
                </c:pt>
                <c:pt idx="651">
                  <c:v>1.27</c:v>
                </c:pt>
                <c:pt idx="652">
                  <c:v>1.2400000000000002</c:v>
                </c:pt>
                <c:pt idx="653">
                  <c:v>1.1299999999999999</c:v>
                </c:pt>
                <c:pt idx="654">
                  <c:v>1.0300000000000002</c:v>
                </c:pt>
                <c:pt idx="655">
                  <c:v>0.96000000000000008</c:v>
                </c:pt>
                <c:pt idx="656">
                  <c:v>1.01</c:v>
                </c:pt>
                <c:pt idx="657">
                  <c:v>1.1199999999999999</c:v>
                </c:pt>
                <c:pt idx="658">
                  <c:v>1.37</c:v>
                </c:pt>
                <c:pt idx="659">
                  <c:v>1.4800000000000002</c:v>
                </c:pt>
                <c:pt idx="660">
                  <c:v>1.5799999999999998</c:v>
                </c:pt>
                <c:pt idx="661">
                  <c:v>1.54</c:v>
                </c:pt>
                <c:pt idx="662">
                  <c:v>1.4100000000000001</c:v>
                </c:pt>
                <c:pt idx="663">
                  <c:v>1.2899999999999998</c:v>
                </c:pt>
                <c:pt idx="664">
                  <c:v>1.1800000000000002</c:v>
                </c:pt>
                <c:pt idx="665">
                  <c:v>0.94</c:v>
                </c:pt>
                <c:pt idx="666">
                  <c:v>1.02</c:v>
                </c:pt>
                <c:pt idx="667">
                  <c:v>0.97</c:v>
                </c:pt>
                <c:pt idx="668">
                  <c:v>0.84999999999999987</c:v>
                </c:pt>
                <c:pt idx="669">
                  <c:v>0.87999999999999989</c:v>
                </c:pt>
                <c:pt idx="670">
                  <c:v>0.75000000000000022</c:v>
                </c:pt>
                <c:pt idx="671">
                  <c:v>0.51</c:v>
                </c:pt>
                <c:pt idx="672">
                  <c:v>0.56000000000000005</c:v>
                </c:pt>
                <c:pt idx="673">
                  <c:v>0.6100000000000001</c:v>
                </c:pt>
                <c:pt idx="674">
                  <c:v>0.43000000000000016</c:v>
                </c:pt>
                <c:pt idx="675">
                  <c:v>0.57000000000000028</c:v>
                </c:pt>
                <c:pt idx="676">
                  <c:v>0.39999999999999991</c:v>
                </c:pt>
                <c:pt idx="677">
                  <c:v>0.37999999999999989</c:v>
                </c:pt>
                <c:pt idx="678">
                  <c:v>0.29000000000000004</c:v>
                </c:pt>
                <c:pt idx="679">
                  <c:v>0.2200000000000002</c:v>
                </c:pt>
                <c:pt idx="680">
                  <c:v>0.25</c:v>
                </c:pt>
                <c:pt idx="681">
                  <c:v>0.22999999999999998</c:v>
                </c:pt>
                <c:pt idx="682">
                  <c:v>0.20000000000000018</c:v>
                </c:pt>
                <c:pt idx="683">
                  <c:v>0.2200000000000002</c:v>
                </c:pt>
                <c:pt idx="684">
                  <c:v>0.29999999999999982</c:v>
                </c:pt>
              </c:numCache>
            </c:numRef>
          </c:val>
          <c:smooth val="0"/>
          <c:extLst>
            <c:ext xmlns:c16="http://schemas.microsoft.com/office/drawing/2014/chart" uri="{C3380CC4-5D6E-409C-BE32-E72D297353CC}">
              <c16:uniqueId val="{00000001-742F-4BF2-AB1F-C86E0861773A}"/>
            </c:ext>
          </c:extLst>
        </c:ser>
        <c:ser>
          <c:idx val="1"/>
          <c:order val="1"/>
          <c:tx>
            <c:strRef>
              <c:f>Sheet1!$X$4</c:f>
              <c:strCache>
                <c:ptCount val="1"/>
                <c:pt idx="0">
                  <c:v>10+ year to 3-month spread </c:v>
                </c:pt>
              </c:strCache>
            </c:strRef>
          </c:tx>
          <c:spPr>
            <a:ln w="12700" cap="rnd">
              <a:solidFill>
                <a:srgbClr val="C00000"/>
              </a:solidFill>
              <a:prstDash val="sysDash"/>
              <a:round/>
            </a:ln>
            <a:effectLst/>
          </c:spPr>
          <c:marker>
            <c:symbol val="none"/>
          </c:marker>
          <c:cat>
            <c:numRef>
              <c:f>Sheet1!$V$5:$V$689</c:f>
              <c:numCache>
                <c:formatCode>General</c:formatCode>
                <c:ptCount val="685"/>
                <c:pt idx="0">
                  <c:v>1962</c:v>
                </c:pt>
                <c:pt idx="12">
                  <c:v>1963</c:v>
                </c:pt>
                <c:pt idx="24">
                  <c:v>1964</c:v>
                </c:pt>
                <c:pt idx="36">
                  <c:v>1965</c:v>
                </c:pt>
                <c:pt idx="48">
                  <c:v>1966</c:v>
                </c:pt>
                <c:pt idx="60">
                  <c:v>1967</c:v>
                </c:pt>
                <c:pt idx="72">
                  <c:v>1968</c:v>
                </c:pt>
                <c:pt idx="84">
                  <c:v>1969</c:v>
                </c:pt>
                <c:pt idx="96">
                  <c:v>1970</c:v>
                </c:pt>
                <c:pt idx="108">
                  <c:v>1971</c:v>
                </c:pt>
                <c:pt idx="120">
                  <c:v>1972</c:v>
                </c:pt>
                <c:pt idx="132">
                  <c:v>1973</c:v>
                </c:pt>
                <c:pt idx="144">
                  <c:v>1974</c:v>
                </c:pt>
                <c:pt idx="156">
                  <c:v>1975</c:v>
                </c:pt>
                <c:pt idx="168">
                  <c:v>1976</c:v>
                </c:pt>
                <c:pt idx="180">
                  <c:v>1977</c:v>
                </c:pt>
                <c:pt idx="192">
                  <c:v>1978</c:v>
                </c:pt>
                <c:pt idx="204">
                  <c:v>1979</c:v>
                </c:pt>
                <c:pt idx="216">
                  <c:v>1980</c:v>
                </c:pt>
                <c:pt idx="228">
                  <c:v>1981</c:v>
                </c:pt>
                <c:pt idx="240">
                  <c:v>1982</c:v>
                </c:pt>
                <c:pt idx="252">
                  <c:v>1983</c:v>
                </c:pt>
                <c:pt idx="264">
                  <c:v>1984</c:v>
                </c:pt>
                <c:pt idx="276">
                  <c:v>1985</c:v>
                </c:pt>
                <c:pt idx="288">
                  <c:v>1986</c:v>
                </c:pt>
                <c:pt idx="300">
                  <c:v>1987</c:v>
                </c:pt>
                <c:pt idx="312">
                  <c:v>1988</c:v>
                </c:pt>
                <c:pt idx="324">
                  <c:v>1989</c:v>
                </c:pt>
                <c:pt idx="336">
                  <c:v>1990</c:v>
                </c:pt>
                <c:pt idx="348">
                  <c:v>1991</c:v>
                </c:pt>
                <c:pt idx="360">
                  <c:v>1992</c:v>
                </c:pt>
                <c:pt idx="372">
                  <c:v>1993</c:v>
                </c:pt>
                <c:pt idx="384">
                  <c:v>1994</c:v>
                </c:pt>
                <c:pt idx="396">
                  <c:v>1995</c:v>
                </c:pt>
                <c:pt idx="408">
                  <c:v>1996</c:v>
                </c:pt>
                <c:pt idx="420">
                  <c:v>1997</c:v>
                </c:pt>
                <c:pt idx="432">
                  <c:v>1998</c:v>
                </c:pt>
                <c:pt idx="444">
                  <c:v>1999</c:v>
                </c:pt>
                <c:pt idx="456">
                  <c:v>2000</c:v>
                </c:pt>
                <c:pt idx="468">
                  <c:v>2001</c:v>
                </c:pt>
                <c:pt idx="480">
                  <c:v>2002</c:v>
                </c:pt>
                <c:pt idx="492">
                  <c:v>2003</c:v>
                </c:pt>
                <c:pt idx="504">
                  <c:v>2004</c:v>
                </c:pt>
                <c:pt idx="516">
                  <c:v>2005</c:v>
                </c:pt>
                <c:pt idx="528">
                  <c:v>2006</c:v>
                </c:pt>
                <c:pt idx="540">
                  <c:v>2007</c:v>
                </c:pt>
                <c:pt idx="552">
                  <c:v>2008</c:v>
                </c:pt>
                <c:pt idx="564">
                  <c:v>2009</c:v>
                </c:pt>
                <c:pt idx="576">
                  <c:v>2010</c:v>
                </c:pt>
                <c:pt idx="588">
                  <c:v>2011</c:v>
                </c:pt>
                <c:pt idx="600">
                  <c:v>2012</c:v>
                </c:pt>
                <c:pt idx="612">
                  <c:v>2013</c:v>
                </c:pt>
                <c:pt idx="624">
                  <c:v>2014</c:v>
                </c:pt>
                <c:pt idx="636">
                  <c:v>2015</c:v>
                </c:pt>
                <c:pt idx="648">
                  <c:v>2016</c:v>
                </c:pt>
                <c:pt idx="660">
                  <c:v>2017</c:v>
                </c:pt>
                <c:pt idx="672">
                  <c:v>2018</c:v>
                </c:pt>
                <c:pt idx="684">
                  <c:v>2019</c:v>
                </c:pt>
              </c:numCache>
            </c:numRef>
          </c:cat>
          <c:val>
            <c:numRef>
              <c:f>Sheet1!$X$5:$X$689</c:f>
              <c:numCache>
                <c:formatCode>General</c:formatCode>
                <c:ptCount val="685"/>
                <c:pt idx="0">
                  <c:v>1.9</c:v>
                </c:pt>
                <c:pt idx="1">
                  <c:v>1.8500000000000005</c:v>
                </c:pt>
                <c:pt idx="2">
                  <c:v>1.7500000000000004</c:v>
                </c:pt>
                <c:pt idx="3">
                  <c:v>1.7200000000000002</c:v>
                </c:pt>
                <c:pt idx="4">
                  <c:v>1.6700000000000004</c:v>
                </c:pt>
                <c:pt idx="5">
                  <c:v>1.0599999999999996</c:v>
                </c:pt>
                <c:pt idx="6">
                  <c:v>7.0000000000000284E-2</c:v>
                </c:pt>
                <c:pt idx="7">
                  <c:v>0.28000000000000025</c:v>
                </c:pt>
                <c:pt idx="8">
                  <c:v>0.37000000000000011</c:v>
                </c:pt>
                <c:pt idx="9">
                  <c:v>0.59000000000000075</c:v>
                </c:pt>
                <c:pt idx="10">
                  <c:v>1.2200000000000002</c:v>
                </c:pt>
                <c:pt idx="11">
                  <c:v>1.2599999999999998</c:v>
                </c:pt>
                <c:pt idx="12">
                  <c:v>1.2199999999999998</c:v>
                </c:pt>
                <c:pt idx="13">
                  <c:v>1.4600000000000004</c:v>
                </c:pt>
                <c:pt idx="14">
                  <c:v>1.4699999999999998</c:v>
                </c:pt>
                <c:pt idx="15">
                  <c:v>1.4</c:v>
                </c:pt>
                <c:pt idx="16">
                  <c:v>1.5700000000000003</c:v>
                </c:pt>
                <c:pt idx="17">
                  <c:v>1.7399999999999998</c:v>
                </c:pt>
                <c:pt idx="18">
                  <c:v>1.75</c:v>
                </c:pt>
                <c:pt idx="19">
                  <c:v>1.6800000000000002</c:v>
                </c:pt>
                <c:pt idx="20">
                  <c:v>1.4200000000000004</c:v>
                </c:pt>
                <c:pt idx="21">
                  <c:v>1.54</c:v>
                </c:pt>
                <c:pt idx="22">
                  <c:v>1.5300000000000002</c:v>
                </c:pt>
                <c:pt idx="23">
                  <c:v>1.4899999999999998</c:v>
                </c:pt>
                <c:pt idx="24">
                  <c:v>1.4100000000000001</c:v>
                </c:pt>
                <c:pt idx="25">
                  <c:v>1.37</c:v>
                </c:pt>
                <c:pt idx="26">
                  <c:v>1.38</c:v>
                </c:pt>
                <c:pt idx="27">
                  <c:v>1.5</c:v>
                </c:pt>
                <c:pt idx="28">
                  <c:v>1.5499999999999998</c:v>
                </c:pt>
                <c:pt idx="29">
                  <c:v>1.6600000000000001</c:v>
                </c:pt>
                <c:pt idx="30">
                  <c:v>1.63</c:v>
                </c:pt>
                <c:pt idx="31">
                  <c:v>1.4500000000000006</c:v>
                </c:pt>
                <c:pt idx="32">
                  <c:v>1.4100000000000001</c:v>
                </c:pt>
                <c:pt idx="33">
                  <c:v>1.46</c:v>
                </c:pt>
                <c:pt idx="34">
                  <c:v>1.3900000000000001</c:v>
                </c:pt>
                <c:pt idx="35">
                  <c:v>1.1900000000000004</c:v>
                </c:pt>
                <c:pt idx="36">
                  <c:v>1.1800000000000002</c:v>
                </c:pt>
                <c:pt idx="37">
                  <c:v>1.3200000000000003</c:v>
                </c:pt>
                <c:pt idx="38">
                  <c:v>1.3599999999999994</c:v>
                </c:pt>
                <c:pt idx="39">
                  <c:v>1.3899999999999997</c:v>
                </c:pt>
                <c:pt idx="40">
                  <c:v>1.2800000000000002</c:v>
                </c:pt>
                <c:pt idx="41">
                  <c:v>1.21</c:v>
                </c:pt>
                <c:pt idx="42">
                  <c:v>1.3000000000000003</c:v>
                </c:pt>
                <c:pt idx="43">
                  <c:v>1.2699999999999996</c:v>
                </c:pt>
                <c:pt idx="44">
                  <c:v>1.2200000000000006</c:v>
                </c:pt>
                <c:pt idx="45">
                  <c:v>1.2199999999999998</c:v>
                </c:pt>
                <c:pt idx="46">
                  <c:v>1.2200000000000006</c:v>
                </c:pt>
                <c:pt idx="47">
                  <c:v>0.96</c:v>
                </c:pt>
                <c:pt idx="48">
                  <c:v>0.8100000000000005</c:v>
                </c:pt>
                <c:pt idx="49">
                  <c:v>0.95000000000000018</c:v>
                </c:pt>
                <c:pt idx="50">
                  <c:v>0.74000000000000021</c:v>
                </c:pt>
                <c:pt idx="51">
                  <c:v>0.51999999999999957</c:v>
                </c:pt>
                <c:pt idx="52">
                  <c:v>0.52000000000000046</c:v>
                </c:pt>
                <c:pt idx="53">
                  <c:v>0.61000000000000032</c:v>
                </c:pt>
                <c:pt idx="54">
                  <c:v>0.6800000000000006</c:v>
                </c:pt>
                <c:pt idx="55">
                  <c:v>0.89000000000000057</c:v>
                </c:pt>
                <c:pt idx="56">
                  <c:v>0.73000000000000043</c:v>
                </c:pt>
                <c:pt idx="57">
                  <c:v>0.59999999999999964</c:v>
                </c:pt>
                <c:pt idx="58">
                  <c:v>0.71</c:v>
                </c:pt>
                <c:pt idx="59">
                  <c:v>0.6899999999999995</c:v>
                </c:pt>
                <c:pt idx="60">
                  <c:v>0.76999999999999957</c:v>
                </c:pt>
                <c:pt idx="61">
                  <c:v>1.04</c:v>
                </c:pt>
                <c:pt idx="62">
                  <c:v>1.2100000000000009</c:v>
                </c:pt>
                <c:pt idx="63">
                  <c:v>1.5599999999999996</c:v>
                </c:pt>
                <c:pt idx="64">
                  <c:v>1.5999999999999996</c:v>
                </c:pt>
                <c:pt idx="65">
                  <c:v>1.5300000000000002</c:v>
                </c:pt>
                <c:pt idx="66">
                  <c:v>1.6100000000000003</c:v>
                </c:pt>
                <c:pt idx="67">
                  <c:v>1.6600000000000001</c:v>
                </c:pt>
                <c:pt idx="68">
                  <c:v>1.71</c:v>
                </c:pt>
                <c:pt idx="69">
                  <c:v>1.4500000000000002</c:v>
                </c:pt>
                <c:pt idx="70">
                  <c:v>1.2700000000000005</c:v>
                </c:pt>
                <c:pt idx="71">
                  <c:v>0.79</c:v>
                </c:pt>
                <c:pt idx="72">
                  <c:v>0.54999999999999982</c:v>
                </c:pt>
                <c:pt idx="73">
                  <c:v>0.10999999999999943</c:v>
                </c:pt>
                <c:pt idx="74">
                  <c:v>-9.9999999999997868E-3</c:v>
                </c:pt>
                <c:pt idx="75">
                  <c:v>-0.29000000000000004</c:v>
                </c:pt>
                <c:pt idx="76">
                  <c:v>1.9999999999999574E-2</c:v>
                </c:pt>
                <c:pt idx="77">
                  <c:v>-0.14999999999999947</c:v>
                </c:pt>
                <c:pt idx="78">
                  <c:v>0.25999999999999979</c:v>
                </c:pt>
                <c:pt idx="79">
                  <c:v>0.62999999999999989</c:v>
                </c:pt>
                <c:pt idx="80">
                  <c:v>1.0099999999999998</c:v>
                </c:pt>
                <c:pt idx="81">
                  <c:v>1.2000000000000002</c:v>
                </c:pt>
                <c:pt idx="82">
                  <c:v>1.3200000000000003</c:v>
                </c:pt>
                <c:pt idx="83">
                  <c:v>1.3999999999999995</c:v>
                </c:pt>
                <c:pt idx="84">
                  <c:v>0.78000000000000025</c:v>
                </c:pt>
                <c:pt idx="85">
                  <c:v>0.91000000000000014</c:v>
                </c:pt>
                <c:pt idx="86">
                  <c:v>0.60999999999999943</c:v>
                </c:pt>
                <c:pt idx="87">
                  <c:v>0.62000000000000011</c:v>
                </c:pt>
                <c:pt idx="88">
                  <c:v>0.73000000000000043</c:v>
                </c:pt>
                <c:pt idx="89">
                  <c:v>0.50999999999999979</c:v>
                </c:pt>
                <c:pt idx="90">
                  <c:v>7.9999999999999183E-2</c:v>
                </c:pt>
                <c:pt idx="91">
                  <c:v>-9.9999999999999645E-2</c:v>
                </c:pt>
                <c:pt idx="92">
                  <c:v>6.9999999999999396E-2</c:v>
                </c:pt>
                <c:pt idx="93">
                  <c:v>0.14000000000000057</c:v>
                </c:pt>
                <c:pt idx="94">
                  <c:v>0.45999999999999996</c:v>
                </c:pt>
                <c:pt idx="95">
                  <c:v>0.5600000000000005</c:v>
                </c:pt>
                <c:pt idx="96">
                  <c:v>0.50000000000000089</c:v>
                </c:pt>
                <c:pt idx="97">
                  <c:v>0.41000000000000103</c:v>
                </c:pt>
                <c:pt idx="98">
                  <c:v>0.54</c:v>
                </c:pt>
                <c:pt idx="99">
                  <c:v>1.2299999999999995</c:v>
                </c:pt>
                <c:pt idx="100">
                  <c:v>1.6600000000000001</c:v>
                </c:pt>
                <c:pt idx="101">
                  <c:v>2.16</c:v>
                </c:pt>
                <c:pt idx="102">
                  <c:v>2.1400000000000006</c:v>
                </c:pt>
                <c:pt idx="103">
                  <c:v>2.3200000000000003</c:v>
                </c:pt>
                <c:pt idx="104">
                  <c:v>2.42</c:v>
                </c:pt>
                <c:pt idx="105">
                  <c:v>2.6400000000000006</c:v>
                </c:pt>
                <c:pt idx="106">
                  <c:v>2.6799999999999997</c:v>
                </c:pt>
                <c:pt idx="107">
                  <c:v>2.5300000000000002</c:v>
                </c:pt>
                <c:pt idx="108">
                  <c:v>2.09</c:v>
                </c:pt>
                <c:pt idx="109">
                  <c:v>2.2299999999999995</c:v>
                </c:pt>
                <c:pt idx="110">
                  <c:v>3.3899999999999997</c:v>
                </c:pt>
                <c:pt idx="111">
                  <c:v>3.9</c:v>
                </c:pt>
                <c:pt idx="112">
                  <c:v>4.33</c:v>
                </c:pt>
                <c:pt idx="113">
                  <c:v>4.1899999999999995</c:v>
                </c:pt>
                <c:pt idx="114">
                  <c:v>3.95</c:v>
                </c:pt>
                <c:pt idx="115">
                  <c:v>3.2800000000000002</c:v>
                </c:pt>
                <c:pt idx="116">
                  <c:v>3.07</c:v>
                </c:pt>
                <c:pt idx="117">
                  <c:v>2.86</c:v>
                </c:pt>
                <c:pt idx="118">
                  <c:v>3.2299999999999995</c:v>
                </c:pt>
                <c:pt idx="119">
                  <c:v>3.3099999999999996</c:v>
                </c:pt>
                <c:pt idx="120">
                  <c:v>3.4500000000000006</c:v>
                </c:pt>
                <c:pt idx="121">
                  <c:v>3.4200000000000004</c:v>
                </c:pt>
                <c:pt idx="122">
                  <c:v>3.74</c:v>
                </c:pt>
                <c:pt idx="123">
                  <c:v>3.6299999999999994</c:v>
                </c:pt>
                <c:pt idx="124">
                  <c:v>3.67</c:v>
                </c:pt>
                <c:pt idx="125">
                  <c:v>3.83</c:v>
                </c:pt>
                <c:pt idx="126">
                  <c:v>4</c:v>
                </c:pt>
                <c:pt idx="127">
                  <c:v>3.9800000000000004</c:v>
                </c:pt>
                <c:pt idx="128">
                  <c:v>3.9</c:v>
                </c:pt>
                <c:pt idx="129">
                  <c:v>3.69</c:v>
                </c:pt>
                <c:pt idx="130">
                  <c:v>3.47</c:v>
                </c:pt>
                <c:pt idx="131">
                  <c:v>3.44</c:v>
                </c:pt>
                <c:pt idx="132">
                  <c:v>3.3800000000000003</c:v>
                </c:pt>
                <c:pt idx="133">
                  <c:v>3.28</c:v>
                </c:pt>
                <c:pt idx="134">
                  <c:v>3.04</c:v>
                </c:pt>
                <c:pt idx="135">
                  <c:v>2.6799999999999997</c:v>
                </c:pt>
                <c:pt idx="136">
                  <c:v>2.6099999999999994</c:v>
                </c:pt>
                <c:pt idx="137">
                  <c:v>2.38</c:v>
                </c:pt>
                <c:pt idx="138">
                  <c:v>2.08</c:v>
                </c:pt>
                <c:pt idx="139">
                  <c:v>1.8100000000000005</c:v>
                </c:pt>
                <c:pt idx="140">
                  <c:v>1.3399999999999999</c:v>
                </c:pt>
                <c:pt idx="141">
                  <c:v>1.1099999999999994</c:v>
                </c:pt>
                <c:pt idx="142">
                  <c:v>1.1799999999999997</c:v>
                </c:pt>
                <c:pt idx="143">
                  <c:v>1.3200000000000003</c:v>
                </c:pt>
                <c:pt idx="144">
                  <c:v>1.46</c:v>
                </c:pt>
                <c:pt idx="145">
                  <c:v>1.6000000000000005</c:v>
                </c:pt>
                <c:pt idx="146">
                  <c:v>1.9399999999999995</c:v>
                </c:pt>
                <c:pt idx="147">
                  <c:v>1.5700000000000003</c:v>
                </c:pt>
                <c:pt idx="148">
                  <c:v>0.63000000000000078</c:v>
                </c:pt>
                <c:pt idx="149">
                  <c:v>0.80000000000000071</c:v>
                </c:pt>
                <c:pt idx="150">
                  <c:v>0.75</c:v>
                </c:pt>
                <c:pt idx="151">
                  <c:v>0.74000000000000021</c:v>
                </c:pt>
                <c:pt idx="152">
                  <c:v>0.64000000000000057</c:v>
                </c:pt>
                <c:pt idx="153">
                  <c:v>0.55999999999999872</c:v>
                </c:pt>
                <c:pt idx="154">
                  <c:v>1.0399999999999991</c:v>
                </c:pt>
                <c:pt idx="155">
                  <c:v>1.4499999999999993</c:v>
                </c:pt>
                <c:pt idx="156">
                  <c:v>1.6500000000000004</c:v>
                </c:pt>
                <c:pt idx="157">
                  <c:v>1.8200000000000003</c:v>
                </c:pt>
                <c:pt idx="158">
                  <c:v>2.1900000000000004</c:v>
                </c:pt>
                <c:pt idx="159">
                  <c:v>2.5499999999999989</c:v>
                </c:pt>
                <c:pt idx="160">
                  <c:v>1.7900000000000009</c:v>
                </c:pt>
                <c:pt idx="161">
                  <c:v>1.9300000000000006</c:v>
                </c:pt>
                <c:pt idx="162">
                  <c:v>2.12</c:v>
                </c:pt>
                <c:pt idx="163">
                  <c:v>1.6800000000000006</c:v>
                </c:pt>
                <c:pt idx="164">
                  <c:v>1.3399999999999999</c:v>
                </c:pt>
                <c:pt idx="165">
                  <c:v>1.0099999999999998</c:v>
                </c:pt>
                <c:pt idx="166">
                  <c:v>1.1600000000000001</c:v>
                </c:pt>
                <c:pt idx="167">
                  <c:v>0.92999999999999972</c:v>
                </c:pt>
                <c:pt idx="168">
                  <c:v>0.69999999999999929</c:v>
                </c:pt>
                <c:pt idx="169">
                  <c:v>0.58000000000000007</c:v>
                </c:pt>
                <c:pt idx="170">
                  <c:v>0.36000000000000121</c:v>
                </c:pt>
                <c:pt idx="171">
                  <c:v>0.36999999999999922</c:v>
                </c:pt>
                <c:pt idx="172">
                  <c:v>0.38000000000000078</c:v>
                </c:pt>
                <c:pt idx="173">
                  <c:v>0.36999999999999922</c:v>
                </c:pt>
                <c:pt idx="174">
                  <c:v>0.35999999999999943</c:v>
                </c:pt>
                <c:pt idx="175">
                  <c:v>0.12000000000000099</c:v>
                </c:pt>
                <c:pt idx="176">
                  <c:v>5.0000000000000711E-2</c:v>
                </c:pt>
                <c:pt idx="177">
                  <c:v>1.9999999999999574E-2</c:v>
                </c:pt>
                <c:pt idx="178">
                  <c:v>-4.9999999999998934E-2</c:v>
                </c:pt>
                <c:pt idx="179">
                  <c:v>9.9999999999997868E-3</c:v>
                </c:pt>
                <c:pt idx="180">
                  <c:v>0.4399999999999995</c:v>
                </c:pt>
                <c:pt idx="181">
                  <c:v>0.90999999999999925</c:v>
                </c:pt>
                <c:pt idx="182">
                  <c:v>1.1900000000000004</c:v>
                </c:pt>
                <c:pt idx="183">
                  <c:v>1.2999999999999998</c:v>
                </c:pt>
                <c:pt idx="184">
                  <c:v>1.4699999999999998</c:v>
                </c:pt>
                <c:pt idx="185">
                  <c:v>1.6500000000000004</c:v>
                </c:pt>
                <c:pt idx="186">
                  <c:v>1.5799999999999992</c:v>
                </c:pt>
                <c:pt idx="187">
                  <c:v>1.4000000000000004</c:v>
                </c:pt>
                <c:pt idx="188">
                  <c:v>1.4999999999999991</c:v>
                </c:pt>
                <c:pt idx="189">
                  <c:v>1.5199999999999996</c:v>
                </c:pt>
                <c:pt idx="190">
                  <c:v>1.4800000000000004</c:v>
                </c:pt>
                <c:pt idx="191">
                  <c:v>1.5699999999999994</c:v>
                </c:pt>
                <c:pt idx="192">
                  <c:v>1.9100000000000001</c:v>
                </c:pt>
                <c:pt idx="193">
                  <c:v>1.9000000000000004</c:v>
                </c:pt>
                <c:pt idx="194">
                  <c:v>1.5700000000000003</c:v>
                </c:pt>
                <c:pt idx="195">
                  <c:v>1.0700000000000003</c:v>
                </c:pt>
                <c:pt idx="196">
                  <c:v>1.0999999999999996</c:v>
                </c:pt>
                <c:pt idx="197">
                  <c:v>0.99000000000000021</c:v>
                </c:pt>
                <c:pt idx="198">
                  <c:v>0.75999999999999979</c:v>
                </c:pt>
                <c:pt idx="199">
                  <c:v>0.38000000000000078</c:v>
                </c:pt>
                <c:pt idx="200">
                  <c:v>0.15000000000000036</c:v>
                </c:pt>
                <c:pt idx="201">
                  <c:v>-8.0000000000000071E-2</c:v>
                </c:pt>
                <c:pt idx="202">
                  <c:v>-0.76000000000000156</c:v>
                </c:pt>
                <c:pt idx="203">
                  <c:v>-0.73000000000000043</c:v>
                </c:pt>
                <c:pt idx="204">
                  <c:v>-0.9399999999999995</c:v>
                </c:pt>
                <c:pt idx="205">
                  <c:v>-0.81999999999999851</c:v>
                </c:pt>
                <c:pt idx="206">
                  <c:v>-0.98000000000000043</c:v>
                </c:pt>
                <c:pt idx="207">
                  <c:v>-1.1899999999999995</c:v>
                </c:pt>
                <c:pt idx="208">
                  <c:v>-1.17</c:v>
                </c:pt>
                <c:pt idx="209">
                  <c:v>-1.1199999999999992</c:v>
                </c:pt>
                <c:pt idx="210">
                  <c:v>-1.1400000000000006</c:v>
                </c:pt>
                <c:pt idx="211">
                  <c:v>-1.1799999999999997</c:v>
                </c:pt>
                <c:pt idx="212">
                  <c:v>-1.2199999999999989</c:v>
                </c:pt>
                <c:pt idx="213">
                  <c:v>-1.5099999999999998</c:v>
                </c:pt>
                <c:pt idx="214">
                  <c:v>-2.7000000000000011</c:v>
                </c:pt>
                <c:pt idx="215">
                  <c:v>-2.2999999999999989</c:v>
                </c:pt>
                <c:pt idx="216">
                  <c:v>-1.3999999999999986</c:v>
                </c:pt>
                <c:pt idx="217">
                  <c:v>-0.66999999999999993</c:v>
                </c:pt>
                <c:pt idx="218">
                  <c:v>-0.88000000000000078</c:v>
                </c:pt>
                <c:pt idx="219">
                  <c:v>-3.7000000000000011</c:v>
                </c:pt>
                <c:pt idx="220">
                  <c:v>-1.5299999999999994</c:v>
                </c:pt>
                <c:pt idx="221">
                  <c:v>0.37999999999999901</c:v>
                </c:pt>
                <c:pt idx="222">
                  <c:v>2.16</c:v>
                </c:pt>
                <c:pt idx="223">
                  <c:v>2.1300000000000008</c:v>
                </c:pt>
                <c:pt idx="224">
                  <c:v>2.2800000000000011</c:v>
                </c:pt>
                <c:pt idx="225">
                  <c:v>1.7200000000000006</c:v>
                </c:pt>
                <c:pt idx="226">
                  <c:v>0.16999999999999993</c:v>
                </c:pt>
                <c:pt idx="227">
                  <c:v>-3.3499999999999996</c:v>
                </c:pt>
                <c:pt idx="228">
                  <c:v>-3.7899999999999991</c:v>
                </c:pt>
                <c:pt idx="229">
                  <c:v>-3.5299999999999994</c:v>
                </c:pt>
                <c:pt idx="230">
                  <c:v>-3.1699999999999982</c:v>
                </c:pt>
                <c:pt idx="231">
                  <c:v>-1.870000000000001</c:v>
                </c:pt>
                <c:pt idx="232">
                  <c:v>-3.5799999999999983</c:v>
                </c:pt>
                <c:pt idx="233">
                  <c:v>-3.7999999999999989</c:v>
                </c:pt>
                <c:pt idx="234">
                  <c:v>-2.259999999999998</c:v>
                </c:pt>
                <c:pt idx="235">
                  <c:v>-4.1500000000000021</c:v>
                </c:pt>
                <c:pt idx="236">
                  <c:v>-2.1499999999999986</c:v>
                </c:pt>
                <c:pt idx="237">
                  <c:v>-1.7600000000000016</c:v>
                </c:pt>
                <c:pt idx="238">
                  <c:v>-1.629999999999999</c:v>
                </c:pt>
                <c:pt idx="239">
                  <c:v>0.26999999999999957</c:v>
                </c:pt>
                <c:pt idx="240">
                  <c:v>1.4599999999999991</c:v>
                </c:pt>
                <c:pt idx="241">
                  <c:v>0.41999999999999993</c:v>
                </c:pt>
                <c:pt idx="242">
                  <c:v>0.14000000000000057</c:v>
                </c:pt>
                <c:pt idx="243">
                  <c:v>-0.38000000000000078</c:v>
                </c:pt>
                <c:pt idx="244">
                  <c:v>-0.35999999999999943</c:v>
                </c:pt>
                <c:pt idx="245">
                  <c:v>-0.16000000000000014</c:v>
                </c:pt>
                <c:pt idx="246">
                  <c:v>-4.0000000000000924E-2</c:v>
                </c:pt>
                <c:pt idx="247">
                  <c:v>-0.38999999999999879</c:v>
                </c:pt>
                <c:pt idx="248">
                  <c:v>0.29000000000000092</c:v>
                </c:pt>
                <c:pt idx="249">
                  <c:v>0.91000000000000014</c:v>
                </c:pt>
                <c:pt idx="250">
                  <c:v>1.379999999999999</c:v>
                </c:pt>
                <c:pt idx="251">
                  <c:v>1.42</c:v>
                </c:pt>
                <c:pt idx="252">
                  <c:v>2.6899999999999995</c:v>
                </c:pt>
                <c:pt idx="253">
                  <c:v>2.3800000000000008</c:v>
                </c:pt>
                <c:pt idx="254">
                  <c:v>2.4899999999999984</c:v>
                </c:pt>
                <c:pt idx="255">
                  <c:v>1.9599999999999991</c:v>
                </c:pt>
                <c:pt idx="256">
                  <c:v>2.1500000000000004</c:v>
                </c:pt>
                <c:pt idx="257">
                  <c:v>2.3100000000000005</c:v>
                </c:pt>
                <c:pt idx="258">
                  <c:v>2.7699999999999996</c:v>
                </c:pt>
                <c:pt idx="259">
                  <c:v>2.99</c:v>
                </c:pt>
                <c:pt idx="260">
                  <c:v>2.5</c:v>
                </c:pt>
                <c:pt idx="261">
                  <c:v>2.5</c:v>
                </c:pt>
                <c:pt idx="262">
                  <c:v>2.4800000000000004</c:v>
                </c:pt>
                <c:pt idx="263">
                  <c:v>2.2899999999999991</c:v>
                </c:pt>
                <c:pt idx="264">
                  <c:v>2.1999999999999993</c:v>
                </c:pt>
                <c:pt idx="265">
                  <c:v>2.6400000000000006</c:v>
                </c:pt>
                <c:pt idx="266">
                  <c:v>2.8100000000000005</c:v>
                </c:pt>
                <c:pt idx="267">
                  <c:v>2.74</c:v>
                </c:pt>
                <c:pt idx="268">
                  <c:v>2.6799999999999997</c:v>
                </c:pt>
                <c:pt idx="269">
                  <c:v>2.17</c:v>
                </c:pt>
                <c:pt idx="270">
                  <c:v>0.69999999999999929</c:v>
                </c:pt>
                <c:pt idx="271">
                  <c:v>0.69000000000000128</c:v>
                </c:pt>
                <c:pt idx="272">
                  <c:v>0.55000000000000071</c:v>
                </c:pt>
                <c:pt idx="273">
                  <c:v>0.34999999999999964</c:v>
                </c:pt>
                <c:pt idx="274">
                  <c:v>0.92999999999999972</c:v>
                </c:pt>
                <c:pt idx="275">
                  <c:v>1.4800000000000004</c:v>
                </c:pt>
                <c:pt idx="276">
                  <c:v>1.83</c:v>
                </c:pt>
                <c:pt idx="277">
                  <c:v>1.870000000000001</c:v>
                </c:pt>
                <c:pt idx="278">
                  <c:v>0.82000000000000028</c:v>
                </c:pt>
                <c:pt idx="279">
                  <c:v>1.5299999999999994</c:v>
                </c:pt>
                <c:pt idx="280">
                  <c:v>1.1799999999999997</c:v>
                </c:pt>
                <c:pt idx="281">
                  <c:v>1.4800000000000004</c:v>
                </c:pt>
                <c:pt idx="282">
                  <c:v>1.7400000000000002</c:v>
                </c:pt>
                <c:pt idx="283">
                  <c:v>1.7599999999999998</c:v>
                </c:pt>
                <c:pt idx="284">
                  <c:v>1.9900000000000002</c:v>
                </c:pt>
                <c:pt idx="285">
                  <c:v>2.120000000000001</c:v>
                </c:pt>
                <c:pt idx="286">
                  <c:v>1.629999999999999</c:v>
                </c:pt>
                <c:pt idx="287">
                  <c:v>0.95000000000000107</c:v>
                </c:pt>
                <c:pt idx="288">
                  <c:v>0.39000000000000057</c:v>
                </c:pt>
                <c:pt idx="289">
                  <c:v>-1.4599999999999991</c:v>
                </c:pt>
                <c:pt idx="290">
                  <c:v>-1.0300000000000011</c:v>
                </c:pt>
                <c:pt idx="291">
                  <c:v>6.0000000000000497E-2</c:v>
                </c:pt>
                <c:pt idx="292">
                  <c:v>1.08</c:v>
                </c:pt>
                <c:pt idx="293">
                  <c:v>0.83000000000000007</c:v>
                </c:pt>
                <c:pt idx="294">
                  <c:v>1.0399999999999991</c:v>
                </c:pt>
                <c:pt idx="295">
                  <c:v>0.77999999999999936</c:v>
                </c:pt>
                <c:pt idx="296">
                  <c:v>1.1399999999999988</c:v>
                </c:pt>
                <c:pt idx="297">
                  <c:v>1.1799999999999997</c:v>
                </c:pt>
                <c:pt idx="298">
                  <c:v>0.97000000000000064</c:v>
                </c:pt>
                <c:pt idx="299">
                  <c:v>0.99000000000000021</c:v>
                </c:pt>
                <c:pt idx="300">
                  <c:v>1.1299999999999999</c:v>
                </c:pt>
                <c:pt idx="301">
                  <c:v>1.75</c:v>
                </c:pt>
                <c:pt idx="302">
                  <c:v>1.9400000000000004</c:v>
                </c:pt>
                <c:pt idx="303">
                  <c:v>2.3100000000000005</c:v>
                </c:pt>
                <c:pt idx="304">
                  <c:v>1.8499999999999996</c:v>
                </c:pt>
                <c:pt idx="305">
                  <c:v>1.4699999999999989</c:v>
                </c:pt>
                <c:pt idx="306">
                  <c:v>1.7000000000000011</c:v>
                </c:pt>
                <c:pt idx="307">
                  <c:v>1.4900000000000002</c:v>
                </c:pt>
                <c:pt idx="308">
                  <c:v>1.9400000000000013</c:v>
                </c:pt>
                <c:pt idx="309">
                  <c:v>1.3500000000000014</c:v>
                </c:pt>
                <c:pt idx="310">
                  <c:v>2.25</c:v>
                </c:pt>
                <c:pt idx="311">
                  <c:v>1.9100000000000001</c:v>
                </c:pt>
                <c:pt idx="312">
                  <c:v>1.3000000000000007</c:v>
                </c:pt>
                <c:pt idx="313">
                  <c:v>1.2799999999999994</c:v>
                </c:pt>
                <c:pt idx="314">
                  <c:v>1.7000000000000011</c:v>
                </c:pt>
                <c:pt idx="315">
                  <c:v>1.6199999999999992</c:v>
                </c:pt>
                <c:pt idx="316">
                  <c:v>1.5</c:v>
                </c:pt>
                <c:pt idx="317">
                  <c:v>0.95000000000000107</c:v>
                </c:pt>
                <c:pt idx="318">
                  <c:v>1.17</c:v>
                </c:pt>
                <c:pt idx="319">
                  <c:v>1.0899999999999999</c:v>
                </c:pt>
                <c:pt idx="320">
                  <c:v>0.25</c:v>
                </c:pt>
                <c:pt idx="321">
                  <c:v>-0.16999999999999993</c:v>
                </c:pt>
                <c:pt idx="322">
                  <c:v>-0.26999999999999957</c:v>
                </c:pt>
                <c:pt idx="323">
                  <c:v>-0.54000000000000092</c:v>
                </c:pt>
                <c:pt idx="324">
                  <c:v>-0.95000000000000107</c:v>
                </c:pt>
                <c:pt idx="325">
                  <c:v>-0.89999999999999858</c:v>
                </c:pt>
                <c:pt idx="326">
                  <c:v>-1.4700000000000006</c:v>
                </c:pt>
                <c:pt idx="327">
                  <c:v>-2.08</c:v>
                </c:pt>
                <c:pt idx="328">
                  <c:v>-2.370000000000001</c:v>
                </c:pt>
                <c:pt idx="329">
                  <c:v>-2.5199999999999996</c:v>
                </c:pt>
                <c:pt idx="330">
                  <c:v>-2.4700000000000006</c:v>
                </c:pt>
                <c:pt idx="331">
                  <c:v>-2.5400000000000009</c:v>
                </c:pt>
                <c:pt idx="332">
                  <c:v>-2.2899999999999991</c:v>
                </c:pt>
                <c:pt idx="333">
                  <c:v>-2.6400000000000006</c:v>
                </c:pt>
                <c:pt idx="334">
                  <c:v>-2.42</c:v>
                </c:pt>
                <c:pt idx="335">
                  <c:v>-2.5300000000000011</c:v>
                </c:pt>
                <c:pt idx="336">
                  <c:v>-2.0700000000000003</c:v>
                </c:pt>
                <c:pt idx="337">
                  <c:v>-2.1399999999999988</c:v>
                </c:pt>
                <c:pt idx="338">
                  <c:v>-2.1899999999999995</c:v>
                </c:pt>
                <c:pt idx="339">
                  <c:v>-1.870000000000001</c:v>
                </c:pt>
                <c:pt idx="340">
                  <c:v>-2.75</c:v>
                </c:pt>
                <c:pt idx="341">
                  <c:v>-2.8499999999999996</c:v>
                </c:pt>
                <c:pt idx="342">
                  <c:v>-2.6100000000000012</c:v>
                </c:pt>
                <c:pt idx="343">
                  <c:v>-2.1099999999999994</c:v>
                </c:pt>
                <c:pt idx="344">
                  <c:v>-0.93000000000000149</c:v>
                </c:pt>
                <c:pt idx="345">
                  <c:v>-1.2400000000000002</c:v>
                </c:pt>
                <c:pt idx="346">
                  <c:v>-1.4500000000000011</c:v>
                </c:pt>
                <c:pt idx="347">
                  <c:v>-1.2000000000000011</c:v>
                </c:pt>
                <c:pt idx="348">
                  <c:v>-0.6899999999999995</c:v>
                </c:pt>
                <c:pt idx="349">
                  <c:v>-0.17999999999999972</c:v>
                </c:pt>
                <c:pt idx="350">
                  <c:v>0.18000000000000149</c:v>
                </c:pt>
                <c:pt idx="351">
                  <c:v>0.46000000000000085</c:v>
                </c:pt>
                <c:pt idx="352">
                  <c:v>0.97000000000000064</c:v>
                </c:pt>
                <c:pt idx="353">
                  <c:v>1.6799999999999997</c:v>
                </c:pt>
                <c:pt idx="354">
                  <c:v>1.4700000000000006</c:v>
                </c:pt>
                <c:pt idx="355">
                  <c:v>1.370000000000001</c:v>
                </c:pt>
                <c:pt idx="356">
                  <c:v>1.1400000000000006</c:v>
                </c:pt>
                <c:pt idx="357">
                  <c:v>1.0399999999999991</c:v>
                </c:pt>
                <c:pt idx="358">
                  <c:v>1.63</c:v>
                </c:pt>
                <c:pt idx="359">
                  <c:v>1.6400000000000006</c:v>
                </c:pt>
                <c:pt idx="360">
                  <c:v>1.9000000000000004</c:v>
                </c:pt>
                <c:pt idx="361">
                  <c:v>1.7200000000000006</c:v>
                </c:pt>
                <c:pt idx="362">
                  <c:v>1.879999999999999</c:v>
                </c:pt>
                <c:pt idx="363">
                  <c:v>2.67</c:v>
                </c:pt>
                <c:pt idx="364">
                  <c:v>2.84</c:v>
                </c:pt>
                <c:pt idx="365">
                  <c:v>3.089999999999999</c:v>
                </c:pt>
                <c:pt idx="366">
                  <c:v>2.870000000000001</c:v>
                </c:pt>
                <c:pt idx="367">
                  <c:v>3.2499999999999991</c:v>
                </c:pt>
                <c:pt idx="368">
                  <c:v>3.2399999999999993</c:v>
                </c:pt>
                <c:pt idx="369">
                  <c:v>1.2199999999999998</c:v>
                </c:pt>
                <c:pt idx="370">
                  <c:v>1.3500000000000005</c:v>
                </c:pt>
                <c:pt idx="371">
                  <c:v>1.0999999999999988</c:v>
                </c:pt>
                <c:pt idx="372">
                  <c:v>1.9799999999999995</c:v>
                </c:pt>
                <c:pt idx="373">
                  <c:v>2.1399999999999997</c:v>
                </c:pt>
                <c:pt idx="374">
                  <c:v>2.9499999999999993</c:v>
                </c:pt>
                <c:pt idx="375">
                  <c:v>3.09</c:v>
                </c:pt>
                <c:pt idx="376">
                  <c:v>3.129999999999999</c:v>
                </c:pt>
                <c:pt idx="377">
                  <c:v>3.25</c:v>
                </c:pt>
                <c:pt idx="378">
                  <c:v>3.5</c:v>
                </c:pt>
                <c:pt idx="379">
                  <c:v>2.9700000000000006</c:v>
                </c:pt>
                <c:pt idx="380">
                  <c:v>2.8599999999999994</c:v>
                </c:pt>
                <c:pt idx="381">
                  <c:v>2.8</c:v>
                </c:pt>
                <c:pt idx="382">
                  <c:v>3.3</c:v>
                </c:pt>
                <c:pt idx="383">
                  <c:v>3.2</c:v>
                </c:pt>
                <c:pt idx="384">
                  <c:v>3.16</c:v>
                </c:pt>
                <c:pt idx="385">
                  <c:v>3.56</c:v>
                </c:pt>
                <c:pt idx="386">
                  <c:v>3.87</c:v>
                </c:pt>
                <c:pt idx="387">
                  <c:v>2.38</c:v>
                </c:pt>
                <c:pt idx="388">
                  <c:v>2.3500000000000005</c:v>
                </c:pt>
                <c:pt idx="389">
                  <c:v>2.9899999999999993</c:v>
                </c:pt>
                <c:pt idx="390">
                  <c:v>3.51</c:v>
                </c:pt>
                <c:pt idx="391">
                  <c:v>3.4300000000000006</c:v>
                </c:pt>
                <c:pt idx="392">
                  <c:v>3.6399999999999988</c:v>
                </c:pt>
                <c:pt idx="393">
                  <c:v>3.9099999999999993</c:v>
                </c:pt>
                <c:pt idx="394">
                  <c:v>3.6400000000000006</c:v>
                </c:pt>
                <c:pt idx="395">
                  <c:v>2.6000000000000005</c:v>
                </c:pt>
                <c:pt idx="396">
                  <c:v>1.8600000000000003</c:v>
                </c:pt>
                <c:pt idx="397">
                  <c:v>0.90999999999999925</c:v>
                </c:pt>
                <c:pt idx="398">
                  <c:v>0.51999999999999957</c:v>
                </c:pt>
                <c:pt idx="399">
                  <c:v>0.41999999999999993</c:v>
                </c:pt>
                <c:pt idx="400">
                  <c:v>0.6899999999999995</c:v>
                </c:pt>
                <c:pt idx="401">
                  <c:v>1.0899999999999999</c:v>
                </c:pt>
                <c:pt idx="402">
                  <c:v>1.9400000000000004</c:v>
                </c:pt>
                <c:pt idx="403">
                  <c:v>1.7599999999999998</c:v>
                </c:pt>
                <c:pt idx="404">
                  <c:v>1.5599999999999996</c:v>
                </c:pt>
                <c:pt idx="405">
                  <c:v>1.5599999999999996</c:v>
                </c:pt>
                <c:pt idx="406">
                  <c:v>1.58</c:v>
                </c:pt>
                <c:pt idx="407">
                  <c:v>1.67</c:v>
                </c:pt>
                <c:pt idx="408">
                  <c:v>1.92</c:v>
                </c:pt>
                <c:pt idx="409">
                  <c:v>2.7299999999999995</c:v>
                </c:pt>
                <c:pt idx="410">
                  <c:v>2.8500000000000005</c:v>
                </c:pt>
                <c:pt idx="411">
                  <c:v>3.16</c:v>
                </c:pt>
                <c:pt idx="412">
                  <c:v>3.2299999999999995</c:v>
                </c:pt>
                <c:pt idx="413">
                  <c:v>3.2700000000000005</c:v>
                </c:pt>
                <c:pt idx="414">
                  <c:v>3.29</c:v>
                </c:pt>
                <c:pt idx="415">
                  <c:v>3.4699999999999998</c:v>
                </c:pt>
                <c:pt idx="416">
                  <c:v>3.6000000000000005</c:v>
                </c:pt>
                <c:pt idx="417">
                  <c:v>3.4699999999999998</c:v>
                </c:pt>
                <c:pt idx="418">
                  <c:v>3.57</c:v>
                </c:pt>
                <c:pt idx="419">
                  <c:v>3.8899999999999997</c:v>
                </c:pt>
                <c:pt idx="420">
                  <c:v>4.2200000000000006</c:v>
                </c:pt>
                <c:pt idx="421">
                  <c:v>3.9200000000000004</c:v>
                </c:pt>
                <c:pt idx="422">
                  <c:v>3.9099999999999997</c:v>
                </c:pt>
                <c:pt idx="423">
                  <c:v>3.8</c:v>
                </c:pt>
                <c:pt idx="424">
                  <c:v>3.95</c:v>
                </c:pt>
                <c:pt idx="425">
                  <c:v>3.5900000000000003</c:v>
                </c:pt>
                <c:pt idx="426">
                  <c:v>2.89</c:v>
                </c:pt>
                <c:pt idx="427">
                  <c:v>3.29</c:v>
                </c:pt>
                <c:pt idx="428">
                  <c:v>3.06</c:v>
                </c:pt>
                <c:pt idx="429">
                  <c:v>2.46</c:v>
                </c:pt>
                <c:pt idx="430">
                  <c:v>2.2200000000000002</c:v>
                </c:pt>
                <c:pt idx="431">
                  <c:v>1.7800000000000002</c:v>
                </c:pt>
                <c:pt idx="432">
                  <c:v>1.4799999999999995</c:v>
                </c:pt>
                <c:pt idx="433">
                  <c:v>1.1200000000000001</c:v>
                </c:pt>
                <c:pt idx="434">
                  <c:v>0.95000000000000018</c:v>
                </c:pt>
                <c:pt idx="435">
                  <c:v>1</c:v>
                </c:pt>
                <c:pt idx="436">
                  <c:v>0.75</c:v>
                </c:pt>
                <c:pt idx="437">
                  <c:v>0.70000000000000018</c:v>
                </c:pt>
                <c:pt idx="438">
                  <c:v>0.69999999999999929</c:v>
                </c:pt>
                <c:pt idx="439">
                  <c:v>0.77000000000000046</c:v>
                </c:pt>
                <c:pt idx="440">
                  <c:v>-5.9999999999999609E-2</c:v>
                </c:pt>
                <c:pt idx="441">
                  <c:v>0.62999999999999989</c:v>
                </c:pt>
                <c:pt idx="442">
                  <c:v>0.54</c:v>
                </c:pt>
                <c:pt idx="443">
                  <c:v>0.41000000000000014</c:v>
                </c:pt>
                <c:pt idx="444">
                  <c:v>0.45000000000000018</c:v>
                </c:pt>
                <c:pt idx="445">
                  <c:v>0.58000000000000007</c:v>
                </c:pt>
                <c:pt idx="446">
                  <c:v>0.38000000000000078</c:v>
                </c:pt>
                <c:pt idx="447">
                  <c:v>0.82000000000000028</c:v>
                </c:pt>
                <c:pt idx="448">
                  <c:v>1.1399999999999997</c:v>
                </c:pt>
                <c:pt idx="449">
                  <c:v>1.0700000000000003</c:v>
                </c:pt>
                <c:pt idx="450">
                  <c:v>1.1100000000000003</c:v>
                </c:pt>
                <c:pt idx="451">
                  <c:v>0.92000000000000082</c:v>
                </c:pt>
                <c:pt idx="452">
                  <c:v>1.25</c:v>
                </c:pt>
                <c:pt idx="453">
                  <c:v>1.6600000000000001</c:v>
                </c:pt>
                <c:pt idx="454">
                  <c:v>1.33</c:v>
                </c:pt>
                <c:pt idx="455">
                  <c:v>1.4699999999999998</c:v>
                </c:pt>
                <c:pt idx="456">
                  <c:v>1.3400000000000007</c:v>
                </c:pt>
                <c:pt idx="457">
                  <c:v>0.97000000000000064</c:v>
                </c:pt>
                <c:pt idx="458">
                  <c:v>0.83999999999999986</c:v>
                </c:pt>
                <c:pt idx="459">
                  <c:v>0.6800000000000006</c:v>
                </c:pt>
                <c:pt idx="460">
                  <c:v>0.29000000000000004</c:v>
                </c:pt>
                <c:pt idx="461">
                  <c:v>0.34000000000000075</c:v>
                </c:pt>
                <c:pt idx="462">
                  <c:v>0.23000000000000043</c:v>
                </c:pt>
                <c:pt idx="463">
                  <c:v>0.16999999999999993</c:v>
                </c:pt>
                <c:pt idx="464">
                  <c:v>0.25</c:v>
                </c:pt>
                <c:pt idx="465">
                  <c:v>0.17999999999999972</c:v>
                </c:pt>
                <c:pt idx="466">
                  <c:v>-4.9999999999999822E-2</c:v>
                </c:pt>
                <c:pt idx="467">
                  <c:v>5.9999999999999609E-2</c:v>
                </c:pt>
                <c:pt idx="468">
                  <c:v>0.47999999999999954</c:v>
                </c:pt>
                <c:pt idx="469">
                  <c:v>0.55999999999999961</c:v>
                </c:pt>
                <c:pt idx="470">
                  <c:v>1.1100000000000003</c:v>
                </c:pt>
                <c:pt idx="471">
                  <c:v>1.4400000000000004</c:v>
                </c:pt>
                <c:pt idx="472">
                  <c:v>1.7300000000000004</c:v>
                </c:pt>
                <c:pt idx="473">
                  <c:v>1.71</c:v>
                </c:pt>
                <c:pt idx="474">
                  <c:v>1.8499999999999996</c:v>
                </c:pt>
                <c:pt idx="475">
                  <c:v>1.7899999999999996</c:v>
                </c:pt>
                <c:pt idx="476">
                  <c:v>2.5100000000000002</c:v>
                </c:pt>
                <c:pt idx="477">
                  <c:v>2.5500000000000003</c:v>
                </c:pt>
                <c:pt idx="478">
                  <c:v>3.47</c:v>
                </c:pt>
                <c:pt idx="479">
                  <c:v>3.75</c:v>
                </c:pt>
                <c:pt idx="480">
                  <c:v>3.82</c:v>
                </c:pt>
                <c:pt idx="481">
                  <c:v>3.67</c:v>
                </c:pt>
                <c:pt idx="482">
                  <c:v>3.85</c:v>
                </c:pt>
                <c:pt idx="483">
                  <c:v>3.57</c:v>
                </c:pt>
                <c:pt idx="484">
                  <c:v>3.2399999999999998</c:v>
                </c:pt>
                <c:pt idx="485">
                  <c:v>3.0400000000000005</c:v>
                </c:pt>
                <c:pt idx="486">
                  <c:v>2.9200000000000004</c:v>
                </c:pt>
                <c:pt idx="487">
                  <c:v>2.7199999999999998</c:v>
                </c:pt>
                <c:pt idx="488">
                  <c:v>2.57</c:v>
                </c:pt>
                <c:pt idx="489">
                  <c:v>2.8400000000000003</c:v>
                </c:pt>
                <c:pt idx="490">
                  <c:v>2.8499999999999996</c:v>
                </c:pt>
                <c:pt idx="491">
                  <c:v>2.7</c:v>
                </c:pt>
                <c:pt idx="492">
                  <c:v>2.73</c:v>
                </c:pt>
                <c:pt idx="493">
                  <c:v>2.5799999999999996</c:v>
                </c:pt>
                <c:pt idx="494">
                  <c:v>2.4799999999999995</c:v>
                </c:pt>
                <c:pt idx="495">
                  <c:v>2.15</c:v>
                </c:pt>
                <c:pt idx="496">
                  <c:v>1.8399999999999999</c:v>
                </c:pt>
                <c:pt idx="497">
                  <c:v>1.8800000000000003</c:v>
                </c:pt>
                <c:pt idx="498">
                  <c:v>2.4299999999999997</c:v>
                </c:pt>
                <c:pt idx="499">
                  <c:v>2.6300000000000003</c:v>
                </c:pt>
                <c:pt idx="500">
                  <c:v>2.5600000000000005</c:v>
                </c:pt>
                <c:pt idx="501">
                  <c:v>2.7</c:v>
                </c:pt>
                <c:pt idx="502">
                  <c:v>2.5500000000000003</c:v>
                </c:pt>
                <c:pt idx="503">
                  <c:v>2.4999999999999996</c:v>
                </c:pt>
                <c:pt idx="504">
                  <c:v>2.7700000000000005</c:v>
                </c:pt>
                <c:pt idx="505">
                  <c:v>2.7800000000000002</c:v>
                </c:pt>
                <c:pt idx="506">
                  <c:v>2.9000000000000004</c:v>
                </c:pt>
                <c:pt idx="507">
                  <c:v>3.2700000000000005</c:v>
                </c:pt>
                <c:pt idx="508">
                  <c:v>3.2600000000000007</c:v>
                </c:pt>
                <c:pt idx="509">
                  <c:v>3.29</c:v>
                </c:pt>
                <c:pt idx="510">
                  <c:v>3.2600000000000002</c:v>
                </c:pt>
                <c:pt idx="511">
                  <c:v>3.07</c:v>
                </c:pt>
                <c:pt idx="512">
                  <c:v>2.6599999999999997</c:v>
                </c:pt>
                <c:pt idx="513">
                  <c:v>2.44</c:v>
                </c:pt>
                <c:pt idx="514">
                  <c:v>2.25</c:v>
                </c:pt>
                <c:pt idx="515">
                  <c:v>2.4000000000000004</c:v>
                </c:pt>
                <c:pt idx="516">
                  <c:v>2.2400000000000002</c:v>
                </c:pt>
                <c:pt idx="517">
                  <c:v>2.2599999999999998</c:v>
                </c:pt>
                <c:pt idx="518">
                  <c:v>2.2599999999999998</c:v>
                </c:pt>
                <c:pt idx="519">
                  <c:v>2.0799999999999996</c:v>
                </c:pt>
                <c:pt idx="520">
                  <c:v>1.9500000000000002</c:v>
                </c:pt>
                <c:pt idx="521">
                  <c:v>1.8199999999999994</c:v>
                </c:pt>
                <c:pt idx="522">
                  <c:v>1.7599999999999998</c:v>
                </c:pt>
                <c:pt idx="523">
                  <c:v>1.4300000000000002</c:v>
                </c:pt>
                <c:pt idx="524">
                  <c:v>1.4300000000000002</c:v>
                </c:pt>
                <c:pt idx="525">
                  <c:v>1.4</c:v>
                </c:pt>
                <c:pt idx="526">
                  <c:v>1</c:v>
                </c:pt>
                <c:pt idx="527">
                  <c:v>0.70000000000000018</c:v>
                </c:pt>
                <c:pt idx="528">
                  <c:v>0.78999999999999959</c:v>
                </c:pt>
                <c:pt idx="529">
                  <c:v>0.52</c:v>
                </c:pt>
                <c:pt idx="530">
                  <c:v>0.5</c:v>
                </c:pt>
                <c:pt idx="531">
                  <c:v>0.63999999999999968</c:v>
                </c:pt>
                <c:pt idx="532">
                  <c:v>0.39999999999999947</c:v>
                </c:pt>
                <c:pt idx="533">
                  <c:v>0.45999999999999996</c:v>
                </c:pt>
                <c:pt idx="534">
                  <c:v>0.26999999999999957</c:v>
                </c:pt>
                <c:pt idx="535">
                  <c:v>8.9999999999999858E-2</c:v>
                </c:pt>
                <c:pt idx="536">
                  <c:v>-7.0000000000000284E-2</c:v>
                </c:pt>
                <c:pt idx="537">
                  <c:v>8.9999999999999858E-2</c:v>
                </c:pt>
                <c:pt idx="538">
                  <c:v>-0.14999999999999947</c:v>
                </c:pt>
                <c:pt idx="539">
                  <c:v>-4.9999999999999822E-2</c:v>
                </c:pt>
                <c:pt idx="540">
                  <c:v>7.0000000000000284E-2</c:v>
                </c:pt>
                <c:pt idx="541">
                  <c:v>-8.0000000000000071E-2</c:v>
                </c:pt>
                <c:pt idx="542">
                  <c:v>4.0000000000000036E-2</c:v>
                </c:pt>
                <c:pt idx="543">
                  <c:v>4.9999999999999822E-2</c:v>
                </c:pt>
                <c:pt idx="544">
                  <c:v>0.25</c:v>
                </c:pt>
                <c:pt idx="545">
                  <c:v>0.24000000000000021</c:v>
                </c:pt>
                <c:pt idx="546">
                  <c:v>1.9999999999999574E-2</c:v>
                </c:pt>
                <c:pt idx="547">
                  <c:v>0.23000000000000043</c:v>
                </c:pt>
                <c:pt idx="548">
                  <c:v>0.5</c:v>
                </c:pt>
                <c:pt idx="549">
                  <c:v>0.45999999999999952</c:v>
                </c:pt>
                <c:pt idx="550">
                  <c:v>0.2799999999999998</c:v>
                </c:pt>
                <c:pt idx="551">
                  <c:v>0.33999999999999986</c:v>
                </c:pt>
                <c:pt idx="552">
                  <c:v>0.60000000000000009</c:v>
                </c:pt>
                <c:pt idx="553">
                  <c:v>0.88999999999999968</c:v>
                </c:pt>
                <c:pt idx="554">
                  <c:v>1.75</c:v>
                </c:pt>
                <c:pt idx="555">
                  <c:v>1.6399999999999997</c:v>
                </c:pt>
                <c:pt idx="556">
                  <c:v>1.4300000000000002</c:v>
                </c:pt>
                <c:pt idx="557">
                  <c:v>1.4600000000000004</c:v>
                </c:pt>
                <c:pt idx="558">
                  <c:v>1.8199999999999998</c:v>
                </c:pt>
                <c:pt idx="559">
                  <c:v>1.5499999999999994</c:v>
                </c:pt>
                <c:pt idx="560">
                  <c:v>2.0399999999999996</c:v>
                </c:pt>
                <c:pt idx="561">
                  <c:v>2.7699999999999996</c:v>
                </c:pt>
                <c:pt idx="562">
                  <c:v>2.2199999999999998</c:v>
                </c:pt>
                <c:pt idx="563">
                  <c:v>2.37</c:v>
                </c:pt>
                <c:pt idx="564">
                  <c:v>2.9400000000000004</c:v>
                </c:pt>
                <c:pt idx="565">
                  <c:v>2.9800000000000004</c:v>
                </c:pt>
                <c:pt idx="566">
                  <c:v>3.2199999999999998</c:v>
                </c:pt>
                <c:pt idx="567">
                  <c:v>3.39</c:v>
                </c:pt>
                <c:pt idx="568">
                  <c:v>3.93</c:v>
                </c:pt>
                <c:pt idx="569">
                  <c:v>3.73</c:v>
                </c:pt>
                <c:pt idx="570">
                  <c:v>3.8699999999999997</c:v>
                </c:pt>
                <c:pt idx="571">
                  <c:v>3.7399999999999998</c:v>
                </c:pt>
                <c:pt idx="572">
                  <c:v>3.65</c:v>
                </c:pt>
                <c:pt idx="573">
                  <c:v>3.76</c:v>
                </c:pt>
                <c:pt idx="574">
                  <c:v>3.6199999999999997</c:v>
                </c:pt>
                <c:pt idx="575">
                  <c:v>3.88</c:v>
                </c:pt>
                <c:pt idx="576">
                  <c:v>3.75</c:v>
                </c:pt>
                <c:pt idx="577">
                  <c:v>3.81</c:v>
                </c:pt>
                <c:pt idx="578">
                  <c:v>3.77</c:v>
                </c:pt>
                <c:pt idx="579">
                  <c:v>3.6700000000000004</c:v>
                </c:pt>
                <c:pt idx="580">
                  <c:v>3.19</c:v>
                </c:pt>
                <c:pt idx="581">
                  <c:v>3.0599999999999996</c:v>
                </c:pt>
                <c:pt idx="582">
                  <c:v>3.15</c:v>
                </c:pt>
                <c:pt idx="583">
                  <c:v>2.73</c:v>
                </c:pt>
                <c:pt idx="584">
                  <c:v>2.38</c:v>
                </c:pt>
                <c:pt idx="585">
                  <c:v>2.4899999999999998</c:v>
                </c:pt>
                <c:pt idx="586">
                  <c:v>2.6500000000000004</c:v>
                </c:pt>
                <c:pt idx="587">
                  <c:v>2.5199999999999996</c:v>
                </c:pt>
                <c:pt idx="588">
                  <c:v>2.75</c:v>
                </c:pt>
                <c:pt idx="589">
                  <c:v>2.74</c:v>
                </c:pt>
                <c:pt idx="590">
                  <c:v>2.73</c:v>
                </c:pt>
                <c:pt idx="591">
                  <c:v>2.71</c:v>
                </c:pt>
                <c:pt idx="592">
                  <c:v>2.4500000000000002</c:v>
                </c:pt>
                <c:pt idx="593">
                  <c:v>2.54</c:v>
                </c:pt>
                <c:pt idx="594">
                  <c:v>2.36</c:v>
                </c:pt>
                <c:pt idx="595">
                  <c:v>2.14</c:v>
                </c:pt>
                <c:pt idx="596">
                  <c:v>1.87</c:v>
                </c:pt>
                <c:pt idx="597">
                  <c:v>2.0500000000000003</c:v>
                </c:pt>
                <c:pt idx="598">
                  <c:v>1.73</c:v>
                </c:pt>
                <c:pt idx="599">
                  <c:v>1.5899999999999999</c:v>
                </c:pt>
                <c:pt idx="600">
                  <c:v>1.73</c:v>
                </c:pt>
                <c:pt idx="601">
                  <c:v>1.56</c:v>
                </c:pt>
                <c:pt idx="602">
                  <c:v>1.65</c:v>
                </c:pt>
                <c:pt idx="603">
                  <c:v>1.5699999999999998</c:v>
                </c:pt>
                <c:pt idx="604">
                  <c:v>1.2100000000000002</c:v>
                </c:pt>
                <c:pt idx="605">
                  <c:v>1.3600000000000003</c:v>
                </c:pt>
                <c:pt idx="606">
                  <c:v>1.2400000000000002</c:v>
                </c:pt>
                <c:pt idx="607">
                  <c:v>1.2799999999999998</c:v>
                </c:pt>
                <c:pt idx="608">
                  <c:v>1.2400000000000002</c:v>
                </c:pt>
                <c:pt idx="609">
                  <c:v>1.29</c:v>
                </c:pt>
                <c:pt idx="610">
                  <c:v>1.2300000000000002</c:v>
                </c:pt>
                <c:pt idx="611">
                  <c:v>1.33</c:v>
                </c:pt>
                <c:pt idx="612">
                  <c:v>1.5500000000000003</c:v>
                </c:pt>
                <c:pt idx="613">
                  <c:v>1.4400000000000002</c:v>
                </c:pt>
                <c:pt idx="614">
                  <c:v>1.3699999999999999</c:v>
                </c:pt>
                <c:pt idx="615">
                  <c:v>1.21</c:v>
                </c:pt>
                <c:pt idx="616">
                  <c:v>1.48</c:v>
                </c:pt>
                <c:pt idx="617">
                  <c:v>1.88</c:v>
                </c:pt>
                <c:pt idx="618">
                  <c:v>1.8699999999999999</c:v>
                </c:pt>
                <c:pt idx="619">
                  <c:v>2.0099999999999998</c:v>
                </c:pt>
                <c:pt idx="620">
                  <c:v>2.0099999999999998</c:v>
                </c:pt>
                <c:pt idx="621">
                  <c:v>1.94</c:v>
                </c:pt>
                <c:pt idx="622">
                  <c:v>2.0799999999999996</c:v>
                </c:pt>
                <c:pt idx="623">
                  <c:v>2.17</c:v>
                </c:pt>
                <c:pt idx="624">
                  <c:v>1.9099999999999997</c:v>
                </c:pt>
                <c:pt idx="625">
                  <c:v>1.9299999999999997</c:v>
                </c:pt>
                <c:pt idx="626">
                  <c:v>1.9699999999999998</c:v>
                </c:pt>
                <c:pt idx="627">
                  <c:v>1.8299999999999996</c:v>
                </c:pt>
                <c:pt idx="628">
                  <c:v>1.67</c:v>
                </c:pt>
                <c:pt idx="629">
                  <c:v>1.7800000000000002</c:v>
                </c:pt>
                <c:pt idx="630">
                  <c:v>1.64</c:v>
                </c:pt>
                <c:pt idx="631">
                  <c:v>1.49</c:v>
                </c:pt>
                <c:pt idx="632">
                  <c:v>1.69</c:v>
                </c:pt>
                <c:pt idx="633">
                  <c:v>1.5699999999999998</c:v>
                </c:pt>
                <c:pt idx="634">
                  <c:v>1.46</c:v>
                </c:pt>
                <c:pt idx="635">
                  <c:v>1.3200000000000003</c:v>
                </c:pt>
                <c:pt idx="636">
                  <c:v>0.96</c:v>
                </c:pt>
                <c:pt idx="637">
                  <c:v>1.23</c:v>
                </c:pt>
                <c:pt idx="638">
                  <c:v>1.24</c:v>
                </c:pt>
                <c:pt idx="639">
                  <c:v>1.3899999999999997</c:v>
                </c:pt>
                <c:pt idx="640">
                  <c:v>1.4300000000000002</c:v>
                </c:pt>
                <c:pt idx="641">
                  <c:v>1.6800000000000002</c:v>
                </c:pt>
                <c:pt idx="642">
                  <c:v>1.6199999999999999</c:v>
                </c:pt>
                <c:pt idx="643">
                  <c:v>1.7000000000000002</c:v>
                </c:pt>
                <c:pt idx="644">
                  <c:v>1.69</c:v>
                </c:pt>
                <c:pt idx="645">
                  <c:v>1.72</c:v>
                </c:pt>
                <c:pt idx="646">
                  <c:v>1.72</c:v>
                </c:pt>
                <c:pt idx="647">
                  <c:v>1.56</c:v>
                </c:pt>
                <c:pt idx="648">
                  <c:v>1.48</c:v>
                </c:pt>
                <c:pt idx="649">
                  <c:v>1.32</c:v>
                </c:pt>
                <c:pt idx="650">
                  <c:v>1.4000000000000001</c:v>
                </c:pt>
                <c:pt idx="651">
                  <c:v>1.43</c:v>
                </c:pt>
                <c:pt idx="652">
                  <c:v>1.35</c:v>
                </c:pt>
                <c:pt idx="653">
                  <c:v>1.1599999999999999</c:v>
                </c:pt>
                <c:pt idx="654">
                  <c:v>1.1100000000000001</c:v>
                </c:pt>
                <c:pt idx="655">
                  <c:v>1.02</c:v>
                </c:pt>
                <c:pt idx="656">
                  <c:v>1.01</c:v>
                </c:pt>
                <c:pt idx="657">
                  <c:v>1.19</c:v>
                </c:pt>
                <c:pt idx="658">
                  <c:v>1.58</c:v>
                </c:pt>
                <c:pt idx="659">
                  <c:v>1.7600000000000002</c:v>
                </c:pt>
                <c:pt idx="660">
                  <c:v>1.89</c:v>
                </c:pt>
                <c:pt idx="661">
                  <c:v>1.82</c:v>
                </c:pt>
                <c:pt idx="662">
                  <c:v>1.6400000000000001</c:v>
                </c:pt>
                <c:pt idx="663">
                  <c:v>1.4799999999999998</c:v>
                </c:pt>
                <c:pt idx="664">
                  <c:v>1.36</c:v>
                </c:pt>
                <c:pt idx="665">
                  <c:v>1.42</c:v>
                </c:pt>
                <c:pt idx="666">
                  <c:v>1.56</c:v>
                </c:pt>
                <c:pt idx="667">
                  <c:v>1.46</c:v>
                </c:pt>
                <c:pt idx="668">
                  <c:v>1.45</c:v>
                </c:pt>
                <c:pt idx="669">
                  <c:v>1.3699999999999999</c:v>
                </c:pt>
                <c:pt idx="670">
                  <c:v>1.29</c:v>
                </c:pt>
                <c:pt idx="671">
                  <c:v>1.2</c:v>
                </c:pt>
                <c:pt idx="672">
                  <c:v>1.1900000000000002</c:v>
                </c:pt>
                <c:pt idx="673">
                  <c:v>1.1900000000000002</c:v>
                </c:pt>
                <c:pt idx="674">
                  <c:v>1.1200000000000001</c:v>
                </c:pt>
                <c:pt idx="675">
                  <c:v>1.2900000000000003</c:v>
                </c:pt>
                <c:pt idx="676">
                  <c:v>1.0399999999999998</c:v>
                </c:pt>
                <c:pt idx="677">
                  <c:v>0.91999999999999993</c:v>
                </c:pt>
                <c:pt idx="678">
                  <c:v>0.93000000000000016</c:v>
                </c:pt>
                <c:pt idx="679">
                  <c:v>0.84000000000000008</c:v>
                </c:pt>
                <c:pt idx="680">
                  <c:v>0.90000000000000013</c:v>
                </c:pt>
                <c:pt idx="681">
                  <c:v>0.89000000000000012</c:v>
                </c:pt>
                <c:pt idx="682">
                  <c:v>0.68000000000000016</c:v>
                </c:pt>
                <c:pt idx="683">
                  <c:v>0.4700000000000002</c:v>
                </c:pt>
                <c:pt idx="684">
                  <c:v>0.48</c:v>
                </c:pt>
              </c:numCache>
            </c:numRef>
          </c:val>
          <c:smooth val="0"/>
          <c:extLst>
            <c:ext xmlns:c16="http://schemas.microsoft.com/office/drawing/2014/chart" uri="{C3380CC4-5D6E-409C-BE32-E72D297353CC}">
              <c16:uniqueId val="{00000002-742F-4BF2-AB1F-C86E0861773A}"/>
            </c:ext>
          </c:extLst>
        </c:ser>
        <c:dLbls>
          <c:showLegendKey val="0"/>
          <c:showVal val="0"/>
          <c:showCatName val="0"/>
          <c:showSerName val="0"/>
          <c:showPercent val="0"/>
          <c:showBubbleSize val="0"/>
        </c:dLbls>
        <c:marker val="1"/>
        <c:smooth val="0"/>
        <c:axId val="1804162576"/>
        <c:axId val="2019422512"/>
      </c:lineChart>
      <c:catAx>
        <c:axId val="1804162576"/>
        <c:scaling>
          <c:orientation val="minMax"/>
        </c:scaling>
        <c:delete val="0"/>
        <c:axPos val="b"/>
        <c:numFmt formatCode="General" sourceLinked="1"/>
        <c:majorTickMark val="none"/>
        <c:minorTickMark val="none"/>
        <c:tickLblPos val="low"/>
        <c:spPr>
          <a:noFill/>
          <a:ln w="9525" cap="flat" cmpd="sng" algn="ctr">
            <a:solidFill>
              <a:schemeClr val="accent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19422512"/>
        <c:crosses val="autoZero"/>
        <c:auto val="1"/>
        <c:lblAlgn val="ctr"/>
        <c:lblOffset val="100"/>
        <c:tickLblSkip val="7"/>
        <c:noMultiLvlLbl val="0"/>
      </c:catAx>
      <c:valAx>
        <c:axId val="2019422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4162576"/>
        <c:crosses val="autoZero"/>
        <c:crossBetween val="between"/>
      </c:valAx>
      <c:valAx>
        <c:axId val="2019423344"/>
        <c:scaling>
          <c:orientation val="minMax"/>
          <c:max val="1"/>
        </c:scaling>
        <c:delete val="0"/>
        <c:axPos val="r"/>
        <c:numFmt formatCode="General" sourceLinked="1"/>
        <c:majorTickMark val="out"/>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21413936"/>
        <c:crosses val="max"/>
        <c:crossBetween val="between"/>
      </c:valAx>
      <c:catAx>
        <c:axId val="2021413936"/>
        <c:scaling>
          <c:orientation val="minMax"/>
        </c:scaling>
        <c:delete val="1"/>
        <c:axPos val="b"/>
        <c:numFmt formatCode="General" sourceLinked="1"/>
        <c:majorTickMark val="out"/>
        <c:minorTickMark val="none"/>
        <c:tickLblPos val="nextTo"/>
        <c:crossAx val="20194233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Sheet1!$A$11</c:f>
              <c:strCache>
                <c:ptCount val="1"/>
                <c:pt idx="0">
                  <c:v>1996-05-07</c:v>
                </c:pt>
              </c:strCache>
            </c:strRef>
          </c:tx>
          <c:spPr>
            <a:ln w="28575" cap="rnd">
              <a:solidFill>
                <a:schemeClr val="accent1"/>
              </a:solidFill>
              <a:round/>
            </a:ln>
            <a:effectLst/>
          </c:spPr>
          <c:marker>
            <c:symbol val="none"/>
          </c:marker>
          <c:dLbls>
            <c:dLbl>
              <c:idx val="56"/>
              <c:dLblPos val="b"/>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0-9E06-49A8-8CEF-313FA06CA61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Sheet1!$B$10:$CW$10</c:f>
              <c:numCache>
                <c:formatCode>General</c:formatCode>
                <c:ptCount val="100"/>
                <c:pt idx="0">
                  <c:v>0.25</c:v>
                </c:pt>
                <c:pt idx="1">
                  <c:v>0.5</c:v>
                </c:pt>
                <c:pt idx="2">
                  <c:v>0.75</c:v>
                </c:pt>
                <c:pt idx="3">
                  <c:v>1</c:v>
                </c:pt>
                <c:pt idx="4">
                  <c:v>1.25</c:v>
                </c:pt>
                <c:pt idx="5">
                  <c:v>1.5</c:v>
                </c:pt>
                <c:pt idx="6">
                  <c:v>1.75</c:v>
                </c:pt>
                <c:pt idx="7">
                  <c:v>2</c:v>
                </c:pt>
                <c:pt idx="8">
                  <c:v>2.25</c:v>
                </c:pt>
                <c:pt idx="9">
                  <c:v>2.5</c:v>
                </c:pt>
                <c:pt idx="10">
                  <c:v>2.75</c:v>
                </c:pt>
                <c:pt idx="11">
                  <c:v>3</c:v>
                </c:pt>
                <c:pt idx="12">
                  <c:v>3.25</c:v>
                </c:pt>
                <c:pt idx="13">
                  <c:v>3.5</c:v>
                </c:pt>
                <c:pt idx="14">
                  <c:v>3.75</c:v>
                </c:pt>
                <c:pt idx="15">
                  <c:v>4</c:v>
                </c:pt>
                <c:pt idx="16">
                  <c:v>4.25</c:v>
                </c:pt>
                <c:pt idx="17">
                  <c:v>4.5</c:v>
                </c:pt>
                <c:pt idx="18">
                  <c:v>4.75</c:v>
                </c:pt>
                <c:pt idx="19">
                  <c:v>5</c:v>
                </c:pt>
                <c:pt idx="20">
                  <c:v>5.25</c:v>
                </c:pt>
                <c:pt idx="21">
                  <c:v>5.5</c:v>
                </c:pt>
                <c:pt idx="22">
                  <c:v>5.75</c:v>
                </c:pt>
                <c:pt idx="23">
                  <c:v>6</c:v>
                </c:pt>
                <c:pt idx="24">
                  <c:v>6.25</c:v>
                </c:pt>
                <c:pt idx="25">
                  <c:v>6.5</c:v>
                </c:pt>
                <c:pt idx="26">
                  <c:v>6.75</c:v>
                </c:pt>
                <c:pt idx="27">
                  <c:v>7</c:v>
                </c:pt>
                <c:pt idx="28">
                  <c:v>7.25</c:v>
                </c:pt>
                <c:pt idx="29">
                  <c:v>7.5</c:v>
                </c:pt>
                <c:pt idx="30">
                  <c:v>7.75</c:v>
                </c:pt>
                <c:pt idx="31">
                  <c:v>8</c:v>
                </c:pt>
                <c:pt idx="32">
                  <c:v>8.25</c:v>
                </c:pt>
                <c:pt idx="33">
                  <c:v>8.5</c:v>
                </c:pt>
                <c:pt idx="34">
                  <c:v>8.75</c:v>
                </c:pt>
                <c:pt idx="35">
                  <c:v>9</c:v>
                </c:pt>
                <c:pt idx="36">
                  <c:v>9.25</c:v>
                </c:pt>
                <c:pt idx="37">
                  <c:v>9.5</c:v>
                </c:pt>
                <c:pt idx="38">
                  <c:v>9.75</c:v>
                </c:pt>
                <c:pt idx="39">
                  <c:v>10</c:v>
                </c:pt>
                <c:pt idx="40">
                  <c:v>10.25</c:v>
                </c:pt>
                <c:pt idx="41">
                  <c:v>10.5</c:v>
                </c:pt>
                <c:pt idx="42">
                  <c:v>10.75</c:v>
                </c:pt>
                <c:pt idx="43">
                  <c:v>11</c:v>
                </c:pt>
                <c:pt idx="44">
                  <c:v>11.25</c:v>
                </c:pt>
                <c:pt idx="45">
                  <c:v>11.5</c:v>
                </c:pt>
                <c:pt idx="46">
                  <c:v>11.75</c:v>
                </c:pt>
                <c:pt idx="47">
                  <c:v>12</c:v>
                </c:pt>
                <c:pt idx="48">
                  <c:v>12.25</c:v>
                </c:pt>
                <c:pt idx="49">
                  <c:v>12.5</c:v>
                </c:pt>
                <c:pt idx="50">
                  <c:v>12.75</c:v>
                </c:pt>
                <c:pt idx="51">
                  <c:v>13</c:v>
                </c:pt>
                <c:pt idx="52">
                  <c:v>13.25</c:v>
                </c:pt>
                <c:pt idx="53">
                  <c:v>13.5</c:v>
                </c:pt>
                <c:pt idx="54">
                  <c:v>13.75</c:v>
                </c:pt>
                <c:pt idx="55">
                  <c:v>14</c:v>
                </c:pt>
                <c:pt idx="56">
                  <c:v>14.25</c:v>
                </c:pt>
                <c:pt idx="57">
                  <c:v>14.5</c:v>
                </c:pt>
                <c:pt idx="58">
                  <c:v>14.75</c:v>
                </c:pt>
                <c:pt idx="59">
                  <c:v>15</c:v>
                </c:pt>
                <c:pt idx="60">
                  <c:v>15.25</c:v>
                </c:pt>
                <c:pt idx="61">
                  <c:v>15.5</c:v>
                </c:pt>
                <c:pt idx="62">
                  <c:v>15.75</c:v>
                </c:pt>
                <c:pt idx="63">
                  <c:v>16</c:v>
                </c:pt>
                <c:pt idx="64">
                  <c:v>16.25</c:v>
                </c:pt>
                <c:pt idx="65">
                  <c:v>16.5</c:v>
                </c:pt>
                <c:pt idx="66">
                  <c:v>16.75</c:v>
                </c:pt>
                <c:pt idx="67">
                  <c:v>17</c:v>
                </c:pt>
                <c:pt idx="68">
                  <c:v>17.25</c:v>
                </c:pt>
                <c:pt idx="69">
                  <c:v>17.5</c:v>
                </c:pt>
                <c:pt idx="70">
                  <c:v>17.75</c:v>
                </c:pt>
                <c:pt idx="71">
                  <c:v>18</c:v>
                </c:pt>
                <c:pt idx="72">
                  <c:v>18.25</c:v>
                </c:pt>
                <c:pt idx="73">
                  <c:v>18.5</c:v>
                </c:pt>
                <c:pt idx="74">
                  <c:v>18.75</c:v>
                </c:pt>
                <c:pt idx="75">
                  <c:v>19</c:v>
                </c:pt>
                <c:pt idx="76">
                  <c:v>19.25</c:v>
                </c:pt>
                <c:pt idx="77">
                  <c:v>19.5</c:v>
                </c:pt>
                <c:pt idx="78">
                  <c:v>19.75</c:v>
                </c:pt>
                <c:pt idx="79">
                  <c:v>20</c:v>
                </c:pt>
                <c:pt idx="80">
                  <c:v>20.25</c:v>
                </c:pt>
                <c:pt idx="81">
                  <c:v>20.5</c:v>
                </c:pt>
                <c:pt idx="82">
                  <c:v>20.75</c:v>
                </c:pt>
                <c:pt idx="83">
                  <c:v>21</c:v>
                </c:pt>
                <c:pt idx="84">
                  <c:v>21.25</c:v>
                </c:pt>
                <c:pt idx="85">
                  <c:v>21.5</c:v>
                </c:pt>
                <c:pt idx="86">
                  <c:v>21.75</c:v>
                </c:pt>
                <c:pt idx="87">
                  <c:v>22</c:v>
                </c:pt>
                <c:pt idx="88">
                  <c:v>22.25</c:v>
                </c:pt>
                <c:pt idx="89">
                  <c:v>22.5</c:v>
                </c:pt>
                <c:pt idx="90">
                  <c:v>22.75</c:v>
                </c:pt>
                <c:pt idx="91">
                  <c:v>23</c:v>
                </c:pt>
                <c:pt idx="92">
                  <c:v>23.25</c:v>
                </c:pt>
                <c:pt idx="93">
                  <c:v>23.5</c:v>
                </c:pt>
                <c:pt idx="94">
                  <c:v>23.75</c:v>
                </c:pt>
                <c:pt idx="95">
                  <c:v>24</c:v>
                </c:pt>
                <c:pt idx="96">
                  <c:v>24.25</c:v>
                </c:pt>
                <c:pt idx="97">
                  <c:v>24.5</c:v>
                </c:pt>
                <c:pt idx="98">
                  <c:v>24.75</c:v>
                </c:pt>
                <c:pt idx="99">
                  <c:v>25</c:v>
                </c:pt>
              </c:numCache>
            </c:numRef>
          </c:cat>
          <c:val>
            <c:numRef>
              <c:f>Sheet1!$B$11:$CW$11</c:f>
              <c:numCache>
                <c:formatCode>General</c:formatCode>
                <c:ptCount val="100"/>
                <c:pt idx="0">
                  <c:v>4.6070487</c:v>
                </c:pt>
                <c:pt idx="1">
                  <c:v>4.8781397999999996</c:v>
                </c:pt>
                <c:pt idx="2">
                  <c:v>5.1911459999999998</c:v>
                </c:pt>
                <c:pt idx="3">
                  <c:v>5.4700227999999997</c:v>
                </c:pt>
                <c:pt idx="4">
                  <c:v>5.7094958</c:v>
                </c:pt>
                <c:pt idx="5">
                  <c:v>5.9139899000000007</c:v>
                </c:pt>
                <c:pt idx="6">
                  <c:v>6.0893432999999995</c:v>
                </c:pt>
                <c:pt idx="7">
                  <c:v>6.2410158000000004</c:v>
                </c:pt>
                <c:pt idx="8">
                  <c:v>6.3736802999999993</c:v>
                </c:pt>
                <c:pt idx="9">
                  <c:v>6.4911887999999998</c:v>
                </c:pt>
                <c:pt idx="10">
                  <c:v>6.5966503999999997</c:v>
                </c:pt>
                <c:pt idx="11">
                  <c:v>6.6925366000000004</c:v>
                </c:pt>
                <c:pt idx="12">
                  <c:v>6.7807866999999993</c:v>
                </c:pt>
                <c:pt idx="13">
                  <c:v>6.8629039000000001</c:v>
                </c:pt>
                <c:pt idx="14">
                  <c:v>6.9400383999999997</c:v>
                </c:pt>
                <c:pt idx="15">
                  <c:v>7.0130586999999993</c:v>
                </c:pt>
                <c:pt idx="16">
                  <c:v>7.0826105000000004</c:v>
                </c:pt>
                <c:pt idx="17">
                  <c:v>7.1491660999999995</c:v>
                </c:pt>
                <c:pt idx="18">
                  <c:v>7.2130648000000006</c:v>
                </c:pt>
                <c:pt idx="19">
                  <c:v>7.2745454000000001</c:v>
                </c:pt>
                <c:pt idx="20">
                  <c:v>7.3337727000000008</c:v>
                </c:pt>
                <c:pt idx="21">
                  <c:v>7.3908582999999997</c:v>
                </c:pt>
                <c:pt idx="22">
                  <c:v>7.4458769999999994</c:v>
                </c:pt>
                <c:pt idx="23">
                  <c:v>7.4988798999999995</c:v>
                </c:pt>
                <c:pt idx="24">
                  <c:v>7.5499037000000007</c:v>
                </c:pt>
                <c:pt idx="25">
                  <c:v>7.598978100000001</c:v>
                </c:pt>
                <c:pt idx="26">
                  <c:v>7.6461313000000004</c:v>
                </c:pt>
                <c:pt idx="27">
                  <c:v>7.6913932000000003</c:v>
                </c:pt>
                <c:pt idx="28">
                  <c:v>7.7347979999999996</c:v>
                </c:pt>
                <c:pt idx="29">
                  <c:v>7.7763855000000008</c:v>
                </c:pt>
                <c:pt idx="30">
                  <c:v>7.8162014000000006</c:v>
                </c:pt>
                <c:pt idx="31">
                  <c:v>7.8542977</c:v>
                </c:pt>
                <c:pt idx="32">
                  <c:v>7.8907319999999999</c:v>
                </c:pt>
                <c:pt idx="33">
                  <c:v>7.9255664000000001</c:v>
                </c:pt>
                <c:pt idx="34">
                  <c:v>7.9588672999999996</c:v>
                </c:pt>
                <c:pt idx="35">
                  <c:v>7.9907035000000004</c:v>
                </c:pt>
                <c:pt idx="36">
                  <c:v>8.0211453000000006</c:v>
                </c:pt>
                <c:pt idx="37">
                  <c:v>8.0502637999999997</c:v>
                </c:pt>
                <c:pt idx="38">
                  <c:v>8.0781290000000006</c:v>
                </c:pt>
                <c:pt idx="39">
                  <c:v>8.1048095999999994</c:v>
                </c:pt>
                <c:pt idx="40">
                  <c:v>8.1303713999999996</c:v>
                </c:pt>
                <c:pt idx="41">
                  <c:v>8.1548768999999997</c:v>
                </c:pt>
                <c:pt idx="42">
                  <c:v>8.1783844999999999</c:v>
                </c:pt>
                <c:pt idx="43">
                  <c:v>8.2009475999999992</c:v>
                </c:pt>
                <c:pt idx="44">
                  <c:v>8.2226149999999993</c:v>
                </c:pt>
                <c:pt idx="45">
                  <c:v>8.2434296000000007</c:v>
                </c:pt>
                <c:pt idx="46">
                  <c:v>8.2634290000000004</c:v>
                </c:pt>
                <c:pt idx="47">
                  <c:v>8.2826448999999993</c:v>
                </c:pt>
                <c:pt idx="48">
                  <c:v>8.3011032999999994</c:v>
                </c:pt>
                <c:pt idx="49">
                  <c:v>8.3188250000000004</c:v>
                </c:pt>
                <c:pt idx="50">
                  <c:v>8.3358251999999986</c:v>
                </c:pt>
                <c:pt idx="51">
                  <c:v>8.3521142000000008</c:v>
                </c:pt>
                <c:pt idx="52">
                  <c:v>8.3676975000000002</c:v>
                </c:pt>
                <c:pt idx="53">
                  <c:v>8.3825766000000002</c:v>
                </c:pt>
                <c:pt idx="54">
                  <c:v>8.3967492999999997</c:v>
                </c:pt>
                <c:pt idx="55">
                  <c:v>8.4102098999999999</c:v>
                </c:pt>
                <c:pt idx="56">
                  <c:v>8.4229503000000001</c:v>
                </c:pt>
                <c:pt idx="57">
                  <c:v>8.4349600999999996</c:v>
                </c:pt>
                <c:pt idx="58">
                  <c:v>8.4462275000000009</c:v>
                </c:pt>
                <c:pt idx="59">
                  <c:v>8.4567397999999994</c:v>
                </c:pt>
                <c:pt idx="60">
                  <c:v>8.4664840000000012</c:v>
                </c:pt>
                <c:pt idx="61">
                  <c:v>8.475447299999999</c:v>
                </c:pt>
                <c:pt idx="62">
                  <c:v>8.4836179000000005</c:v>
                </c:pt>
                <c:pt idx="63">
                  <c:v>8.490985199999999</c:v>
                </c:pt>
                <c:pt idx="64">
                  <c:v>8.4975409000000006</c:v>
                </c:pt>
                <c:pt idx="65">
                  <c:v>8.5032791000000003</c:v>
                </c:pt>
                <c:pt idx="66">
                  <c:v>8.5081966999999992</c:v>
                </c:pt>
                <c:pt idx="67">
                  <c:v>8.5122943000000006</c:v>
                </c:pt>
                <c:pt idx="68">
                  <c:v>8.5155761999999999</c:v>
                </c:pt>
                <c:pt idx="69">
                  <c:v>8.5180512000000004</c:v>
                </c:pt>
                <c:pt idx="70">
                  <c:v>8.5197324999999999</c:v>
                </c:pt>
                <c:pt idx="71">
                  <c:v>8.5206380999999993</c:v>
                </c:pt>
                <c:pt idx="72">
                  <c:v>8.5207912999999991</c:v>
                </c:pt>
                <c:pt idx="73">
                  <c:v>8.5202205000000006</c:v>
                </c:pt>
                <c:pt idx="74">
                  <c:v>8.5189599000000005</c:v>
                </c:pt>
                <c:pt idx="75">
                  <c:v>8.5170487000000001</c:v>
                </c:pt>
                <c:pt idx="76">
                  <c:v>8.5145322999999991</c:v>
                </c:pt>
                <c:pt idx="77">
                  <c:v>8.5114612000000012</c:v>
                </c:pt>
                <c:pt idx="78">
                  <c:v>8.5078917999999994</c:v>
                </c:pt>
                <c:pt idx="79">
                  <c:v>8.5038857999999991</c:v>
                </c:pt>
                <c:pt idx="80">
                  <c:v>8.4995103000000007</c:v>
                </c:pt>
                <c:pt idx="81">
                  <c:v>8.4948379000000003</c:v>
                </c:pt>
                <c:pt idx="82">
                  <c:v>8.4899457999999992</c:v>
                </c:pt>
                <c:pt idx="83">
                  <c:v>8.4849166</c:v>
                </c:pt>
                <c:pt idx="84">
                  <c:v>8.4798370999999992</c:v>
                </c:pt>
                <c:pt idx="85">
                  <c:v>8.4747988999999997</c:v>
                </c:pt>
                <c:pt idx="86">
                  <c:v>8.4698978</c:v>
                </c:pt>
                <c:pt idx="87">
                  <c:v>8.4652335000000001</c:v>
                </c:pt>
                <c:pt idx="88">
                  <c:v>8.4609097000000002</c:v>
                </c:pt>
                <c:pt idx="89">
                  <c:v>8.457033599999999</c:v>
                </c:pt>
                <c:pt idx="90">
                  <c:v>8.453716</c:v>
                </c:pt>
                <c:pt idx="91">
                  <c:v>8.4510711000000001</c:v>
                </c:pt>
                <c:pt idx="92">
                  <c:v>8.4492162000000004</c:v>
                </c:pt>
                <c:pt idx="93">
                  <c:v>8.4482718999999999</c:v>
                </c:pt>
                <c:pt idx="94">
                  <c:v>8.4483620999999989</c:v>
                </c:pt>
                <c:pt idx="95">
                  <c:v>8.4496137000000004</c:v>
                </c:pt>
                <c:pt idx="96">
                  <c:v>8.4521572999999997</c:v>
                </c:pt>
                <c:pt idx="97">
                  <c:v>8.4561268999999992</c:v>
                </c:pt>
                <c:pt idx="98">
                  <c:v>8.4616602000000007</c:v>
                </c:pt>
                <c:pt idx="99">
                  <c:v>8.4688995000000009</c:v>
                </c:pt>
              </c:numCache>
            </c:numRef>
          </c:val>
          <c:smooth val="0"/>
          <c:extLst>
            <c:ext xmlns:c16="http://schemas.microsoft.com/office/drawing/2014/chart" uri="{C3380CC4-5D6E-409C-BE32-E72D297353CC}">
              <c16:uniqueId val="{00000001-9E06-49A8-8CEF-313FA06CA61E}"/>
            </c:ext>
          </c:extLst>
        </c:ser>
        <c:ser>
          <c:idx val="1"/>
          <c:order val="1"/>
          <c:tx>
            <c:strRef>
              <c:f>Sheet1!$A$12</c:f>
              <c:strCache>
                <c:ptCount val="1"/>
                <c:pt idx="0">
                  <c:v>2007-06-27</c:v>
                </c:pt>
              </c:strCache>
            </c:strRef>
          </c:tx>
          <c:spPr>
            <a:ln w="28575" cap="rnd">
              <a:solidFill>
                <a:schemeClr val="accent2"/>
              </a:solidFill>
              <a:round/>
            </a:ln>
            <a:effectLst/>
          </c:spPr>
          <c:marker>
            <c:symbol val="none"/>
          </c:marker>
          <c:dLbls>
            <c:dLbl>
              <c:idx val="56"/>
              <c:dLblPos val="b"/>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2-9E06-49A8-8CEF-313FA06CA61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Sheet1!$B$10:$CW$10</c:f>
              <c:numCache>
                <c:formatCode>General</c:formatCode>
                <c:ptCount val="100"/>
                <c:pt idx="0">
                  <c:v>0.25</c:v>
                </c:pt>
                <c:pt idx="1">
                  <c:v>0.5</c:v>
                </c:pt>
                <c:pt idx="2">
                  <c:v>0.75</c:v>
                </c:pt>
                <c:pt idx="3">
                  <c:v>1</c:v>
                </c:pt>
                <c:pt idx="4">
                  <c:v>1.25</c:v>
                </c:pt>
                <c:pt idx="5">
                  <c:v>1.5</c:v>
                </c:pt>
                <c:pt idx="6">
                  <c:v>1.75</c:v>
                </c:pt>
                <c:pt idx="7">
                  <c:v>2</c:v>
                </c:pt>
                <c:pt idx="8">
                  <c:v>2.25</c:v>
                </c:pt>
                <c:pt idx="9">
                  <c:v>2.5</c:v>
                </c:pt>
                <c:pt idx="10">
                  <c:v>2.75</c:v>
                </c:pt>
                <c:pt idx="11">
                  <c:v>3</c:v>
                </c:pt>
                <c:pt idx="12">
                  <c:v>3.25</c:v>
                </c:pt>
                <c:pt idx="13">
                  <c:v>3.5</c:v>
                </c:pt>
                <c:pt idx="14">
                  <c:v>3.75</c:v>
                </c:pt>
                <c:pt idx="15">
                  <c:v>4</c:v>
                </c:pt>
                <c:pt idx="16">
                  <c:v>4.25</c:v>
                </c:pt>
                <c:pt idx="17">
                  <c:v>4.5</c:v>
                </c:pt>
                <c:pt idx="18">
                  <c:v>4.75</c:v>
                </c:pt>
                <c:pt idx="19">
                  <c:v>5</c:v>
                </c:pt>
                <c:pt idx="20">
                  <c:v>5.25</c:v>
                </c:pt>
                <c:pt idx="21">
                  <c:v>5.5</c:v>
                </c:pt>
                <c:pt idx="22">
                  <c:v>5.75</c:v>
                </c:pt>
                <c:pt idx="23">
                  <c:v>6</c:v>
                </c:pt>
                <c:pt idx="24">
                  <c:v>6.25</c:v>
                </c:pt>
                <c:pt idx="25">
                  <c:v>6.5</c:v>
                </c:pt>
                <c:pt idx="26">
                  <c:v>6.75</c:v>
                </c:pt>
                <c:pt idx="27">
                  <c:v>7</c:v>
                </c:pt>
                <c:pt idx="28">
                  <c:v>7.25</c:v>
                </c:pt>
                <c:pt idx="29">
                  <c:v>7.5</c:v>
                </c:pt>
                <c:pt idx="30">
                  <c:v>7.75</c:v>
                </c:pt>
                <c:pt idx="31">
                  <c:v>8</c:v>
                </c:pt>
                <c:pt idx="32">
                  <c:v>8.25</c:v>
                </c:pt>
                <c:pt idx="33">
                  <c:v>8.5</c:v>
                </c:pt>
                <c:pt idx="34">
                  <c:v>8.75</c:v>
                </c:pt>
                <c:pt idx="35">
                  <c:v>9</c:v>
                </c:pt>
                <c:pt idx="36">
                  <c:v>9.25</c:v>
                </c:pt>
                <c:pt idx="37">
                  <c:v>9.5</c:v>
                </c:pt>
                <c:pt idx="38">
                  <c:v>9.75</c:v>
                </c:pt>
                <c:pt idx="39">
                  <c:v>10</c:v>
                </c:pt>
                <c:pt idx="40">
                  <c:v>10.25</c:v>
                </c:pt>
                <c:pt idx="41">
                  <c:v>10.5</c:v>
                </c:pt>
                <c:pt idx="42">
                  <c:v>10.75</c:v>
                </c:pt>
                <c:pt idx="43">
                  <c:v>11</c:v>
                </c:pt>
                <c:pt idx="44">
                  <c:v>11.25</c:v>
                </c:pt>
                <c:pt idx="45">
                  <c:v>11.5</c:v>
                </c:pt>
                <c:pt idx="46">
                  <c:v>11.75</c:v>
                </c:pt>
                <c:pt idx="47">
                  <c:v>12</c:v>
                </c:pt>
                <c:pt idx="48">
                  <c:v>12.25</c:v>
                </c:pt>
                <c:pt idx="49">
                  <c:v>12.5</c:v>
                </c:pt>
                <c:pt idx="50">
                  <c:v>12.75</c:v>
                </c:pt>
                <c:pt idx="51">
                  <c:v>13</c:v>
                </c:pt>
                <c:pt idx="52">
                  <c:v>13.25</c:v>
                </c:pt>
                <c:pt idx="53">
                  <c:v>13.5</c:v>
                </c:pt>
                <c:pt idx="54">
                  <c:v>13.75</c:v>
                </c:pt>
                <c:pt idx="55">
                  <c:v>14</c:v>
                </c:pt>
                <c:pt idx="56">
                  <c:v>14.25</c:v>
                </c:pt>
                <c:pt idx="57">
                  <c:v>14.5</c:v>
                </c:pt>
                <c:pt idx="58">
                  <c:v>14.75</c:v>
                </c:pt>
                <c:pt idx="59">
                  <c:v>15</c:v>
                </c:pt>
                <c:pt idx="60">
                  <c:v>15.25</c:v>
                </c:pt>
                <c:pt idx="61">
                  <c:v>15.5</c:v>
                </c:pt>
                <c:pt idx="62">
                  <c:v>15.75</c:v>
                </c:pt>
                <c:pt idx="63">
                  <c:v>16</c:v>
                </c:pt>
                <c:pt idx="64">
                  <c:v>16.25</c:v>
                </c:pt>
                <c:pt idx="65">
                  <c:v>16.5</c:v>
                </c:pt>
                <c:pt idx="66">
                  <c:v>16.75</c:v>
                </c:pt>
                <c:pt idx="67">
                  <c:v>17</c:v>
                </c:pt>
                <c:pt idx="68">
                  <c:v>17.25</c:v>
                </c:pt>
                <c:pt idx="69">
                  <c:v>17.5</c:v>
                </c:pt>
                <c:pt idx="70">
                  <c:v>17.75</c:v>
                </c:pt>
                <c:pt idx="71">
                  <c:v>18</c:v>
                </c:pt>
                <c:pt idx="72">
                  <c:v>18.25</c:v>
                </c:pt>
                <c:pt idx="73">
                  <c:v>18.5</c:v>
                </c:pt>
                <c:pt idx="74">
                  <c:v>18.75</c:v>
                </c:pt>
                <c:pt idx="75">
                  <c:v>19</c:v>
                </c:pt>
                <c:pt idx="76">
                  <c:v>19.25</c:v>
                </c:pt>
                <c:pt idx="77">
                  <c:v>19.5</c:v>
                </c:pt>
                <c:pt idx="78">
                  <c:v>19.75</c:v>
                </c:pt>
                <c:pt idx="79">
                  <c:v>20</c:v>
                </c:pt>
                <c:pt idx="80">
                  <c:v>20.25</c:v>
                </c:pt>
                <c:pt idx="81">
                  <c:v>20.5</c:v>
                </c:pt>
                <c:pt idx="82">
                  <c:v>20.75</c:v>
                </c:pt>
                <c:pt idx="83">
                  <c:v>21</c:v>
                </c:pt>
                <c:pt idx="84">
                  <c:v>21.25</c:v>
                </c:pt>
                <c:pt idx="85">
                  <c:v>21.5</c:v>
                </c:pt>
                <c:pt idx="86">
                  <c:v>21.75</c:v>
                </c:pt>
                <c:pt idx="87">
                  <c:v>22</c:v>
                </c:pt>
                <c:pt idx="88">
                  <c:v>22.25</c:v>
                </c:pt>
                <c:pt idx="89">
                  <c:v>22.5</c:v>
                </c:pt>
                <c:pt idx="90">
                  <c:v>22.75</c:v>
                </c:pt>
                <c:pt idx="91">
                  <c:v>23</c:v>
                </c:pt>
                <c:pt idx="92">
                  <c:v>23.25</c:v>
                </c:pt>
                <c:pt idx="93">
                  <c:v>23.5</c:v>
                </c:pt>
                <c:pt idx="94">
                  <c:v>23.75</c:v>
                </c:pt>
                <c:pt idx="95">
                  <c:v>24</c:v>
                </c:pt>
                <c:pt idx="96">
                  <c:v>24.25</c:v>
                </c:pt>
                <c:pt idx="97">
                  <c:v>24.5</c:v>
                </c:pt>
                <c:pt idx="98">
                  <c:v>24.75</c:v>
                </c:pt>
                <c:pt idx="99">
                  <c:v>25</c:v>
                </c:pt>
              </c:numCache>
            </c:numRef>
          </c:cat>
          <c:val>
            <c:numRef>
              <c:f>Sheet1!$B$12:$CW$12</c:f>
              <c:numCache>
                <c:formatCode>General</c:formatCode>
                <c:ptCount val="100"/>
                <c:pt idx="0">
                  <c:v>4.4063296000000003</c:v>
                </c:pt>
                <c:pt idx="1">
                  <c:v>4.5153164000000006</c:v>
                </c:pt>
                <c:pt idx="2">
                  <c:v>4.5658389000000001</c:v>
                </c:pt>
                <c:pt idx="3">
                  <c:v>4.5922635000000005</c:v>
                </c:pt>
                <c:pt idx="4">
                  <c:v>4.6049138000000003</c:v>
                </c:pt>
                <c:pt idx="5">
                  <c:v>4.6091571999999994</c:v>
                </c:pt>
                <c:pt idx="6">
                  <c:v>4.6083483999999997</c:v>
                </c:pt>
                <c:pt idx="7">
                  <c:v>4.6047104999999995</c:v>
                </c:pt>
                <c:pt idx="8">
                  <c:v>4.5997282999999998</c:v>
                </c:pt>
                <c:pt idx="9">
                  <c:v>4.5943734000000003</c:v>
                </c:pt>
                <c:pt idx="10">
                  <c:v>4.5892531999999999</c:v>
                </c:pt>
                <c:pt idx="11">
                  <c:v>4.5847160000000002</c:v>
                </c:pt>
                <c:pt idx="12">
                  <c:v>4.5809291000000005</c:v>
                </c:pt>
                <c:pt idx="13">
                  <c:v>4.5779358999999999</c:v>
                </c:pt>
                <c:pt idx="14">
                  <c:v>4.5756994999999998</c:v>
                </c:pt>
                <c:pt idx="15">
                  <c:v>4.5741338000000002</c:v>
                </c:pt>
                <c:pt idx="16">
                  <c:v>4.5731270999999998</c:v>
                </c:pt>
                <c:pt idx="17">
                  <c:v>4.5725582999999999</c:v>
                </c:pt>
                <c:pt idx="18">
                  <c:v>4.5723083999999998</c:v>
                </c:pt>
                <c:pt idx="19">
                  <c:v>4.5722678000000005</c:v>
                </c:pt>
                <c:pt idx="20">
                  <c:v>4.5723406999999998</c:v>
                </c:pt>
                <c:pt idx="21">
                  <c:v>4.5724479000000002</c:v>
                </c:pt>
                <c:pt idx="22">
                  <c:v>4.5725267000000001</c:v>
                </c:pt>
                <c:pt idx="23">
                  <c:v>4.5725315000000002</c:v>
                </c:pt>
                <c:pt idx="24">
                  <c:v>4.5724318000000004</c:v>
                </c:pt>
                <c:pt idx="25">
                  <c:v>4.5722107999999997</c:v>
                </c:pt>
                <c:pt idx="26">
                  <c:v>4.5718638999999994</c:v>
                </c:pt>
                <c:pt idx="27">
                  <c:v>4.5713958999999997</c:v>
                </c:pt>
                <c:pt idx="28">
                  <c:v>4.5708196999999995</c:v>
                </c:pt>
                <c:pt idx="29">
                  <c:v>4.5701539000000002</c:v>
                </c:pt>
                <c:pt idx="30">
                  <c:v>4.5694213999999995</c:v>
                </c:pt>
                <c:pt idx="31">
                  <c:v>4.5686472999999994</c:v>
                </c:pt>
                <c:pt idx="32">
                  <c:v>4.5678580000000002</c:v>
                </c:pt>
                <c:pt idx="33">
                  <c:v>4.5670795999999996</c:v>
                </c:pt>
                <c:pt idx="34">
                  <c:v>4.5663371000000001</c:v>
                </c:pt>
                <c:pt idx="35">
                  <c:v>4.5656536000000001</c:v>
                </c:pt>
                <c:pt idx="36">
                  <c:v>4.5650496999999994</c:v>
                </c:pt>
                <c:pt idx="37">
                  <c:v>4.5645427999999999</c:v>
                </c:pt>
                <c:pt idx="38">
                  <c:v>4.5641474000000004</c:v>
                </c:pt>
                <c:pt idx="39">
                  <c:v>4.5638740999999996</c:v>
                </c:pt>
                <c:pt idx="40">
                  <c:v>4.5637300999999999</c:v>
                </c:pt>
                <c:pt idx="41">
                  <c:v>4.5637194000000001</c:v>
                </c:pt>
                <c:pt idx="42">
                  <c:v>4.5638423000000001</c:v>
                </c:pt>
                <c:pt idx="43">
                  <c:v>4.5640960000000002</c:v>
                </c:pt>
                <c:pt idx="44">
                  <c:v>4.5644749999999998</c:v>
                </c:pt>
                <c:pt idx="45">
                  <c:v>4.5649708999999996</c:v>
                </c:pt>
                <c:pt idx="46">
                  <c:v>4.5655729000000003</c:v>
                </c:pt>
                <c:pt idx="47">
                  <c:v>4.5662682999999999</c:v>
                </c:pt>
                <c:pt idx="48">
                  <c:v>4.5670425999999997</c:v>
                </c:pt>
                <c:pt idx="49">
                  <c:v>4.5678798</c:v>
                </c:pt>
                <c:pt idx="50">
                  <c:v>4.5687629999999997</c:v>
                </c:pt>
                <c:pt idx="51">
                  <c:v>4.5696743</c:v>
                </c:pt>
                <c:pt idx="52">
                  <c:v>4.5705952999999999</c:v>
                </c:pt>
                <c:pt idx="53">
                  <c:v>4.5715073999999998</c:v>
                </c:pt>
                <c:pt idx="54">
                  <c:v>4.5723921000000001</c:v>
                </c:pt>
                <c:pt idx="55">
                  <c:v>4.5732308999999995</c:v>
                </c:pt>
                <c:pt idx="56">
                  <c:v>4.5740061000000001</c:v>
                </c:pt>
                <c:pt idx="57">
                  <c:v>4.5747002999999999</c:v>
                </c:pt>
                <c:pt idx="58">
                  <c:v>4.5752971000000002</c:v>
                </c:pt>
                <c:pt idx="59">
                  <c:v>4.5757810000000001</c:v>
                </c:pt>
                <c:pt idx="60">
                  <c:v>4.5761374000000004</c:v>
                </c:pt>
                <c:pt idx="61">
                  <c:v>4.5763532000000007</c:v>
                </c:pt>
                <c:pt idx="62">
                  <c:v>4.5764163</c:v>
                </c:pt>
                <c:pt idx="63">
                  <c:v>4.5763157999999997</c:v>
                </c:pt>
                <c:pt idx="64">
                  <c:v>4.5760424999999998</c:v>
                </c:pt>
                <c:pt idx="65">
                  <c:v>4.5755884</c:v>
                </c:pt>
                <c:pt idx="66">
                  <c:v>4.5749466999999999</c:v>
                </c:pt>
                <c:pt idx="67">
                  <c:v>4.5741123000000004</c:v>
                </c:pt>
                <c:pt idx="68">
                  <c:v>4.5730811999999998</c:v>
                </c:pt>
                <c:pt idx="69">
                  <c:v>4.5718509999999997</c:v>
                </c:pt>
                <c:pt idx="70">
                  <c:v>4.5704203999999997</c:v>
                </c:pt>
                <c:pt idx="71">
                  <c:v>4.5687894</c:v>
                </c:pt>
                <c:pt idx="72">
                  <c:v>4.5669594</c:v>
                </c:pt>
                <c:pt idx="73">
                  <c:v>4.5649325999999997</c:v>
                </c:pt>
                <c:pt idx="74">
                  <c:v>4.5627125999999993</c:v>
                </c:pt>
                <c:pt idx="75">
                  <c:v>4.5603039000000001</c:v>
                </c:pt>
                <c:pt idx="76">
                  <c:v>4.5577119000000001</c:v>
                </c:pt>
                <c:pt idx="77">
                  <c:v>4.5549429999999997</c:v>
                </c:pt>
                <c:pt idx="78">
                  <c:v>4.5520041999999998</c:v>
                </c:pt>
                <c:pt idx="79">
                  <c:v>4.5489034999999998</c:v>
                </c:pt>
                <c:pt idx="80">
                  <c:v>4.5456491999999997</c:v>
                </c:pt>
                <c:pt idx="81">
                  <c:v>4.5422504999999997</c:v>
                </c:pt>
                <c:pt idx="82">
                  <c:v>4.5387168999999998</c:v>
                </c:pt>
                <c:pt idx="83">
                  <c:v>4.5350583000000002</c:v>
                </c:pt>
                <c:pt idx="84">
                  <c:v>4.5312850999999998</c:v>
                </c:pt>
                <c:pt idx="85">
                  <c:v>4.5274077000000004</c:v>
                </c:pt>
                <c:pt idx="86">
                  <c:v>4.5234371000000007</c:v>
                </c:pt>
                <c:pt idx="87">
                  <c:v>4.5193840999999999</c:v>
                </c:pt>
                <c:pt idx="88">
                  <c:v>4.5152597999999999</c:v>
                </c:pt>
                <c:pt idx="89">
                  <c:v>4.5110751999999996</c:v>
                </c:pt>
                <c:pt idx="90">
                  <c:v>4.5068413000000005</c:v>
                </c:pt>
                <c:pt idx="91">
                  <c:v>4.5025691999999999</c:v>
                </c:pt>
                <c:pt idx="92">
                  <c:v>4.4982696000000004</c:v>
                </c:pt>
                <c:pt idx="93">
                  <c:v>4.4939532999999994</c:v>
                </c:pt>
                <c:pt idx="94">
                  <c:v>4.4896307000000002</c:v>
                </c:pt>
                <c:pt idx="95">
                  <c:v>4.4853122000000001</c:v>
                </c:pt>
                <c:pt idx="96">
                  <c:v>4.4810075999999999</c:v>
                </c:pt>
                <c:pt idx="97">
                  <c:v>4.4767267999999998</c:v>
                </c:pt>
                <c:pt idx="98">
                  <c:v>4.4724791000000002</c:v>
                </c:pt>
                <c:pt idx="99">
                  <c:v>4.4682735000000005</c:v>
                </c:pt>
              </c:numCache>
            </c:numRef>
          </c:val>
          <c:smooth val="0"/>
          <c:extLst>
            <c:ext xmlns:c16="http://schemas.microsoft.com/office/drawing/2014/chart" uri="{C3380CC4-5D6E-409C-BE32-E72D297353CC}">
              <c16:uniqueId val="{00000003-9E06-49A8-8CEF-313FA06CA61E}"/>
            </c:ext>
          </c:extLst>
        </c:ser>
        <c:ser>
          <c:idx val="2"/>
          <c:order val="2"/>
          <c:tx>
            <c:strRef>
              <c:f>Sheet1!$A$13</c:f>
              <c:strCache>
                <c:ptCount val="1"/>
                <c:pt idx="0">
                  <c:v>1989-01-09</c:v>
                </c:pt>
              </c:strCache>
            </c:strRef>
          </c:tx>
          <c:spPr>
            <a:ln w="28575" cap="rnd">
              <a:solidFill>
                <a:schemeClr val="accent3"/>
              </a:solidFill>
              <a:round/>
            </a:ln>
            <a:effectLst/>
          </c:spPr>
          <c:marker>
            <c:symbol val="none"/>
          </c:marker>
          <c:dLbls>
            <c:dLbl>
              <c:idx val="40"/>
              <c:dLblPos val="t"/>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4-9E06-49A8-8CEF-313FA06CA61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Sheet1!$B$10:$CW$10</c:f>
              <c:numCache>
                <c:formatCode>General</c:formatCode>
                <c:ptCount val="100"/>
                <c:pt idx="0">
                  <c:v>0.25</c:v>
                </c:pt>
                <c:pt idx="1">
                  <c:v>0.5</c:v>
                </c:pt>
                <c:pt idx="2">
                  <c:v>0.75</c:v>
                </c:pt>
                <c:pt idx="3">
                  <c:v>1</c:v>
                </c:pt>
                <c:pt idx="4">
                  <c:v>1.25</c:v>
                </c:pt>
                <c:pt idx="5">
                  <c:v>1.5</c:v>
                </c:pt>
                <c:pt idx="6">
                  <c:v>1.75</c:v>
                </c:pt>
                <c:pt idx="7">
                  <c:v>2</c:v>
                </c:pt>
                <c:pt idx="8">
                  <c:v>2.25</c:v>
                </c:pt>
                <c:pt idx="9">
                  <c:v>2.5</c:v>
                </c:pt>
                <c:pt idx="10">
                  <c:v>2.75</c:v>
                </c:pt>
                <c:pt idx="11">
                  <c:v>3</c:v>
                </c:pt>
                <c:pt idx="12">
                  <c:v>3.25</c:v>
                </c:pt>
                <c:pt idx="13">
                  <c:v>3.5</c:v>
                </c:pt>
                <c:pt idx="14">
                  <c:v>3.75</c:v>
                </c:pt>
                <c:pt idx="15">
                  <c:v>4</c:v>
                </c:pt>
                <c:pt idx="16">
                  <c:v>4.25</c:v>
                </c:pt>
                <c:pt idx="17">
                  <c:v>4.5</c:v>
                </c:pt>
                <c:pt idx="18">
                  <c:v>4.75</c:v>
                </c:pt>
                <c:pt idx="19">
                  <c:v>5</c:v>
                </c:pt>
                <c:pt idx="20">
                  <c:v>5.25</c:v>
                </c:pt>
                <c:pt idx="21">
                  <c:v>5.5</c:v>
                </c:pt>
                <c:pt idx="22">
                  <c:v>5.75</c:v>
                </c:pt>
                <c:pt idx="23">
                  <c:v>6</c:v>
                </c:pt>
                <c:pt idx="24">
                  <c:v>6.25</c:v>
                </c:pt>
                <c:pt idx="25">
                  <c:v>6.5</c:v>
                </c:pt>
                <c:pt idx="26">
                  <c:v>6.75</c:v>
                </c:pt>
                <c:pt idx="27">
                  <c:v>7</c:v>
                </c:pt>
                <c:pt idx="28">
                  <c:v>7.25</c:v>
                </c:pt>
                <c:pt idx="29">
                  <c:v>7.5</c:v>
                </c:pt>
                <c:pt idx="30">
                  <c:v>7.75</c:v>
                </c:pt>
                <c:pt idx="31">
                  <c:v>8</c:v>
                </c:pt>
                <c:pt idx="32">
                  <c:v>8.25</c:v>
                </c:pt>
                <c:pt idx="33">
                  <c:v>8.5</c:v>
                </c:pt>
                <c:pt idx="34">
                  <c:v>8.75</c:v>
                </c:pt>
                <c:pt idx="35">
                  <c:v>9</c:v>
                </c:pt>
                <c:pt idx="36">
                  <c:v>9.25</c:v>
                </c:pt>
                <c:pt idx="37">
                  <c:v>9.5</c:v>
                </c:pt>
                <c:pt idx="38">
                  <c:v>9.75</c:v>
                </c:pt>
                <c:pt idx="39">
                  <c:v>10</c:v>
                </c:pt>
                <c:pt idx="40">
                  <c:v>10.25</c:v>
                </c:pt>
                <c:pt idx="41">
                  <c:v>10.5</c:v>
                </c:pt>
                <c:pt idx="42">
                  <c:v>10.75</c:v>
                </c:pt>
                <c:pt idx="43">
                  <c:v>11</c:v>
                </c:pt>
                <c:pt idx="44">
                  <c:v>11.25</c:v>
                </c:pt>
                <c:pt idx="45">
                  <c:v>11.5</c:v>
                </c:pt>
                <c:pt idx="46">
                  <c:v>11.75</c:v>
                </c:pt>
                <c:pt idx="47">
                  <c:v>12</c:v>
                </c:pt>
                <c:pt idx="48">
                  <c:v>12.25</c:v>
                </c:pt>
                <c:pt idx="49">
                  <c:v>12.5</c:v>
                </c:pt>
                <c:pt idx="50">
                  <c:v>12.75</c:v>
                </c:pt>
                <c:pt idx="51">
                  <c:v>13</c:v>
                </c:pt>
                <c:pt idx="52">
                  <c:v>13.25</c:v>
                </c:pt>
                <c:pt idx="53">
                  <c:v>13.5</c:v>
                </c:pt>
                <c:pt idx="54">
                  <c:v>13.75</c:v>
                </c:pt>
                <c:pt idx="55">
                  <c:v>14</c:v>
                </c:pt>
                <c:pt idx="56">
                  <c:v>14.25</c:v>
                </c:pt>
                <c:pt idx="57">
                  <c:v>14.5</c:v>
                </c:pt>
                <c:pt idx="58">
                  <c:v>14.75</c:v>
                </c:pt>
                <c:pt idx="59">
                  <c:v>15</c:v>
                </c:pt>
                <c:pt idx="60">
                  <c:v>15.25</c:v>
                </c:pt>
                <c:pt idx="61">
                  <c:v>15.5</c:v>
                </c:pt>
                <c:pt idx="62">
                  <c:v>15.75</c:v>
                </c:pt>
                <c:pt idx="63">
                  <c:v>16</c:v>
                </c:pt>
                <c:pt idx="64">
                  <c:v>16.25</c:v>
                </c:pt>
                <c:pt idx="65">
                  <c:v>16.5</c:v>
                </c:pt>
                <c:pt idx="66">
                  <c:v>16.75</c:v>
                </c:pt>
                <c:pt idx="67">
                  <c:v>17</c:v>
                </c:pt>
                <c:pt idx="68">
                  <c:v>17.25</c:v>
                </c:pt>
                <c:pt idx="69">
                  <c:v>17.5</c:v>
                </c:pt>
                <c:pt idx="70">
                  <c:v>17.75</c:v>
                </c:pt>
                <c:pt idx="71">
                  <c:v>18</c:v>
                </c:pt>
                <c:pt idx="72">
                  <c:v>18.25</c:v>
                </c:pt>
                <c:pt idx="73">
                  <c:v>18.5</c:v>
                </c:pt>
                <c:pt idx="74">
                  <c:v>18.75</c:v>
                </c:pt>
                <c:pt idx="75">
                  <c:v>19</c:v>
                </c:pt>
                <c:pt idx="76">
                  <c:v>19.25</c:v>
                </c:pt>
                <c:pt idx="77">
                  <c:v>19.5</c:v>
                </c:pt>
                <c:pt idx="78">
                  <c:v>19.75</c:v>
                </c:pt>
                <c:pt idx="79">
                  <c:v>20</c:v>
                </c:pt>
                <c:pt idx="80">
                  <c:v>20.25</c:v>
                </c:pt>
                <c:pt idx="81">
                  <c:v>20.5</c:v>
                </c:pt>
                <c:pt idx="82">
                  <c:v>20.75</c:v>
                </c:pt>
                <c:pt idx="83">
                  <c:v>21</c:v>
                </c:pt>
                <c:pt idx="84">
                  <c:v>21.25</c:v>
                </c:pt>
                <c:pt idx="85">
                  <c:v>21.5</c:v>
                </c:pt>
                <c:pt idx="86">
                  <c:v>21.75</c:v>
                </c:pt>
                <c:pt idx="87">
                  <c:v>22</c:v>
                </c:pt>
                <c:pt idx="88">
                  <c:v>22.25</c:v>
                </c:pt>
                <c:pt idx="89">
                  <c:v>22.5</c:v>
                </c:pt>
                <c:pt idx="90">
                  <c:v>22.75</c:v>
                </c:pt>
                <c:pt idx="91">
                  <c:v>23</c:v>
                </c:pt>
                <c:pt idx="92">
                  <c:v>23.25</c:v>
                </c:pt>
                <c:pt idx="93">
                  <c:v>23.5</c:v>
                </c:pt>
                <c:pt idx="94">
                  <c:v>23.75</c:v>
                </c:pt>
                <c:pt idx="95">
                  <c:v>24</c:v>
                </c:pt>
                <c:pt idx="96">
                  <c:v>24.25</c:v>
                </c:pt>
                <c:pt idx="97">
                  <c:v>24.5</c:v>
                </c:pt>
                <c:pt idx="98">
                  <c:v>24.75</c:v>
                </c:pt>
                <c:pt idx="99">
                  <c:v>25</c:v>
                </c:pt>
              </c:numCache>
            </c:numRef>
          </c:cat>
          <c:val>
            <c:numRef>
              <c:f>Sheet1!$B$13:$CW$13</c:f>
              <c:numCache>
                <c:formatCode>General</c:formatCode>
                <c:ptCount val="100"/>
                <c:pt idx="0">
                  <c:v>10.895633999999999</c:v>
                </c:pt>
                <c:pt idx="1">
                  <c:v>10.886317</c:v>
                </c:pt>
                <c:pt idx="2">
                  <c:v>10.800713</c:v>
                </c:pt>
                <c:pt idx="3">
                  <c:v>10.711658</c:v>
                </c:pt>
                <c:pt idx="4">
                  <c:v>10.629071</c:v>
                </c:pt>
                <c:pt idx="5">
                  <c:v>10.55443</c:v>
                </c:pt>
                <c:pt idx="6">
                  <c:v>10.487757</c:v>
                </c:pt>
                <c:pt idx="7">
                  <c:v>10.428915</c:v>
                </c:pt>
                <c:pt idx="8">
                  <c:v>10.377790000000001</c:v>
                </c:pt>
                <c:pt idx="9">
                  <c:v>10.334250000000001</c:v>
                </c:pt>
                <c:pt idx="10">
                  <c:v>10.298069999999999</c:v>
                </c:pt>
                <c:pt idx="11">
                  <c:v>10.268886</c:v>
                </c:pt>
                <c:pt idx="12">
                  <c:v>10.246188</c:v>
                </c:pt>
                <c:pt idx="13">
                  <c:v>10.229322</c:v>
                </c:pt>
                <c:pt idx="14">
                  <c:v>10.217523</c:v>
                </c:pt>
                <c:pt idx="15">
                  <c:v>10.209947</c:v>
                </c:pt>
                <c:pt idx="16">
                  <c:v>10.205711000000001</c:v>
                </c:pt>
                <c:pt idx="17">
                  <c:v>10.20393</c:v>
                </c:pt>
                <c:pt idx="18">
                  <c:v>10.203749</c:v>
                </c:pt>
                <c:pt idx="19">
                  <c:v>10.204373</c:v>
                </c:pt>
                <c:pt idx="20">
                  <c:v>10.20509</c:v>
                </c:pt>
                <c:pt idx="21">
                  <c:v>10.205285999999999</c:v>
                </c:pt>
                <c:pt idx="22">
                  <c:v>10.204457</c:v>
                </c:pt>
                <c:pt idx="23">
                  <c:v>10.202214</c:v>
                </c:pt>
                <c:pt idx="24">
                  <c:v>10.198286</c:v>
                </c:pt>
                <c:pt idx="25">
                  <c:v>10.192511</c:v>
                </c:pt>
                <c:pt idx="26">
                  <c:v>10.184838000000001</c:v>
                </c:pt>
                <c:pt idx="27">
                  <c:v>10.175310999999999</c:v>
                </c:pt>
                <c:pt idx="28">
                  <c:v>10.164059</c:v>
                </c:pt>
                <c:pt idx="29">
                  <c:v>10.151287</c:v>
                </c:pt>
                <c:pt idx="30">
                  <c:v>10.137258000000001</c:v>
                </c:pt>
                <c:pt idx="31">
                  <c:v>10.122280999999999</c:v>
                </c:pt>
                <c:pt idx="32">
                  <c:v>10.106698999999999</c:v>
                </c:pt>
                <c:pt idx="33">
                  <c:v>10.090873</c:v>
                </c:pt>
                <c:pt idx="34">
                  <c:v>10.075174000000001</c:v>
                </c:pt>
                <c:pt idx="35">
                  <c:v>10.059969000000001</c:v>
                </c:pt>
                <c:pt idx="36">
                  <c:v>10.04561</c:v>
                </c:pt>
                <c:pt idx="37">
                  <c:v>10.032432</c:v>
                </c:pt>
                <c:pt idx="38">
                  <c:v>10.02074</c:v>
                </c:pt>
                <c:pt idx="39">
                  <c:v>10.010807</c:v>
                </c:pt>
                <c:pt idx="40">
                  <c:v>10.002867999999999</c:v>
                </c:pt>
                <c:pt idx="41">
                  <c:v>9.9971189999999996</c:v>
                </c:pt>
                <c:pt idx="42">
                  <c:v>9.993713099999999</c:v>
                </c:pt>
                <c:pt idx="43">
                  <c:v>9.9927615999999997</c:v>
                </c:pt>
                <c:pt idx="44">
                  <c:v>9.9943329999999992</c:v>
                </c:pt>
                <c:pt idx="45">
                  <c:v>9.9984534000000007</c:v>
                </c:pt>
                <c:pt idx="46">
                  <c:v>10.005108</c:v>
                </c:pt>
                <c:pt idx="47">
                  <c:v>10.014243</c:v>
                </c:pt>
                <c:pt idx="48">
                  <c:v>10.025767</c:v>
                </c:pt>
                <c:pt idx="49">
                  <c:v>10.039553</c:v>
                </c:pt>
                <c:pt idx="50">
                  <c:v>10.055441</c:v>
                </c:pt>
                <c:pt idx="51">
                  <c:v>10.073239000000001</c:v>
                </c:pt>
                <c:pt idx="52">
                  <c:v>10.092729</c:v>
                </c:pt>
                <c:pt idx="53">
                  <c:v>10.113664</c:v>
                </c:pt>
                <c:pt idx="54">
                  <c:v>10.135776</c:v>
                </c:pt>
                <c:pt idx="55">
                  <c:v>10.158776</c:v>
                </c:pt>
                <c:pt idx="56">
                  <c:v>10.182352999999999</c:v>
                </c:pt>
                <c:pt idx="57">
                  <c:v>10.206182</c:v>
                </c:pt>
                <c:pt idx="58">
                  <c:v>10.229924</c:v>
                </c:pt>
                <c:pt idx="59">
                  <c:v>10.253228999999999</c:v>
                </c:pt>
                <c:pt idx="60">
                  <c:v>10.275736999999999</c:v>
                </c:pt>
                <c:pt idx="61">
                  <c:v>10.297083000000001</c:v>
                </c:pt>
                <c:pt idx="62">
                  <c:v>10.316898</c:v>
                </c:pt>
                <c:pt idx="63">
                  <c:v>10.334811999999999</c:v>
                </c:pt>
                <c:pt idx="64">
                  <c:v>10.350458</c:v>
                </c:pt>
                <c:pt idx="65">
                  <c:v>10.363477</c:v>
                </c:pt>
                <c:pt idx="66">
                  <c:v>10.373517</c:v>
                </c:pt>
                <c:pt idx="67">
                  <c:v>10.380238</c:v>
                </c:pt>
                <c:pt idx="68">
                  <c:v>10.383319</c:v>
                </c:pt>
                <c:pt idx="69">
                  <c:v>10.382457</c:v>
                </c:pt>
                <c:pt idx="70">
                  <c:v>10.377372999999999</c:v>
                </c:pt>
                <c:pt idx="71">
                  <c:v>10.367815</c:v>
                </c:pt>
                <c:pt idx="72">
                  <c:v>10.353562</c:v>
                </c:pt>
                <c:pt idx="73">
                  <c:v>10.334425</c:v>
                </c:pt>
                <c:pt idx="74">
                  <c:v>10.310252999999999</c:v>
                </c:pt>
                <c:pt idx="75">
                  <c:v>10.280934</c:v>
                </c:pt>
                <c:pt idx="76">
                  <c:v>10.246395</c:v>
                </c:pt>
                <c:pt idx="77">
                  <c:v>10.206607</c:v>
                </c:pt>
                <c:pt idx="78">
                  <c:v>10.161580000000001</c:v>
                </c:pt>
                <c:pt idx="79">
                  <c:v>10.111371</c:v>
                </c:pt>
                <c:pt idx="80">
                  <c:v>10.056073999999999</c:v>
                </c:pt>
                <c:pt idx="81">
                  <c:v>9.9958279000000001</c:v>
                </c:pt>
                <c:pt idx="82">
                  <c:v>9.9308052</c:v>
                </c:pt>
                <c:pt idx="83">
                  <c:v>9.8612158000000001</c:v>
                </c:pt>
                <c:pt idx="84">
                  <c:v>9.7873006</c:v>
                </c:pt>
                <c:pt idx="85">
                  <c:v>9.7093284000000004</c:v>
                </c:pt>
                <c:pt idx="86">
                  <c:v>9.6275917999999994</c:v>
                </c:pt>
                <c:pt idx="87">
                  <c:v>9.5424024000000003</c:v>
                </c:pt>
                <c:pt idx="88">
                  <c:v>9.4540866999999995</c:v>
                </c:pt>
                <c:pt idx="89">
                  <c:v>9.3629815000000001</c:v>
                </c:pt>
                <c:pt idx="90">
                  <c:v>9.2694293999999999</c:v>
                </c:pt>
                <c:pt idx="91">
                  <c:v>9.1737745000000004</c:v>
                </c:pt>
                <c:pt idx="92">
                  <c:v>9.0763591000000012</c:v>
                </c:pt>
                <c:pt idx="93">
                  <c:v>8.9775194999999997</c:v>
                </c:pt>
                <c:pt idx="94">
                  <c:v>8.8775833999999989</c:v>
                </c:pt>
                <c:pt idx="95">
                  <c:v>8.7768669999999993</c:v>
                </c:pt>
                <c:pt idx="96">
                  <c:v>8.675672800000001</c:v>
                </c:pt>
                <c:pt idx="97">
                  <c:v>8.5742876999999993</c:v>
                </c:pt>
                <c:pt idx="98">
                  <c:v>8.4729817999999995</c:v>
                </c:pt>
                <c:pt idx="99">
                  <c:v>8.3720074000000011</c:v>
                </c:pt>
              </c:numCache>
            </c:numRef>
          </c:val>
          <c:smooth val="0"/>
          <c:extLst>
            <c:ext xmlns:c16="http://schemas.microsoft.com/office/drawing/2014/chart" uri="{C3380CC4-5D6E-409C-BE32-E72D297353CC}">
              <c16:uniqueId val="{00000005-9E06-49A8-8CEF-313FA06CA61E}"/>
            </c:ext>
          </c:extLst>
        </c:ser>
        <c:dLbls>
          <c:showLegendKey val="0"/>
          <c:showVal val="0"/>
          <c:showCatName val="0"/>
          <c:showSerName val="0"/>
          <c:showPercent val="0"/>
          <c:showBubbleSize val="0"/>
        </c:dLbls>
        <c:smooth val="0"/>
        <c:axId val="426832992"/>
        <c:axId val="426833320"/>
      </c:lineChart>
      <c:catAx>
        <c:axId val="426832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Bond maturity (years)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833320"/>
        <c:crosses val="autoZero"/>
        <c:auto val="0"/>
        <c:lblAlgn val="ctr"/>
        <c:lblOffset val="100"/>
        <c:noMultiLvlLbl val="0"/>
      </c:catAx>
      <c:valAx>
        <c:axId val="426833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Yield </a:t>
                </a:r>
                <a:r>
                  <a:rPr lang="en-CA" baseline="0"/>
                  <a:t>(percent)</a:t>
                </a:r>
              </a:p>
              <a:p>
                <a:pPr>
                  <a:defRPr/>
                </a:pPr>
                <a:endParaRPr lang="en-C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83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strRef>
              <c:f>Sheet1!$L$26</c:f>
              <c:strCache>
                <c:ptCount val="1"/>
                <c:pt idx="0">
                  <c:v>Duration (months)</c:v>
                </c:pt>
              </c:strCache>
            </c:strRef>
          </c:tx>
          <c:spPr>
            <a:solidFill>
              <a:schemeClr val="accent2"/>
            </a:solidFill>
            <a:ln>
              <a:noFill/>
            </a:ln>
            <a:effectLst/>
          </c:spPr>
          <c:invertIfNegative val="0"/>
          <c:dLbls>
            <c:spPr>
              <a:noFill/>
              <a:ln>
                <a:noFill/>
              </a:ln>
              <a:effectLst/>
            </c:spPr>
            <c:txPr>
              <a:bodyPr rot="0" spcFirstLastPara="1" vertOverflow="ellipsis" horzOverflow="clip"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Sheet1!$J$27:$J$38</c:f>
              <c:strCache>
                <c:ptCount val="12"/>
                <c:pt idx="0">
                  <c:v>1957-1958</c:v>
                </c:pt>
                <c:pt idx="1">
                  <c:v>1974-1975</c:v>
                </c:pt>
                <c:pt idx="2">
                  <c:v>1980</c:v>
                </c:pt>
                <c:pt idx="3">
                  <c:v>1937-1938</c:v>
                </c:pt>
                <c:pt idx="4">
                  <c:v>1947-1948</c:v>
                </c:pt>
                <c:pt idx="5">
                  <c:v>2008-2009</c:v>
                </c:pt>
                <c:pt idx="6">
                  <c:v>1951</c:v>
                </c:pt>
                <c:pt idx="7">
                  <c:v>1953-1954</c:v>
                </c:pt>
                <c:pt idx="8">
                  <c:v>1960-1961</c:v>
                </c:pt>
                <c:pt idx="9">
                  <c:v>1981-1982</c:v>
                </c:pt>
                <c:pt idx="10">
                  <c:v>1990-1992</c:v>
                </c:pt>
                <c:pt idx="11">
                  <c:v>1929-1933</c:v>
                </c:pt>
              </c:strCache>
            </c:strRef>
          </c:cat>
          <c:val>
            <c:numRef>
              <c:f>Sheet1!$L$27:$L$38</c:f>
              <c:numCache>
                <c:formatCode>General</c:formatCode>
                <c:ptCount val="12"/>
                <c:pt idx="0">
                  <c:v>1</c:v>
                </c:pt>
                <c:pt idx="1">
                  <c:v>3</c:v>
                </c:pt>
                <c:pt idx="2">
                  <c:v>5</c:v>
                </c:pt>
                <c:pt idx="3">
                  <c:v>7</c:v>
                </c:pt>
                <c:pt idx="4">
                  <c:v>7</c:v>
                </c:pt>
                <c:pt idx="5">
                  <c:v>7</c:v>
                </c:pt>
                <c:pt idx="6">
                  <c:v>8</c:v>
                </c:pt>
                <c:pt idx="7">
                  <c:v>12</c:v>
                </c:pt>
                <c:pt idx="8">
                  <c:v>12</c:v>
                </c:pt>
                <c:pt idx="9">
                  <c:v>16</c:v>
                </c:pt>
                <c:pt idx="10">
                  <c:v>24</c:v>
                </c:pt>
                <c:pt idx="11">
                  <c:v>46</c:v>
                </c:pt>
              </c:numCache>
            </c:numRef>
          </c:val>
          <c:extLst>
            <c:ext xmlns:c16="http://schemas.microsoft.com/office/drawing/2014/chart" uri="{C3380CC4-5D6E-409C-BE32-E72D297353CC}">
              <c16:uniqueId val="{00000000-A8A0-4083-91CA-F02219FFB088}"/>
            </c:ext>
          </c:extLst>
        </c:ser>
        <c:dLbls>
          <c:showLegendKey val="0"/>
          <c:showVal val="1"/>
          <c:showCatName val="0"/>
          <c:showSerName val="0"/>
          <c:showPercent val="0"/>
          <c:showBubbleSize val="0"/>
        </c:dLbls>
        <c:gapWidth val="219"/>
        <c:axId val="55120640"/>
        <c:axId val="51173248"/>
      </c:barChart>
      <c:valAx>
        <c:axId val="51173248"/>
        <c:scaling>
          <c:orientation val="minMax"/>
        </c:scaling>
        <c:delete val="0"/>
        <c:axPos val="t"/>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120640"/>
        <c:crosses val="max"/>
        <c:crossBetween val="between"/>
      </c:valAx>
      <c:catAx>
        <c:axId val="551206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Canadian recession</a:t>
                </a:r>
                <a:r>
                  <a:rPr lang="en-CA" baseline="0"/>
                  <a:t> dates</a:t>
                </a:r>
                <a:endParaRPr lang="en-C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1732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Sheet1!$K$41</c:f>
              <c:strCache>
                <c:ptCount val="1"/>
                <c:pt idx="0">
                  <c:v>Severity</c:v>
                </c:pt>
              </c:strCache>
            </c:strRef>
          </c:tx>
          <c:spPr>
            <a:solidFill>
              <a:schemeClr val="accent1"/>
            </a:solidFill>
            <a:ln>
              <a:noFill/>
            </a:ln>
            <a:effectLst/>
          </c:spPr>
          <c:invertIfNegative val="0"/>
          <c:dPt>
            <c:idx val="0"/>
            <c:invertIfNegative val="0"/>
            <c:bubble3D val="0"/>
            <c:spPr>
              <a:solidFill>
                <a:schemeClr val="bg2"/>
              </a:solidFill>
              <a:ln>
                <a:noFill/>
              </a:ln>
              <a:effectLst/>
            </c:spPr>
            <c:extLst>
              <c:ext xmlns:c16="http://schemas.microsoft.com/office/drawing/2014/chart" uri="{C3380CC4-5D6E-409C-BE32-E72D297353CC}">
                <c16:uniqueId val="{00000001-AE1A-4FA2-B7D9-81F158AB0FBD}"/>
              </c:ext>
            </c:extLst>
          </c:dPt>
          <c:dPt>
            <c:idx val="1"/>
            <c:invertIfNegative val="0"/>
            <c:bubble3D val="0"/>
            <c:spPr>
              <a:solidFill>
                <a:schemeClr val="bg2">
                  <a:lumMod val="90000"/>
                </a:schemeClr>
              </a:solidFill>
              <a:ln>
                <a:noFill/>
              </a:ln>
              <a:effectLst/>
            </c:spPr>
            <c:extLst>
              <c:ext xmlns:c16="http://schemas.microsoft.com/office/drawing/2014/chart" uri="{C3380CC4-5D6E-409C-BE32-E72D297353CC}">
                <c16:uniqueId val="{00000003-AE1A-4FA2-B7D9-81F158AB0FBD}"/>
              </c:ext>
            </c:extLst>
          </c:dPt>
          <c:dPt>
            <c:idx val="2"/>
            <c:invertIfNegative val="0"/>
            <c:bubble3D val="0"/>
            <c:spPr>
              <a:solidFill>
                <a:schemeClr val="bg2">
                  <a:lumMod val="90000"/>
                </a:schemeClr>
              </a:solidFill>
              <a:ln>
                <a:noFill/>
              </a:ln>
              <a:effectLst/>
            </c:spPr>
            <c:extLst>
              <c:ext xmlns:c16="http://schemas.microsoft.com/office/drawing/2014/chart" uri="{C3380CC4-5D6E-409C-BE32-E72D297353CC}">
                <c16:uniqueId val="{00000005-AE1A-4FA2-B7D9-81F158AB0FBD}"/>
              </c:ext>
            </c:extLst>
          </c:dPt>
          <c:dPt>
            <c:idx val="3"/>
            <c:invertIfNegative val="0"/>
            <c:bubble3D val="0"/>
            <c:spPr>
              <a:solidFill>
                <a:schemeClr val="bg2">
                  <a:lumMod val="75000"/>
                </a:schemeClr>
              </a:solidFill>
              <a:ln>
                <a:noFill/>
              </a:ln>
              <a:effectLst/>
            </c:spPr>
            <c:extLst>
              <c:ext xmlns:c16="http://schemas.microsoft.com/office/drawing/2014/chart" uri="{C3380CC4-5D6E-409C-BE32-E72D297353CC}">
                <c16:uniqueId val="{00000007-AE1A-4FA2-B7D9-81F158AB0FBD}"/>
              </c:ext>
            </c:extLst>
          </c:dPt>
          <c:dPt>
            <c:idx val="4"/>
            <c:invertIfNegative val="0"/>
            <c:bubble3D val="0"/>
            <c:spPr>
              <a:solidFill>
                <a:schemeClr val="bg2">
                  <a:lumMod val="75000"/>
                </a:schemeClr>
              </a:solidFill>
              <a:ln>
                <a:noFill/>
              </a:ln>
              <a:effectLst/>
            </c:spPr>
            <c:extLst>
              <c:ext xmlns:c16="http://schemas.microsoft.com/office/drawing/2014/chart" uri="{C3380CC4-5D6E-409C-BE32-E72D297353CC}">
                <c16:uniqueId val="{00000009-AE1A-4FA2-B7D9-81F158AB0FBD}"/>
              </c:ext>
            </c:extLst>
          </c:dPt>
          <c:dPt>
            <c:idx val="5"/>
            <c:invertIfNegative val="0"/>
            <c:bubble3D val="0"/>
            <c:spPr>
              <a:solidFill>
                <a:schemeClr val="bg2">
                  <a:lumMod val="75000"/>
                </a:schemeClr>
              </a:solidFill>
              <a:ln>
                <a:noFill/>
              </a:ln>
              <a:effectLst/>
            </c:spPr>
            <c:extLst>
              <c:ext xmlns:c16="http://schemas.microsoft.com/office/drawing/2014/chart" uri="{C3380CC4-5D6E-409C-BE32-E72D297353CC}">
                <c16:uniqueId val="{0000000B-AE1A-4FA2-B7D9-81F158AB0FBD}"/>
              </c:ext>
            </c:extLst>
          </c:dPt>
          <c:dPt>
            <c:idx val="6"/>
            <c:invertIfNegative val="0"/>
            <c:bubble3D val="0"/>
            <c:spPr>
              <a:solidFill>
                <a:schemeClr val="bg2">
                  <a:lumMod val="50000"/>
                </a:schemeClr>
              </a:solidFill>
              <a:ln>
                <a:noFill/>
              </a:ln>
              <a:effectLst/>
            </c:spPr>
            <c:extLst>
              <c:ext xmlns:c16="http://schemas.microsoft.com/office/drawing/2014/chart" uri="{C3380CC4-5D6E-409C-BE32-E72D297353CC}">
                <c16:uniqueId val="{0000000D-AE1A-4FA2-B7D9-81F158AB0FBD}"/>
              </c:ext>
            </c:extLst>
          </c:dPt>
          <c:dPt>
            <c:idx val="7"/>
            <c:invertIfNegative val="0"/>
            <c:bubble3D val="0"/>
            <c:spPr>
              <a:solidFill>
                <a:schemeClr val="bg2">
                  <a:lumMod val="50000"/>
                </a:schemeClr>
              </a:solidFill>
              <a:ln>
                <a:noFill/>
              </a:ln>
              <a:effectLst/>
            </c:spPr>
            <c:extLst>
              <c:ext xmlns:c16="http://schemas.microsoft.com/office/drawing/2014/chart" uri="{C3380CC4-5D6E-409C-BE32-E72D297353CC}">
                <c16:uniqueId val="{0000000F-AE1A-4FA2-B7D9-81F158AB0FBD}"/>
              </c:ext>
            </c:extLst>
          </c:dPt>
          <c:dPt>
            <c:idx val="8"/>
            <c:invertIfNegative val="0"/>
            <c:bubble3D val="0"/>
            <c:spPr>
              <a:solidFill>
                <a:schemeClr val="bg2">
                  <a:lumMod val="50000"/>
                </a:schemeClr>
              </a:solidFill>
              <a:ln>
                <a:noFill/>
              </a:ln>
              <a:effectLst/>
            </c:spPr>
            <c:extLst>
              <c:ext xmlns:c16="http://schemas.microsoft.com/office/drawing/2014/chart" uri="{C3380CC4-5D6E-409C-BE32-E72D297353CC}">
                <c16:uniqueId val="{00000011-AE1A-4FA2-B7D9-81F158AB0FBD}"/>
              </c:ext>
            </c:extLst>
          </c:dPt>
          <c:dPt>
            <c:idx val="9"/>
            <c:invertIfNegative val="0"/>
            <c:bubble3D val="0"/>
            <c:spPr>
              <a:solidFill>
                <a:schemeClr val="bg2">
                  <a:lumMod val="50000"/>
                </a:schemeClr>
              </a:solidFill>
              <a:ln>
                <a:noFill/>
              </a:ln>
              <a:effectLst/>
            </c:spPr>
            <c:extLst>
              <c:ext xmlns:c16="http://schemas.microsoft.com/office/drawing/2014/chart" uri="{C3380CC4-5D6E-409C-BE32-E72D297353CC}">
                <c16:uniqueId val="{00000013-AE1A-4FA2-B7D9-81F158AB0FBD}"/>
              </c:ext>
            </c:extLst>
          </c:dPt>
          <c:dPt>
            <c:idx val="10"/>
            <c:invertIfNegative val="0"/>
            <c:bubble3D val="0"/>
            <c:spPr>
              <a:solidFill>
                <a:schemeClr val="bg2">
                  <a:lumMod val="25000"/>
                </a:schemeClr>
              </a:solidFill>
              <a:ln>
                <a:noFill/>
              </a:ln>
              <a:effectLst/>
            </c:spPr>
            <c:extLst>
              <c:ext xmlns:c16="http://schemas.microsoft.com/office/drawing/2014/chart" uri="{C3380CC4-5D6E-409C-BE32-E72D297353CC}">
                <c16:uniqueId val="{00000015-AE1A-4FA2-B7D9-81F158AB0FBD}"/>
              </c:ext>
            </c:extLst>
          </c:dPt>
          <c:dPt>
            <c:idx val="11"/>
            <c:invertIfNegative val="0"/>
            <c:bubble3D val="0"/>
            <c:spPr>
              <a:solidFill>
                <a:schemeClr val="bg2">
                  <a:lumMod val="25000"/>
                </a:schemeClr>
              </a:solidFill>
              <a:ln>
                <a:noFill/>
              </a:ln>
              <a:effectLst/>
            </c:spPr>
            <c:extLst>
              <c:ext xmlns:c16="http://schemas.microsoft.com/office/drawing/2014/chart" uri="{C3380CC4-5D6E-409C-BE32-E72D297353CC}">
                <c16:uniqueId val="{00000017-AE1A-4FA2-B7D9-81F158AB0FBD}"/>
              </c:ext>
            </c:extLst>
          </c:dPt>
          <c:cat>
            <c:strRef>
              <c:f>Sheet1!$J$42:$J$53</c:f>
              <c:strCache>
                <c:ptCount val="12"/>
                <c:pt idx="0">
                  <c:v>1980</c:v>
                </c:pt>
                <c:pt idx="1">
                  <c:v>1974-1975</c:v>
                </c:pt>
                <c:pt idx="2">
                  <c:v>1947-1948</c:v>
                </c:pt>
                <c:pt idx="3">
                  <c:v>1957-1958</c:v>
                </c:pt>
                <c:pt idx="4">
                  <c:v>1951</c:v>
                </c:pt>
                <c:pt idx="5">
                  <c:v>1960-1961</c:v>
                </c:pt>
                <c:pt idx="6">
                  <c:v>2008-2009</c:v>
                </c:pt>
                <c:pt idx="7">
                  <c:v>1953-1954</c:v>
                </c:pt>
                <c:pt idx="8">
                  <c:v>1981-1982</c:v>
                </c:pt>
                <c:pt idx="9">
                  <c:v>1990-1992</c:v>
                </c:pt>
                <c:pt idx="10">
                  <c:v>1937-1938</c:v>
                </c:pt>
                <c:pt idx="11">
                  <c:v>1929-1933</c:v>
                </c:pt>
              </c:strCache>
            </c:strRef>
          </c:cat>
          <c:val>
            <c:numRef>
              <c:f>Sheet1!$K$42:$K$53</c:f>
              <c:numCache>
                <c:formatCode>General</c:formatCode>
                <c:ptCount val="12"/>
                <c:pt idx="0">
                  <c:v>1</c:v>
                </c:pt>
                <c:pt idx="1">
                  <c:v>2</c:v>
                </c:pt>
                <c:pt idx="2">
                  <c:v>2</c:v>
                </c:pt>
                <c:pt idx="3">
                  <c:v>3</c:v>
                </c:pt>
                <c:pt idx="4">
                  <c:v>3</c:v>
                </c:pt>
                <c:pt idx="5">
                  <c:v>3</c:v>
                </c:pt>
                <c:pt idx="6">
                  <c:v>4</c:v>
                </c:pt>
                <c:pt idx="7">
                  <c:v>4</c:v>
                </c:pt>
                <c:pt idx="8">
                  <c:v>4</c:v>
                </c:pt>
                <c:pt idx="9">
                  <c:v>4</c:v>
                </c:pt>
                <c:pt idx="10">
                  <c:v>5</c:v>
                </c:pt>
                <c:pt idx="11">
                  <c:v>5</c:v>
                </c:pt>
              </c:numCache>
            </c:numRef>
          </c:val>
          <c:extLst>
            <c:ext xmlns:c16="http://schemas.microsoft.com/office/drawing/2014/chart" uri="{C3380CC4-5D6E-409C-BE32-E72D297353CC}">
              <c16:uniqueId val="{00000018-AE1A-4FA2-B7D9-81F158AB0FBD}"/>
            </c:ext>
          </c:extLst>
        </c:ser>
        <c:dLbls>
          <c:showLegendKey val="0"/>
          <c:showVal val="0"/>
          <c:showCatName val="0"/>
          <c:showSerName val="0"/>
          <c:showPercent val="0"/>
          <c:showBubbleSize val="0"/>
        </c:dLbls>
        <c:gapWidth val="182"/>
        <c:axId val="55172096"/>
        <c:axId val="55178368"/>
      </c:barChart>
      <c:catAx>
        <c:axId val="5517209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Canadian recession dates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178368"/>
        <c:crosses val="autoZero"/>
        <c:auto val="1"/>
        <c:lblAlgn val="ctr"/>
        <c:lblOffset val="100"/>
        <c:noMultiLvlLbl val="0"/>
      </c:catAx>
      <c:valAx>
        <c:axId val="55178368"/>
        <c:scaling>
          <c:orientation val="minMax"/>
          <c:max val="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Severity (1=lowest,</a:t>
                </a:r>
                <a:r>
                  <a:rPr lang="en-CA" baseline="0"/>
                  <a:t> 5=highest)</a:t>
                </a:r>
                <a:endParaRPr lang="en-C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172096"/>
        <c:crosses val="autoZero"/>
        <c:crossBetween val="between"/>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dLbls>
          <c:showLegendKey val="0"/>
          <c:showVal val="0"/>
          <c:showCatName val="0"/>
          <c:showSerName val="0"/>
          <c:showPercent val="0"/>
          <c:showBubbleSize val="0"/>
        </c:dLbls>
        <c:gapWidth val="219"/>
        <c:overlap val="-27"/>
        <c:axId val="693092223"/>
        <c:axId val="977885967"/>
        <c:extLst>
          <c:ext xmlns:c15="http://schemas.microsoft.com/office/drawing/2012/chart" uri="{02D57815-91ED-43cb-92C2-25804820EDAC}">
            <c15:filteredBarSeries>
              <c15:ser>
                <c:idx val="0"/>
                <c:order val="0"/>
                <c:tx>
                  <c:strRef>
                    <c:extLst>
                      <c:ext uri="{02D57815-91ED-43cb-92C2-25804820EDAC}">
                        <c15:formulaRef>
                          <c15:sqref>Sheet1!$B$1</c15:sqref>
                        </c15:formulaRef>
                      </c:ext>
                    </c:extLst>
                    <c:strCache>
                      <c:ptCount val="1"/>
                      <c:pt idx="0">
                        <c:v>yspread</c:v>
                      </c:pt>
                    </c:strCache>
                  </c:strRef>
                </c:tx>
                <c:spPr>
                  <a:solidFill>
                    <a:schemeClr val="accent1"/>
                  </a:solidFill>
                  <a:ln>
                    <a:noFill/>
                  </a:ln>
                  <a:effectLst/>
                </c:spPr>
                <c:invertIfNegative val="0"/>
                <c:cat>
                  <c:strRef>
                    <c:extLst>
                      <c:ext uri="{02D57815-91ED-43cb-92C2-25804820EDAC}">
                        <c15:formulaRef>
                          <c15:sqref>Sheet1!$A$2:$A$398</c15:sqref>
                        </c15:formulaRef>
                      </c:ext>
                    </c:extLst>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extLst>
                      <c:ext uri="{02D57815-91ED-43cb-92C2-25804820EDAC}">
                        <c15:formulaRef>
                          <c15:sqref>Sheet1!$B$2:$B$398</c15:sqref>
                        </c15:formulaRef>
                      </c:ext>
                    </c:extLst>
                    <c:numCache>
                      <c:formatCode>0.0000</c:formatCode>
                      <c:ptCount val="397"/>
                      <c:pt idx="0">
                        <c:v>0.40000000596046448</c:v>
                      </c:pt>
                      <c:pt idx="1">
                        <c:v>-1.9999999552965164E-2</c:v>
                      </c:pt>
                      <c:pt idx="2">
                        <c:v>-1.9999999552965164E-2</c:v>
                      </c:pt>
                      <c:pt idx="3">
                        <c:v>9.0000003576278687E-2</c:v>
                      </c:pt>
                      <c:pt idx="4">
                        <c:v>0.12999999523162842</c:v>
                      </c:pt>
                      <c:pt idx="5">
                        <c:v>0.2199999988079071</c:v>
                      </c:pt>
                      <c:pt idx="6">
                        <c:v>-1.9999999552965164E-2</c:v>
                      </c:pt>
                      <c:pt idx="7">
                        <c:v>-0.15000000596046448</c:v>
                      </c:pt>
                      <c:pt idx="8">
                        <c:v>-9.9999997764825821E-3</c:v>
                      </c:pt>
                      <c:pt idx="9">
                        <c:v>0.25999999046325684</c:v>
                      </c:pt>
                      <c:pt idx="10">
                        <c:v>0.18000000715255737</c:v>
                      </c:pt>
                      <c:pt idx="11">
                        <c:v>0.18999999761581421</c:v>
                      </c:pt>
                      <c:pt idx="12">
                        <c:v>0.57999998331069946</c:v>
                      </c:pt>
                      <c:pt idx="13">
                        <c:v>0.57999998331069946</c:v>
                      </c:pt>
                      <c:pt idx="14">
                        <c:v>0.69999998807907104</c:v>
                      </c:pt>
                      <c:pt idx="15">
                        <c:v>0.38999998569488525</c:v>
                      </c:pt>
                      <c:pt idx="16">
                        <c:v>0.14000000059604645</c:v>
                      </c:pt>
                      <c:pt idx="17">
                        <c:v>0.27000001072883606</c:v>
                      </c:pt>
                      <c:pt idx="18">
                        <c:v>0.12999999523162842</c:v>
                      </c:pt>
                      <c:pt idx="19">
                        <c:v>0.20999999344348907</c:v>
                      </c:pt>
                      <c:pt idx="20">
                        <c:v>0.31999999284744263</c:v>
                      </c:pt>
                      <c:pt idx="21">
                        <c:v>0.41999998688697815</c:v>
                      </c:pt>
                      <c:pt idx="22">
                        <c:v>0.52999997138977051</c:v>
                      </c:pt>
                      <c:pt idx="23">
                        <c:v>0.40000000596046448</c:v>
                      </c:pt>
                      <c:pt idx="24">
                        <c:v>0.33000001311302185</c:v>
                      </c:pt>
                      <c:pt idx="25">
                        <c:v>0.36000001430511475</c:v>
                      </c:pt>
                      <c:pt idx="26">
                        <c:v>0.6600000262260437</c:v>
                      </c:pt>
                      <c:pt idx="27">
                        <c:v>0.61000001430511475</c:v>
                      </c:pt>
                      <c:pt idx="28">
                        <c:v>0.41999998688697815</c:v>
                      </c:pt>
                      <c:pt idx="29">
                        <c:v>0.27000001072883606</c:v>
                      </c:pt>
                      <c:pt idx="30">
                        <c:v>0.38999998569488525</c:v>
                      </c:pt>
                      <c:pt idx="31">
                        <c:v>3.9999999105930328E-2</c:v>
                      </c:pt>
                      <c:pt idx="32">
                        <c:v>0.10000000149011612</c:v>
                      </c:pt>
                      <c:pt idx="33">
                        <c:v>0.10999999940395355</c:v>
                      </c:pt>
                      <c:pt idx="34">
                        <c:v>-0.25999999046325684</c:v>
                      </c:pt>
                      <c:pt idx="35">
                        <c:v>-0.38999998569488525</c:v>
                      </c:pt>
                      <c:pt idx="36">
                        <c:v>-0.52999997138977051</c:v>
                      </c:pt>
                      <c:pt idx="37">
                        <c:v>-0.93999999761581421</c:v>
                      </c:pt>
                      <c:pt idx="38">
                        <c:v>-1.0399999618530273</c:v>
                      </c:pt>
                      <c:pt idx="39">
                        <c:v>-0.5899999737739563</c:v>
                      </c:pt>
                      <c:pt idx="40">
                        <c:v>-0.6600000262260437</c:v>
                      </c:pt>
                      <c:pt idx="41">
                        <c:v>-0.61000001430511475</c:v>
                      </c:pt>
                      <c:pt idx="42">
                        <c:v>-0.55000001192092896</c:v>
                      </c:pt>
                      <c:pt idx="43">
                        <c:v>-0.87999999523162842</c:v>
                      </c:pt>
                      <c:pt idx="44">
                        <c:v>-0.72000002861022949</c:v>
                      </c:pt>
                      <c:pt idx="45">
                        <c:v>-0.79000002145767212</c:v>
                      </c:pt>
                      <c:pt idx="46">
                        <c:v>-1.2999999523162842</c:v>
                      </c:pt>
                      <c:pt idx="47">
                        <c:v>-1.3600000143051147</c:v>
                      </c:pt>
                      <c:pt idx="48">
                        <c:v>-1.0299999713897705</c:v>
                      </c:pt>
                      <c:pt idx="49">
                        <c:v>-1.2799999713897705</c:v>
                      </c:pt>
                      <c:pt idx="50">
                        <c:v>-1.3400000333786011</c:v>
                      </c:pt>
                      <c:pt idx="51">
                        <c:v>-1.2300000190734863</c:v>
                      </c:pt>
                      <c:pt idx="52">
                        <c:v>-1.1699999570846558</c:v>
                      </c:pt>
                      <c:pt idx="53">
                        <c:v>-0.88999998569488525</c:v>
                      </c:pt>
                      <c:pt idx="54">
                        <c:v>-0.9100000262260437</c:v>
                      </c:pt>
                      <c:pt idx="55">
                        <c:v>-7.0000000298023224E-2</c:v>
                      </c:pt>
                      <c:pt idx="56">
                        <c:v>0.2800000011920929</c:v>
                      </c:pt>
                      <c:pt idx="57">
                        <c:v>2.9999999329447746E-2</c:v>
                      </c:pt>
                      <c:pt idx="58">
                        <c:v>0.11999999731779099</c:v>
                      </c:pt>
                      <c:pt idx="59">
                        <c:v>-0.11999999731779099</c:v>
                      </c:pt>
                      <c:pt idx="60">
                        <c:v>0.10999999940395355</c:v>
                      </c:pt>
                      <c:pt idx="61">
                        <c:v>0.23999999463558197</c:v>
                      </c:pt>
                      <c:pt idx="62">
                        <c:v>0.25999999046325684</c:v>
                      </c:pt>
                      <c:pt idx="63">
                        <c:v>0.28999999165534973</c:v>
                      </c:pt>
                      <c:pt idx="64">
                        <c:v>0.47999998927116394</c:v>
                      </c:pt>
                      <c:pt idx="65">
                        <c:v>0.68999999761581421</c:v>
                      </c:pt>
                      <c:pt idx="66">
                        <c:v>0.56999999284744263</c:v>
                      </c:pt>
                      <c:pt idx="67">
                        <c:v>0.67000001668930054</c:v>
                      </c:pt>
                      <c:pt idx="68">
                        <c:v>0.77999997138977051</c:v>
                      </c:pt>
                      <c:pt idx="69">
                        <c:v>1.309999942779541</c:v>
                      </c:pt>
                      <c:pt idx="70">
                        <c:v>1.0399999618530273</c:v>
                      </c:pt>
                      <c:pt idx="71">
                        <c:v>1.0099999904632568</c:v>
                      </c:pt>
                      <c:pt idx="72">
                        <c:v>1.0299999713897705</c:v>
                      </c:pt>
                      <c:pt idx="73">
                        <c:v>0.99000000953674316</c:v>
                      </c:pt>
                      <c:pt idx="74">
                        <c:v>0.70999997854232788</c:v>
                      </c:pt>
                      <c:pt idx="75">
                        <c:v>1.1399999856948853</c:v>
                      </c:pt>
                      <c:pt idx="76">
                        <c:v>1.4800000190734863</c:v>
                      </c:pt>
                      <c:pt idx="77">
                        <c:v>1.7300000190734863</c:v>
                      </c:pt>
                      <c:pt idx="78">
                        <c:v>1.9299999475479126</c:v>
                      </c:pt>
                      <c:pt idx="79">
                        <c:v>1.9700000286102295</c:v>
                      </c:pt>
                      <c:pt idx="80">
                        <c:v>0.86000001430511475</c:v>
                      </c:pt>
                      <c:pt idx="81">
                        <c:v>1.6699999570846558</c:v>
                      </c:pt>
                      <c:pt idx="82">
                        <c:v>0.77999997138977051</c:v>
                      </c:pt>
                      <c:pt idx="83">
                        <c:v>0.93000000715255737</c:v>
                      </c:pt>
                      <c:pt idx="84">
                        <c:v>1.0700000524520874</c:v>
                      </c:pt>
                      <c:pt idx="85">
                        <c:v>0.88999998569488525</c:v>
                      </c:pt>
                      <c:pt idx="86">
                        <c:v>1.1100000143051147</c:v>
                      </c:pt>
                      <c:pt idx="87">
                        <c:v>1.0399999618530273</c:v>
                      </c:pt>
                      <c:pt idx="88">
                        <c:v>1.2100000381469727</c:v>
                      </c:pt>
                      <c:pt idx="89">
                        <c:v>1.4500000476837158</c:v>
                      </c:pt>
                      <c:pt idx="90">
                        <c:v>1.7899999618530273</c:v>
                      </c:pt>
                      <c:pt idx="91">
                        <c:v>1.5099999904632568</c:v>
                      </c:pt>
                      <c:pt idx="92">
                        <c:v>1.3400000333786011</c:v>
                      </c:pt>
                      <c:pt idx="93">
                        <c:v>1.7300000190734863</c:v>
                      </c:pt>
                      <c:pt idx="94">
                        <c:v>1.8999999761581421</c:v>
                      </c:pt>
                      <c:pt idx="95">
                        <c:v>1.9600000381469727</c:v>
                      </c:pt>
                      <c:pt idx="96">
                        <c:v>2.2100000381469727</c:v>
                      </c:pt>
                      <c:pt idx="97">
                        <c:v>1.9199999570846558</c:v>
                      </c:pt>
                      <c:pt idx="98">
                        <c:v>1.2400000095367432</c:v>
                      </c:pt>
                      <c:pt idx="99">
                        <c:v>1.1100000143051147</c:v>
                      </c:pt>
                      <c:pt idx="100">
                        <c:v>0.99000000953674316</c:v>
                      </c:pt>
                      <c:pt idx="101">
                        <c:v>0.75</c:v>
                      </c:pt>
                      <c:pt idx="102">
                        <c:v>1.0900000333786011</c:v>
                      </c:pt>
                      <c:pt idx="103">
                        <c:v>1.1399999856948853</c:v>
                      </c:pt>
                      <c:pt idx="104">
                        <c:v>1.4199999570846558</c:v>
                      </c:pt>
                      <c:pt idx="105">
                        <c:v>1.5</c:v>
                      </c:pt>
                      <c:pt idx="106">
                        <c:v>1.1499999761581421</c:v>
                      </c:pt>
                      <c:pt idx="107">
                        <c:v>0.23000000417232513</c:v>
                      </c:pt>
                      <c:pt idx="108">
                        <c:v>0.43999999761581421</c:v>
                      </c:pt>
                      <c:pt idx="109">
                        <c:v>0.69999998807907104</c:v>
                      </c:pt>
                      <c:pt idx="110">
                        <c:v>0.60000002384185791</c:v>
                      </c:pt>
                      <c:pt idx="111">
                        <c:v>0.6600000262260437</c:v>
                      </c:pt>
                      <c:pt idx="112">
                        <c:v>0.8399999737739563</c:v>
                      </c:pt>
                      <c:pt idx="113">
                        <c:v>1.0700000524520874</c:v>
                      </c:pt>
                      <c:pt idx="114">
                        <c:v>1.059999942779541</c:v>
                      </c:pt>
                      <c:pt idx="115">
                        <c:v>0.94999998807907104</c:v>
                      </c:pt>
                      <c:pt idx="116">
                        <c:v>0.8399999737739563</c:v>
                      </c:pt>
                      <c:pt idx="117">
                        <c:v>0.87999999523162842</c:v>
                      </c:pt>
                      <c:pt idx="118">
                        <c:v>1.1200000047683716</c:v>
                      </c:pt>
                      <c:pt idx="119">
                        <c:v>1.2200000286102295</c:v>
                      </c:pt>
                      <c:pt idx="120">
                        <c:v>1.6000000238418579</c:v>
                      </c:pt>
                      <c:pt idx="121">
                        <c:v>1.7300000190734863</c:v>
                      </c:pt>
                      <c:pt idx="122">
                        <c:v>1.5</c:v>
                      </c:pt>
                      <c:pt idx="123">
                        <c:v>1.6599999666213989</c:v>
                      </c:pt>
                      <c:pt idx="124">
                        <c:v>1.6599999666213989</c:v>
                      </c:pt>
                      <c:pt idx="125">
                        <c:v>1.4800000190734863</c:v>
                      </c:pt>
                      <c:pt idx="126">
                        <c:v>1.6100000143051147</c:v>
                      </c:pt>
                      <c:pt idx="127">
                        <c:v>1.8600000143051147</c:v>
                      </c:pt>
                      <c:pt idx="128">
                        <c:v>2.2100000381469727</c:v>
                      </c:pt>
                      <c:pt idx="129">
                        <c:v>2.190000057220459</c:v>
                      </c:pt>
                      <c:pt idx="130">
                        <c:v>2.369999885559082</c:v>
                      </c:pt>
                      <c:pt idx="131">
                        <c:v>2.3399999141693115</c:v>
                      </c:pt>
                      <c:pt idx="132">
                        <c:v>2.2100000381469727</c:v>
                      </c:pt>
                      <c:pt idx="133">
                        <c:v>2.0899999141693115</c:v>
                      </c:pt>
                      <c:pt idx="134">
                        <c:v>1.9500000476837158</c:v>
                      </c:pt>
                      <c:pt idx="135">
                        <c:v>1.8799999952316284</c:v>
                      </c:pt>
                      <c:pt idx="136">
                        <c:v>1.9900000095367432</c:v>
                      </c:pt>
                      <c:pt idx="137">
                        <c:v>1.8700000047683716</c:v>
                      </c:pt>
                      <c:pt idx="138">
                        <c:v>1.309999942779541</c:v>
                      </c:pt>
                      <c:pt idx="139">
                        <c:v>1.7999999523162842</c:v>
                      </c:pt>
                      <c:pt idx="140">
                        <c:v>1.2300000190734863</c:v>
                      </c:pt>
                      <c:pt idx="141">
                        <c:v>1.1100000143051147</c:v>
                      </c:pt>
                      <c:pt idx="142">
                        <c:v>0.93000000715255737</c:v>
                      </c:pt>
                      <c:pt idx="143">
                        <c:v>0.56999999284744263</c:v>
                      </c:pt>
                      <c:pt idx="144">
                        <c:v>0.68000000715255737</c:v>
                      </c:pt>
                      <c:pt idx="145">
                        <c:v>0.41999998688697815</c:v>
                      </c:pt>
                      <c:pt idx="146">
                        <c:v>0.4699999988079071</c:v>
                      </c:pt>
                      <c:pt idx="147">
                        <c:v>0.37000000476837158</c:v>
                      </c:pt>
                      <c:pt idx="148">
                        <c:v>0.25</c:v>
                      </c:pt>
                      <c:pt idx="149">
                        <c:v>0.15000000596046448</c:v>
                      </c:pt>
                      <c:pt idx="150">
                        <c:v>0.23000000417232513</c:v>
                      </c:pt>
                      <c:pt idx="151">
                        <c:v>0.25999999046325684</c:v>
                      </c:pt>
                      <c:pt idx="152">
                        <c:v>0.25</c:v>
                      </c:pt>
                      <c:pt idx="153">
                        <c:v>0.49000000953674316</c:v>
                      </c:pt>
                      <c:pt idx="154">
                        <c:v>0.23999999463558197</c:v>
                      </c:pt>
                      <c:pt idx="155">
                        <c:v>0.17000000178813934</c:v>
                      </c:pt>
                      <c:pt idx="156">
                        <c:v>0.15999999642372131</c:v>
                      </c:pt>
                      <c:pt idx="157">
                        <c:v>9.0000003576278687E-2</c:v>
                      </c:pt>
                      <c:pt idx="158">
                        <c:v>0.23000000417232513</c:v>
                      </c:pt>
                      <c:pt idx="159">
                        <c:v>0.36000001430511475</c:v>
                      </c:pt>
                      <c:pt idx="160">
                        <c:v>0.2800000011920929</c:v>
                      </c:pt>
                      <c:pt idx="161">
                        <c:v>0.36000001430511475</c:v>
                      </c:pt>
                      <c:pt idx="162">
                        <c:v>0.2800000011920929</c:v>
                      </c:pt>
                      <c:pt idx="163">
                        <c:v>0.18000000715255737</c:v>
                      </c:pt>
                      <c:pt idx="164">
                        <c:v>0.34000000357627869</c:v>
                      </c:pt>
                      <c:pt idx="165">
                        <c:v>0.27000001072883606</c:v>
                      </c:pt>
                      <c:pt idx="166">
                        <c:v>0.25999999046325684</c:v>
                      </c:pt>
                      <c:pt idx="167">
                        <c:v>0.33000001311302185</c:v>
                      </c:pt>
                      <c:pt idx="168">
                        <c:v>0.37000000476837158</c:v>
                      </c:pt>
                      <c:pt idx="169">
                        <c:v>0.10999999940395355</c:v>
                      </c:pt>
                      <c:pt idx="170">
                        <c:v>1.9999999552965164E-2</c:v>
                      </c:pt>
                      <c:pt idx="171">
                        <c:v>7.0000000298023224E-2</c:v>
                      </c:pt>
                      <c:pt idx="172">
                        <c:v>-0.18999999761581421</c:v>
                      </c:pt>
                      <c:pt idx="173">
                        <c:v>-7.9999998211860657E-2</c:v>
                      </c:pt>
                      <c:pt idx="174">
                        <c:v>-9.0000003576278687E-2</c:v>
                      </c:pt>
                      <c:pt idx="175">
                        <c:v>-0.10999999940395355</c:v>
                      </c:pt>
                      <c:pt idx="176">
                        <c:v>5.9999998658895493E-2</c:v>
                      </c:pt>
                      <c:pt idx="177">
                        <c:v>2.9999999329447746E-2</c:v>
                      </c:pt>
                      <c:pt idx="178">
                        <c:v>-0.10000000149011612</c:v>
                      </c:pt>
                      <c:pt idx="179">
                        <c:v>7.9999998211860657E-2</c:v>
                      </c:pt>
                      <c:pt idx="180">
                        <c:v>0.50999999046325684</c:v>
                      </c:pt>
                      <c:pt idx="181">
                        <c:v>0.55000001192092896</c:v>
                      </c:pt>
                      <c:pt idx="182">
                        <c:v>0.72000002861022949</c:v>
                      </c:pt>
                      <c:pt idx="183">
                        <c:v>0.89999997615814209</c:v>
                      </c:pt>
                      <c:pt idx="184">
                        <c:v>0.97000002861022949</c:v>
                      </c:pt>
                      <c:pt idx="185">
                        <c:v>0.86000001430511475</c:v>
                      </c:pt>
                      <c:pt idx="186">
                        <c:v>1.0299999713897705</c:v>
                      </c:pt>
                      <c:pt idx="187">
                        <c:v>1.1000000238418579</c:v>
                      </c:pt>
                      <c:pt idx="188">
                        <c:v>1.940000057220459</c:v>
                      </c:pt>
                      <c:pt idx="189">
                        <c:v>1.940000057220459</c:v>
                      </c:pt>
                      <c:pt idx="190">
                        <c:v>1.9900000095367432</c:v>
                      </c:pt>
                      <c:pt idx="191">
                        <c:v>2.2300000190734863</c:v>
                      </c:pt>
                      <c:pt idx="192">
                        <c:v>2.1700000762939453</c:v>
                      </c:pt>
                      <c:pt idx="193">
                        <c:v>2.0799999237060547</c:v>
                      </c:pt>
                      <c:pt idx="194">
                        <c:v>1.2899999618530273</c:v>
                      </c:pt>
                      <c:pt idx="195">
                        <c:v>1.4299999475479126</c:v>
                      </c:pt>
                      <c:pt idx="196">
                        <c:v>1.3400000333786011</c:v>
                      </c:pt>
                      <c:pt idx="197">
                        <c:v>1.5299999713897705</c:v>
                      </c:pt>
                      <c:pt idx="198">
                        <c:v>1.9099999666213989</c:v>
                      </c:pt>
                      <c:pt idx="199">
                        <c:v>1.6100000143051147</c:v>
                      </c:pt>
                      <c:pt idx="200">
                        <c:v>1.440000057220459</c:v>
                      </c:pt>
                      <c:pt idx="201">
                        <c:v>1.7699999809265137</c:v>
                      </c:pt>
                      <c:pt idx="202">
                        <c:v>1.7100000381469727</c:v>
                      </c:pt>
                      <c:pt idx="203">
                        <c:v>1.7000000476837158</c:v>
                      </c:pt>
                      <c:pt idx="204">
                        <c:v>1.5099999904632568</c:v>
                      </c:pt>
                      <c:pt idx="205">
                        <c:v>1.4800000190734863</c:v>
                      </c:pt>
                      <c:pt idx="206">
                        <c:v>1.2899999618530273</c:v>
                      </c:pt>
                      <c:pt idx="207">
                        <c:v>1.25</c:v>
                      </c:pt>
                      <c:pt idx="208">
                        <c:v>1.3300000429153442</c:v>
                      </c:pt>
                      <c:pt idx="209">
                        <c:v>1.3200000524520874</c:v>
                      </c:pt>
                      <c:pt idx="210">
                        <c:v>1.9299999475479126</c:v>
                      </c:pt>
                      <c:pt idx="211">
                        <c:v>1.7799999713897705</c:v>
                      </c:pt>
                      <c:pt idx="212">
                        <c:v>1.6200000047683716</c:v>
                      </c:pt>
                      <c:pt idx="213">
                        <c:v>1.7100000381469727</c:v>
                      </c:pt>
                      <c:pt idx="214">
                        <c:v>1.6100000143051147</c:v>
                      </c:pt>
                      <c:pt idx="215">
                        <c:v>1.7000000476837158</c:v>
                      </c:pt>
                      <c:pt idx="216">
                        <c:v>1.9700000286102295</c:v>
                      </c:pt>
                      <c:pt idx="217">
                        <c:v>2.0199999809265137</c:v>
                      </c:pt>
                      <c:pt idx="218">
                        <c:v>1.8999999761581421</c:v>
                      </c:pt>
                      <c:pt idx="219">
                        <c:v>1.8700000047683716</c:v>
                      </c:pt>
                      <c:pt idx="220">
                        <c:v>1.690000057220459</c:v>
                      </c:pt>
                      <c:pt idx="221">
                        <c:v>1.6100000143051147</c:v>
                      </c:pt>
                      <c:pt idx="222">
                        <c:v>1.5700000524520874</c:v>
                      </c:pt>
                      <c:pt idx="223">
                        <c:v>1.6499999761581421</c:v>
                      </c:pt>
                      <c:pt idx="224">
                        <c:v>1.2999999523162842</c:v>
                      </c:pt>
                      <c:pt idx="225">
                        <c:v>1.2899999618530273</c:v>
                      </c:pt>
                      <c:pt idx="226">
                        <c:v>1.2699999809265137</c:v>
                      </c:pt>
                      <c:pt idx="227">
                        <c:v>1.3400000333786011</c:v>
                      </c:pt>
                      <c:pt idx="228">
                        <c:v>1.3999999761581421</c:v>
                      </c:pt>
                      <c:pt idx="229">
                        <c:v>1.3400000333786011</c:v>
                      </c:pt>
                      <c:pt idx="230">
                        <c:v>1.0299999713897705</c:v>
                      </c:pt>
                      <c:pt idx="231">
                        <c:v>1.0700000524520874</c:v>
                      </c:pt>
                      <c:pt idx="232">
                        <c:v>1.0199999809265137</c:v>
                      </c:pt>
                      <c:pt idx="233">
                        <c:v>0.94999998807907104</c:v>
                      </c:pt>
                      <c:pt idx="234">
                        <c:v>0.87000000476837158</c:v>
                      </c:pt>
                      <c:pt idx="235">
                        <c:v>0.81000000238418579</c:v>
                      </c:pt>
                      <c:pt idx="236">
                        <c:v>0.63999998569488525</c:v>
                      </c:pt>
                      <c:pt idx="237">
                        <c:v>0.56000000238418579</c:v>
                      </c:pt>
                      <c:pt idx="238">
                        <c:v>0.28999999165534973</c:v>
                      </c:pt>
                      <c:pt idx="239">
                        <c:v>0.12999999523162842</c:v>
                      </c:pt>
                      <c:pt idx="240">
                        <c:v>0.2800000011920929</c:v>
                      </c:pt>
                      <c:pt idx="241">
                        <c:v>0.18999999761581421</c:v>
                      </c:pt>
                      <c:pt idx="242">
                        <c:v>0.25</c:v>
                      </c:pt>
                      <c:pt idx="243">
                        <c:v>0.33000001311302185</c:v>
                      </c:pt>
                      <c:pt idx="244">
                        <c:v>0.27000001072883606</c:v>
                      </c:pt>
                      <c:pt idx="245">
                        <c:v>0.18000000715255737</c:v>
                      </c:pt>
                      <c:pt idx="246">
                        <c:v>0.23000000417232513</c:v>
                      </c:pt>
                      <c:pt idx="247">
                        <c:v>0.10000000149011612</c:v>
                      </c:pt>
                      <c:pt idx="248">
                        <c:v>9.0000003576278687E-2</c:v>
                      </c:pt>
                      <c:pt idx="249">
                        <c:v>9.0000003576278687E-2</c:v>
                      </c:pt>
                      <c:pt idx="250">
                        <c:v>3.9999999105930328E-2</c:v>
                      </c:pt>
                      <c:pt idx="251">
                        <c:v>7.0000000298023224E-2</c:v>
                      </c:pt>
                      <c:pt idx="252">
                        <c:v>7.0000000298023224E-2</c:v>
                      </c:pt>
                      <c:pt idx="253">
                        <c:v>5.9999998658895493E-2</c:v>
                      </c:pt>
                      <c:pt idx="254">
                        <c:v>0.14000000059604645</c:v>
                      </c:pt>
                      <c:pt idx="255">
                        <c:v>1.9999999552965164E-2</c:v>
                      </c:pt>
                      <c:pt idx="256">
                        <c:v>-7.9999998211860657E-2</c:v>
                      </c:pt>
                      <c:pt idx="257">
                        <c:v>-1.9999999552965164E-2</c:v>
                      </c:pt>
                      <c:pt idx="258">
                        <c:v>-0.10999999940395355</c:v>
                      </c:pt>
                      <c:pt idx="259">
                        <c:v>0.15000000596046448</c:v>
                      </c:pt>
                      <c:pt idx="260">
                        <c:v>0.25</c:v>
                      </c:pt>
                      <c:pt idx="261">
                        <c:v>0.14000000059604645</c:v>
                      </c:pt>
                      <c:pt idx="262">
                        <c:v>0.31000000238418579</c:v>
                      </c:pt>
                      <c:pt idx="263">
                        <c:v>0.2199999988079071</c:v>
                      </c:pt>
                      <c:pt idx="264">
                        <c:v>0.70999997854232788</c:v>
                      </c:pt>
                      <c:pt idx="265">
                        <c:v>0.75999999046325684</c:v>
                      </c:pt>
                      <c:pt idx="266">
                        <c:v>0.86000001430511475</c:v>
                      </c:pt>
                      <c:pt idx="267">
                        <c:v>0.85000002384185791</c:v>
                      </c:pt>
                      <c:pt idx="268">
                        <c:v>0.5899999737739563</c:v>
                      </c:pt>
                      <c:pt idx="269">
                        <c:v>0.47999998927116394</c:v>
                      </c:pt>
                      <c:pt idx="270">
                        <c:v>0.75999999046325684</c:v>
                      </c:pt>
                      <c:pt idx="271">
                        <c:v>0.76999998092651367</c:v>
                      </c:pt>
                      <c:pt idx="272">
                        <c:v>0.81000000238418579</c:v>
                      </c:pt>
                      <c:pt idx="273">
                        <c:v>1.6699999570846558</c:v>
                      </c:pt>
                      <c:pt idx="274">
                        <c:v>1.6299999952316284</c:v>
                      </c:pt>
                      <c:pt idx="275">
                        <c:v>1.6000000238418579</c:v>
                      </c:pt>
                      <c:pt idx="276">
                        <c:v>1.6000000238418579</c:v>
                      </c:pt>
                      <c:pt idx="277">
                        <c:v>1.7000000476837158</c:v>
                      </c:pt>
                      <c:pt idx="278">
                        <c:v>1.8400000333786011</c:v>
                      </c:pt>
                      <c:pt idx="279">
                        <c:v>2.0999999046325684</c:v>
                      </c:pt>
                      <c:pt idx="280">
                        <c:v>2.2999999523162842</c:v>
                      </c:pt>
                      <c:pt idx="281">
                        <c:v>2.1800000667572021</c:v>
                      </c:pt>
                      <c:pt idx="282">
                        <c:v>2.0799999237060547</c:v>
                      </c:pt>
                      <c:pt idx="283">
                        <c:v>2.0999999046325684</c:v>
                      </c:pt>
                      <c:pt idx="284">
                        <c:v>2.0499999523162842</c:v>
                      </c:pt>
                      <c:pt idx="285">
                        <c:v>2.0199999809265137</c:v>
                      </c:pt>
                      <c:pt idx="286">
                        <c:v>2.0999999046325684</c:v>
                      </c:pt>
                      <c:pt idx="287">
                        <c:v>2.1700000762939453</c:v>
                      </c:pt>
                      <c:pt idx="288">
                        <c:v>2.130000114440918</c:v>
                      </c:pt>
                      <c:pt idx="289">
                        <c:v>2.1099998950958252</c:v>
                      </c:pt>
                      <c:pt idx="290">
                        <c:v>1.8300000429153442</c:v>
                      </c:pt>
                      <c:pt idx="291">
                        <c:v>1.690000057220459</c:v>
                      </c:pt>
                      <c:pt idx="292">
                        <c:v>1.6299999952316284</c:v>
                      </c:pt>
                      <c:pt idx="293">
                        <c:v>1.690000057220459</c:v>
                      </c:pt>
                      <c:pt idx="294">
                        <c:v>1.6200000047683716</c:v>
                      </c:pt>
                      <c:pt idx="295">
                        <c:v>1.6000000238418579</c:v>
                      </c:pt>
                      <c:pt idx="296">
                        <c:v>1.3500000238418579</c:v>
                      </c:pt>
                      <c:pt idx="297">
                        <c:v>1.440000057220459</c:v>
                      </c:pt>
                      <c:pt idx="298">
                        <c:v>1.4500000476837158</c:v>
                      </c:pt>
                      <c:pt idx="299">
                        <c:v>1.4700000286102295</c:v>
                      </c:pt>
                      <c:pt idx="300">
                        <c:v>1.6399999856948853</c:v>
                      </c:pt>
                      <c:pt idx="301">
                        <c:v>1.5299999713897705</c:v>
                      </c:pt>
                      <c:pt idx="302">
                        <c:v>1.5199999809265137</c:v>
                      </c:pt>
                      <c:pt idx="303">
                        <c:v>1.4900000095367432</c:v>
                      </c:pt>
                      <c:pt idx="304">
                        <c:v>1.4900000095367432</c:v>
                      </c:pt>
                      <c:pt idx="305">
                        <c:v>1.5299999713897705</c:v>
                      </c:pt>
                      <c:pt idx="306">
                        <c:v>1.4099999666213989</c:v>
                      </c:pt>
                      <c:pt idx="307">
                        <c:v>1.4099999666213989</c:v>
                      </c:pt>
                      <c:pt idx="308">
                        <c:v>1.2699999809265137</c:v>
                      </c:pt>
                      <c:pt idx="309">
                        <c:v>1.2999999523162842</c:v>
                      </c:pt>
                      <c:pt idx="310">
                        <c:v>1.1399999856948853</c:v>
                      </c:pt>
                      <c:pt idx="311">
                        <c:v>1.0299999713897705</c:v>
                      </c:pt>
                      <c:pt idx="312">
                        <c:v>1.0199999809265137</c:v>
                      </c:pt>
                      <c:pt idx="313">
                        <c:v>0.87999999523162842</c:v>
                      </c:pt>
                      <c:pt idx="314">
                        <c:v>0.93000000715255737</c:v>
                      </c:pt>
                      <c:pt idx="315">
                        <c:v>0.67000001668930054</c:v>
                      </c:pt>
                      <c:pt idx="316">
                        <c:v>0.68000000715255737</c:v>
                      </c:pt>
                      <c:pt idx="317">
                        <c:v>0.73000001907348633</c:v>
                      </c:pt>
                      <c:pt idx="318">
                        <c:v>0.63999998569488525</c:v>
                      </c:pt>
                      <c:pt idx="319">
                        <c:v>0.64999997615814209</c:v>
                      </c:pt>
                      <c:pt idx="320">
                        <c:v>0.6600000262260437</c:v>
                      </c:pt>
                      <c:pt idx="321">
                        <c:v>0.70999997854232788</c:v>
                      </c:pt>
                      <c:pt idx="322">
                        <c:v>0.62999999523162842</c:v>
                      </c:pt>
                      <c:pt idx="323">
                        <c:v>0.69999998807907104</c:v>
                      </c:pt>
                      <c:pt idx="324">
                        <c:v>0.82999998331069946</c:v>
                      </c:pt>
                      <c:pt idx="325">
                        <c:v>0.86000001430511475</c:v>
                      </c:pt>
                      <c:pt idx="326">
                        <c:v>0.75999999046325684</c:v>
                      </c:pt>
                      <c:pt idx="327">
                        <c:v>0.77999997138977051</c:v>
                      </c:pt>
                      <c:pt idx="328">
                        <c:v>1</c:v>
                      </c:pt>
                      <c:pt idx="329">
                        <c:v>1.2699999809265137</c:v>
                      </c:pt>
                      <c:pt idx="330">
                        <c:v>1.2999999523162842</c:v>
                      </c:pt>
                      <c:pt idx="331">
                        <c:v>1.4299999475479126</c:v>
                      </c:pt>
                      <c:pt idx="332">
                        <c:v>1.3600000143051147</c:v>
                      </c:pt>
                      <c:pt idx="333">
                        <c:v>1.3200000524520874</c:v>
                      </c:pt>
                      <c:pt idx="334">
                        <c:v>1.440000057220459</c:v>
                      </c:pt>
                      <c:pt idx="335">
                        <c:v>1.5900000333786011</c:v>
                      </c:pt>
                      <c:pt idx="336">
                        <c:v>1.3999999761581421</c:v>
                      </c:pt>
                      <c:pt idx="337">
                        <c:v>1.440000057220459</c:v>
                      </c:pt>
                      <c:pt idx="338">
                        <c:v>1.3899999856948853</c:v>
                      </c:pt>
                      <c:pt idx="339">
                        <c:v>1.3400000333786011</c:v>
                      </c:pt>
                      <c:pt idx="340">
                        <c:v>1.1799999475479126</c:v>
                      </c:pt>
                      <c:pt idx="341">
                        <c:v>1.1499999761581421</c:v>
                      </c:pt>
                      <c:pt idx="342">
                        <c:v>1.059999942779541</c:v>
                      </c:pt>
                      <c:pt idx="343">
                        <c:v>0.89999997615814209</c:v>
                      </c:pt>
                      <c:pt idx="344">
                        <c:v>1.059999942779541</c:v>
                      </c:pt>
                      <c:pt idx="345">
                        <c:v>1.0099999904632568</c:v>
                      </c:pt>
                      <c:pt idx="346">
                        <c:v>0.93000000715255737</c:v>
                      </c:pt>
                      <c:pt idx="347">
                        <c:v>0.77999997138977051</c:v>
                      </c:pt>
                      <c:pt idx="348">
                        <c:v>0.9100000262260437</c:v>
                      </c:pt>
                      <c:pt idx="349">
                        <c:v>0.85000002384185791</c:v>
                      </c:pt>
                      <c:pt idx="350">
                        <c:v>0.8399999737739563</c:v>
                      </c:pt>
                      <c:pt idx="351">
                        <c:v>0.9100000262260437</c:v>
                      </c:pt>
                      <c:pt idx="352">
                        <c:v>1.0399999618530273</c:v>
                      </c:pt>
                      <c:pt idx="353">
                        <c:v>1.1699999570846558</c:v>
                      </c:pt>
                      <c:pt idx="354">
                        <c:v>1.059999942779541</c:v>
                      </c:pt>
                      <c:pt idx="355">
                        <c:v>1.059999942779541</c:v>
                      </c:pt>
                      <c:pt idx="356">
                        <c:v>0.92000001668930054</c:v>
                      </c:pt>
                      <c:pt idx="357">
                        <c:v>0.93000000715255737</c:v>
                      </c:pt>
                      <c:pt idx="358">
                        <c:v>0.95999997854232788</c:v>
                      </c:pt>
                      <c:pt idx="359">
                        <c:v>0.92000001668930054</c:v>
                      </c:pt>
                      <c:pt idx="360">
                        <c:v>0.81999999284744263</c:v>
                      </c:pt>
                      <c:pt idx="361">
                        <c:v>0.6600000262260437</c:v>
                      </c:pt>
                      <c:pt idx="362">
                        <c:v>0.68999999761581421</c:v>
                      </c:pt>
                      <c:pt idx="363">
                        <c:v>0.81999999284744263</c:v>
                      </c:pt>
                      <c:pt idx="364">
                        <c:v>0.75</c:v>
                      </c:pt>
                      <c:pt idx="365">
                        <c:v>0.57999998331069946</c:v>
                      </c:pt>
                      <c:pt idx="366">
                        <c:v>0.49000000953674316</c:v>
                      </c:pt>
                      <c:pt idx="367">
                        <c:v>0.43999999761581421</c:v>
                      </c:pt>
                      <c:pt idx="368">
                        <c:v>0.4699999988079071</c:v>
                      </c:pt>
                      <c:pt idx="369">
                        <c:v>0.5899999737739563</c:v>
                      </c:pt>
                      <c:pt idx="370">
                        <c:v>0.87999999523162842</c:v>
                      </c:pt>
                      <c:pt idx="371">
                        <c:v>0.94999998807907104</c:v>
                      </c:pt>
                      <c:pt idx="372">
                        <c:v>1</c:v>
                      </c:pt>
                      <c:pt idx="373">
                        <c:v>0.93000000715255737</c:v>
                      </c:pt>
                      <c:pt idx="374">
                        <c:v>0.87000000476837158</c:v>
                      </c:pt>
                      <c:pt idx="375">
                        <c:v>0.74000000953674316</c:v>
                      </c:pt>
                      <c:pt idx="376">
                        <c:v>0.72000002861022949</c:v>
                      </c:pt>
                      <c:pt idx="377">
                        <c:v>0.56999999284744263</c:v>
                      </c:pt>
                      <c:pt idx="378">
                        <c:v>0.68000000715255737</c:v>
                      </c:pt>
                      <c:pt idx="379">
                        <c:v>0.60000002384185791</c:v>
                      </c:pt>
                      <c:pt idx="380">
                        <c:v>0.55000001192092896</c:v>
                      </c:pt>
                      <c:pt idx="381">
                        <c:v>0.57999998331069946</c:v>
                      </c:pt>
                      <c:pt idx="382">
                        <c:v>0.44999998807907104</c:v>
                      </c:pt>
                      <c:pt idx="383">
                        <c:v>0.31999999284744263</c:v>
                      </c:pt>
                      <c:pt idx="384">
                        <c:v>0.44999998807907104</c:v>
                      </c:pt>
                      <c:pt idx="385">
                        <c:v>0.44999998807907104</c:v>
                      </c:pt>
                      <c:pt idx="386">
                        <c:v>0.31000000238418579</c:v>
                      </c:pt>
                      <c:pt idx="387">
                        <c:v>0.43999999761581421</c:v>
                      </c:pt>
                      <c:pt idx="388">
                        <c:v>0.33000001311302185</c:v>
                      </c:pt>
                      <c:pt idx="389">
                        <c:v>0.28999999165534973</c:v>
                      </c:pt>
                      <c:pt idx="390">
                        <c:v>0.23000000417232513</c:v>
                      </c:pt>
                      <c:pt idx="391">
                        <c:v>0.18000000715255737</c:v>
                      </c:pt>
                      <c:pt idx="392">
                        <c:v>0.23000000417232513</c:v>
                      </c:pt>
                      <c:pt idx="393">
                        <c:v>0.15999999642372131</c:v>
                      </c:pt>
                      <c:pt idx="394">
                        <c:v>0.11999999731779099</c:v>
                      </c:pt>
                      <c:pt idx="395">
                        <c:v>7.0000000298023224E-2</c:v>
                      </c:pt>
                      <c:pt idx="396">
                        <c:v>0.10000000149011612</c:v>
                      </c:pt>
                    </c:numCache>
                  </c:numRef>
                </c:val>
                <c:extLst>
                  <c:ext xmlns:c16="http://schemas.microsoft.com/office/drawing/2014/chart" uri="{C3380CC4-5D6E-409C-BE32-E72D297353CC}">
                    <c16:uniqueId val="{00000004-36E2-4900-9901-458A2A79468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Sheet1!$C$1</c15:sqref>
                        </c15:formulaRef>
                      </c:ext>
                    </c:extLst>
                    <c:strCache>
                      <c:ptCount val="1"/>
                      <c:pt idx="0">
                        <c:v>mspread</c:v>
                      </c:pt>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Sheet1!$A$2:$A$398</c15:sqref>
                        </c15:formulaRef>
                      </c:ext>
                    </c:extLst>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extLst xmlns:c15="http://schemas.microsoft.com/office/drawing/2012/chart">
                      <c:ext xmlns:c15="http://schemas.microsoft.com/office/drawing/2012/chart" uri="{02D57815-91ED-43cb-92C2-25804820EDAC}">
                        <c15:formulaRef>
                          <c15:sqref>Sheet1!$C$2:$C$398</c15:sqref>
                        </c15:formulaRef>
                      </c:ext>
                    </c:extLst>
                    <c:numCache>
                      <c:formatCode>0.0000</c:formatCode>
                      <c:ptCount val="397"/>
                      <c:pt idx="0">
                        <c:v>7.9999998211860657E-2</c:v>
                      </c:pt>
                      <c:pt idx="1">
                        <c:v>-1.7300000190734863</c:v>
                      </c:pt>
                      <c:pt idx="2">
                        <c:v>-1.3700000047683716</c:v>
                      </c:pt>
                      <c:pt idx="3">
                        <c:v>-0.38999998569488525</c:v>
                      </c:pt>
                      <c:pt idx="4">
                        <c:v>0.63999998569488525</c:v>
                      </c:pt>
                      <c:pt idx="5">
                        <c:v>0.31999999284744263</c:v>
                      </c:pt>
                      <c:pt idx="6">
                        <c:v>0.6600000262260437</c:v>
                      </c:pt>
                      <c:pt idx="7">
                        <c:v>0.43000000715255737</c:v>
                      </c:pt>
                      <c:pt idx="8">
                        <c:v>0.77999997138977051</c:v>
                      </c:pt>
                      <c:pt idx="9">
                        <c:v>0.76999998092651367</c:v>
                      </c:pt>
                      <c:pt idx="10">
                        <c:v>0.5</c:v>
                      </c:pt>
                      <c:pt idx="11">
                        <c:v>0.5</c:v>
                      </c:pt>
                      <c:pt idx="12">
                        <c:v>0.44999998807907104</c:v>
                      </c:pt>
                      <c:pt idx="13">
                        <c:v>1.0399999618530273</c:v>
                      </c:pt>
                      <c:pt idx="14">
                        <c:v>1.2000000476837158</c:v>
                      </c:pt>
                      <c:pt idx="15">
                        <c:v>1.8899999856948853</c:v>
                      </c:pt>
                      <c:pt idx="16">
                        <c:v>1.4500000476837158</c:v>
                      </c:pt>
                      <c:pt idx="17">
                        <c:v>1</c:v>
                      </c:pt>
                      <c:pt idx="18">
                        <c:v>1.3700000047683716</c:v>
                      </c:pt>
                      <c:pt idx="19">
                        <c:v>1.1599999666213989</c:v>
                      </c:pt>
                      <c:pt idx="20">
                        <c:v>1.7000000476837158</c:v>
                      </c:pt>
                      <c:pt idx="21">
                        <c:v>0.93999999761581421</c:v>
                      </c:pt>
                      <c:pt idx="22">
                        <c:v>1.8500000238418579</c:v>
                      </c:pt>
                      <c:pt idx="23">
                        <c:v>1.5900000333786011</c:v>
                      </c:pt>
                      <c:pt idx="24">
                        <c:v>0.87000000476837158</c:v>
                      </c:pt>
                      <c:pt idx="25">
                        <c:v>0.80000001192092896</c:v>
                      </c:pt>
                      <c:pt idx="26">
                        <c:v>1.1799999475479126</c:v>
                      </c:pt>
                      <c:pt idx="27">
                        <c:v>1.1000000238418579</c:v>
                      </c:pt>
                      <c:pt idx="28">
                        <c:v>0.98000001907348633</c:v>
                      </c:pt>
                      <c:pt idx="29">
                        <c:v>0.51999998092651367</c:v>
                      </c:pt>
                      <c:pt idx="30">
                        <c:v>0.70999997854232788</c:v>
                      </c:pt>
                      <c:pt idx="31">
                        <c:v>0.8399999737739563</c:v>
                      </c:pt>
                      <c:pt idx="32">
                        <c:v>-9.9999997764825821E-3</c:v>
                      </c:pt>
                      <c:pt idx="33">
                        <c:v>-0.52999997138977051</c:v>
                      </c:pt>
                      <c:pt idx="34">
                        <c:v>-0.54000002145767212</c:v>
                      </c:pt>
                      <c:pt idx="35">
                        <c:v>-0.73000001907348633</c:v>
                      </c:pt>
                      <c:pt idx="36">
                        <c:v>-1.1200000047683716</c:v>
                      </c:pt>
                      <c:pt idx="37">
                        <c:v>-1.0299999713897705</c:v>
                      </c:pt>
                      <c:pt idx="38">
                        <c:v>-1.3799999952316284</c:v>
                      </c:pt>
                      <c:pt idx="39">
                        <c:v>-2.0799999237060547</c:v>
                      </c:pt>
                      <c:pt idx="40">
                        <c:v>-2.5099999904632568</c:v>
                      </c:pt>
                      <c:pt idx="41">
                        <c:v>-2.7200000286102295</c:v>
                      </c:pt>
                      <c:pt idx="42">
                        <c:v>-2.7799999713897705</c:v>
                      </c:pt>
                      <c:pt idx="43">
                        <c:v>-2.6500000953674316</c:v>
                      </c:pt>
                      <c:pt idx="44">
                        <c:v>-2.4600000381469727</c:v>
                      </c:pt>
                      <c:pt idx="45">
                        <c:v>-2.7999999523162842</c:v>
                      </c:pt>
                      <c:pt idx="46">
                        <c:v>-2.4900000095367432</c:v>
                      </c:pt>
                      <c:pt idx="47">
                        <c:v>-2.6600000858306885</c:v>
                      </c:pt>
                      <c:pt idx="48">
                        <c:v>-2.1800000667572021</c:v>
                      </c:pt>
                      <c:pt idx="49">
                        <c:v>-2.1400001049041748</c:v>
                      </c:pt>
                      <c:pt idx="50">
                        <c:v>-2.2200000286102295</c:v>
                      </c:pt>
                      <c:pt idx="51">
                        <c:v>-1.8999999761581421</c:v>
                      </c:pt>
                      <c:pt idx="52">
                        <c:v>-2.75</c:v>
                      </c:pt>
                      <c:pt idx="53">
                        <c:v>-2.9300000667572021</c:v>
                      </c:pt>
                      <c:pt idx="54">
                        <c:v>-2.7400000095367432</c:v>
                      </c:pt>
                      <c:pt idx="55">
                        <c:v>-2.2200000286102295</c:v>
                      </c:pt>
                      <c:pt idx="56">
                        <c:v>-1.0499999523162842</c:v>
                      </c:pt>
                      <c:pt idx="57">
                        <c:v>-1.3700000047683716</c:v>
                      </c:pt>
                      <c:pt idx="58">
                        <c:v>-1.6100000143051147</c:v>
                      </c:pt>
                      <c:pt idx="59">
                        <c:v>-1.3700000047683716</c:v>
                      </c:pt>
                      <c:pt idx="60">
                        <c:v>-0.86000001430511475</c:v>
                      </c:pt>
                      <c:pt idx="61">
                        <c:v>-0.47999998927116394</c:v>
                      </c:pt>
                      <c:pt idx="62">
                        <c:v>-0.15000000596046448</c:v>
                      </c:pt>
                      <c:pt idx="63">
                        <c:v>0.14000000059604645</c:v>
                      </c:pt>
                      <c:pt idx="64">
                        <c:v>0.64999997615814209</c:v>
                      </c:pt>
                      <c:pt idx="65">
                        <c:v>1.4099999666213989</c:v>
                      </c:pt>
                      <c:pt idx="66">
                        <c:v>1.2000000476837158</c:v>
                      </c:pt>
                      <c:pt idx="67">
                        <c:v>1.0700000524520874</c:v>
                      </c:pt>
                      <c:pt idx="68">
                        <c:v>0.81000000238418579</c:v>
                      </c:pt>
                      <c:pt idx="69">
                        <c:v>0.6600000262260437</c:v>
                      </c:pt>
                      <c:pt idx="70">
                        <c:v>1.1200000047683716</c:v>
                      </c:pt>
                      <c:pt idx="71">
                        <c:v>0.99000000953674316</c:v>
                      </c:pt>
                      <c:pt idx="72">
                        <c:v>1.2599999904632568</c:v>
                      </c:pt>
                      <c:pt idx="73">
                        <c:v>1.0900000333786011</c:v>
                      </c:pt>
                      <c:pt idx="74">
                        <c:v>1.2699999809265137</c:v>
                      </c:pt>
                      <c:pt idx="75">
                        <c:v>2.0199999809265137</c:v>
                      </c:pt>
                      <c:pt idx="76">
                        <c:v>2.1600000858306885</c:v>
                      </c:pt>
                      <c:pt idx="77">
                        <c:v>2.369999885559082</c:v>
                      </c:pt>
                      <c:pt idx="78">
                        <c:v>2.0899999141693115</c:v>
                      </c:pt>
                      <c:pt idx="79">
                        <c:v>2.440000057220459</c:v>
                      </c:pt>
                      <c:pt idx="80">
                        <c:v>2.5</c:v>
                      </c:pt>
                      <c:pt idx="81">
                        <c:v>0.40000000596046448</c:v>
                      </c:pt>
                      <c:pt idx="82">
                        <c:v>0.56999999284744263</c:v>
                      </c:pt>
                      <c:pt idx="83">
                        <c:v>0.41999998688697815</c:v>
                      </c:pt>
                      <c:pt idx="84">
                        <c:v>1.2899999618530273</c:v>
                      </c:pt>
                      <c:pt idx="85">
                        <c:v>1.3999999761581421</c:v>
                      </c:pt>
                      <c:pt idx="86">
                        <c:v>2.2000000476837158</c:v>
                      </c:pt>
                      <c:pt idx="87">
                        <c:v>2.3599998950958252</c:v>
                      </c:pt>
                      <c:pt idx="88">
                        <c:v>2.5</c:v>
                      </c:pt>
                      <c:pt idx="89">
                        <c:v>2.630000114440918</c:v>
                      </c:pt>
                      <c:pt idx="90">
                        <c:v>2.8900001049041748</c:v>
                      </c:pt>
                      <c:pt idx="91">
                        <c:v>2.380000114440918</c:v>
                      </c:pt>
                      <c:pt idx="92">
                        <c:v>2.2999999523162842</c:v>
                      </c:pt>
                      <c:pt idx="93">
                        <c:v>2.2400000095367432</c:v>
                      </c:pt>
                      <c:pt idx="94">
                        <c:v>2.7699999809265137</c:v>
                      </c:pt>
                      <c:pt idx="95">
                        <c:v>2.6500000953674316</c:v>
                      </c:pt>
                      <c:pt idx="96">
                        <c:v>2.690000057220459</c:v>
                      </c:pt>
                      <c:pt idx="97">
                        <c:v>3.1700000762939453</c:v>
                      </c:pt>
                      <c:pt idx="98">
                        <c:v>3.5699999332427979</c:v>
                      </c:pt>
                      <c:pt idx="99">
                        <c:v>2.1500000953674316</c:v>
                      </c:pt>
                      <c:pt idx="100">
                        <c:v>2.2100000381469727</c:v>
                      </c:pt>
                      <c:pt idx="101">
                        <c:v>2.809999942779541</c:v>
                      </c:pt>
                      <c:pt idx="102">
                        <c:v>3.369999885559082</c:v>
                      </c:pt>
                      <c:pt idx="103">
                        <c:v>3.2799999713897705</c:v>
                      </c:pt>
                      <c:pt idx="104">
                        <c:v>3.4800000190734863</c:v>
                      </c:pt>
                      <c:pt idx="105">
                        <c:v>3.7599999904632568</c:v>
                      </c:pt>
                      <c:pt idx="106">
                        <c:v>3.559999942779541</c:v>
                      </c:pt>
                      <c:pt idx="107">
                        <c:v>2.5099999904632568</c:v>
                      </c:pt>
                      <c:pt idx="108">
                        <c:v>1.7899999618530273</c:v>
                      </c:pt>
                      <c:pt idx="109">
                        <c:v>0.81000000238418579</c:v>
                      </c:pt>
                      <c:pt idx="110">
                        <c:v>0.38999998569488525</c:v>
                      </c:pt>
                      <c:pt idx="111">
                        <c:v>0.28999999165534973</c:v>
                      </c:pt>
                      <c:pt idx="112">
                        <c:v>0.46000000834465027</c:v>
                      </c:pt>
                      <c:pt idx="113">
                        <c:v>0.87999999523162842</c:v>
                      </c:pt>
                      <c:pt idx="114">
                        <c:v>1.7100000381469727</c:v>
                      </c:pt>
                      <c:pt idx="115">
                        <c:v>1.5199999809265137</c:v>
                      </c:pt>
                      <c:pt idx="116">
                        <c:v>1.3400000333786011</c:v>
                      </c:pt>
                      <c:pt idx="117">
                        <c:v>1.309999942779541</c:v>
                      </c:pt>
                      <c:pt idx="118">
                        <c:v>1.3300000429153442</c:v>
                      </c:pt>
                      <c:pt idx="119">
                        <c:v>1.3500000238418579</c:v>
                      </c:pt>
                      <c:pt idx="120">
                        <c:v>1.5800000429153442</c:v>
                      </c:pt>
                      <c:pt idx="121">
                        <c:v>2.4200000762939453</c:v>
                      </c:pt>
                      <c:pt idx="122">
                        <c:v>2.5499999523162842</c:v>
                      </c:pt>
                      <c:pt idx="123">
                        <c:v>2.8499999046325684</c:v>
                      </c:pt>
                      <c:pt idx="124">
                        <c:v>3.0299999713897705</c:v>
                      </c:pt>
                      <c:pt idx="125">
                        <c:v>3.059999942779541</c:v>
                      </c:pt>
                      <c:pt idx="126">
                        <c:v>3.0499999523162842</c:v>
                      </c:pt>
                      <c:pt idx="127">
                        <c:v>3.2100000381469727</c:v>
                      </c:pt>
                      <c:pt idx="128">
                        <c:v>3.2799999713897705</c:v>
                      </c:pt>
                      <c:pt idx="129">
                        <c:v>3.130000114440918</c:v>
                      </c:pt>
                      <c:pt idx="130">
                        <c:v>3.2000000476837158</c:v>
                      </c:pt>
                      <c:pt idx="131">
                        <c:v>3.4900000095367432</c:v>
                      </c:pt>
                      <c:pt idx="132">
                        <c:v>3.7999999523162842</c:v>
                      </c:pt>
                      <c:pt idx="133">
                        <c:v>3.5199999809265137</c:v>
                      </c:pt>
                      <c:pt idx="134">
                        <c:v>3.5299999713897705</c:v>
                      </c:pt>
                      <c:pt idx="135">
                        <c:v>3.5099999904632568</c:v>
                      </c:pt>
                      <c:pt idx="136">
                        <c:v>3.6500000953674316</c:v>
                      </c:pt>
                      <c:pt idx="137">
                        <c:v>3.2400000095367432</c:v>
                      </c:pt>
                      <c:pt idx="138">
                        <c:v>2.5799999237060547</c:v>
                      </c:pt>
                      <c:pt idx="139">
                        <c:v>2.9700000286102295</c:v>
                      </c:pt>
                      <c:pt idx="140">
                        <c:v>2.7699999809265137</c:v>
                      </c:pt>
                      <c:pt idx="141">
                        <c:v>2.1500000953674316</c:v>
                      </c:pt>
                      <c:pt idx="142">
                        <c:v>2</c:v>
                      </c:pt>
                      <c:pt idx="143">
                        <c:v>1.5900000333786011</c:v>
                      </c:pt>
                      <c:pt idx="144">
                        <c:v>1.2599999904632568</c:v>
                      </c:pt>
                      <c:pt idx="145">
                        <c:v>0.94999998807907104</c:v>
                      </c:pt>
                      <c:pt idx="146">
                        <c:v>0.75</c:v>
                      </c:pt>
                      <c:pt idx="147">
                        <c:v>0.85000002384185791</c:v>
                      </c:pt>
                      <c:pt idx="148">
                        <c:v>0.60000002384185791</c:v>
                      </c:pt>
                      <c:pt idx="149">
                        <c:v>0.60000002384185791</c:v>
                      </c:pt>
                      <c:pt idx="150">
                        <c:v>0.61000001430511475</c:v>
                      </c:pt>
                      <c:pt idx="151">
                        <c:v>0.6600000262260437</c:v>
                      </c:pt>
                      <c:pt idx="152">
                        <c:v>-0.25999999046325684</c:v>
                      </c:pt>
                      <c:pt idx="153">
                        <c:v>0.36000001430511475</c:v>
                      </c:pt>
                      <c:pt idx="154">
                        <c:v>0.37000000476837158</c:v>
                      </c:pt>
                      <c:pt idx="155">
                        <c:v>0.2199999988079071</c:v>
                      </c:pt>
                      <c:pt idx="156">
                        <c:v>0.25999999046325684</c:v>
                      </c:pt>
                      <c:pt idx="157">
                        <c:v>0.4699999988079071</c:v>
                      </c:pt>
                      <c:pt idx="158">
                        <c:v>0.20000000298023224</c:v>
                      </c:pt>
                      <c:pt idx="159">
                        <c:v>0.62000000476837158</c:v>
                      </c:pt>
                      <c:pt idx="160">
                        <c:v>1.0199999809265137</c:v>
                      </c:pt>
                      <c:pt idx="161">
                        <c:v>0.89999997615814209</c:v>
                      </c:pt>
                      <c:pt idx="162">
                        <c:v>0.99000000953674316</c:v>
                      </c:pt>
                      <c:pt idx="163">
                        <c:v>0.77999997138977051</c:v>
                      </c:pt>
                      <c:pt idx="164">
                        <c:v>1.1000000238418579</c:v>
                      </c:pt>
                      <c:pt idx="165">
                        <c:v>1.5399999618530273</c:v>
                      </c:pt>
                      <c:pt idx="166">
                        <c:v>1.2300000190734863</c:v>
                      </c:pt>
                      <c:pt idx="167">
                        <c:v>1.3999999761581421</c:v>
                      </c:pt>
                      <c:pt idx="168">
                        <c:v>1.4199999570846558</c:v>
                      </c:pt>
                      <c:pt idx="169">
                        <c:v>1.1799999475479126</c:v>
                      </c:pt>
                      <c:pt idx="170">
                        <c:v>0.9100000262260437</c:v>
                      </c:pt>
                      <c:pt idx="171">
                        <c:v>0.75</c:v>
                      </c:pt>
                      <c:pt idx="172">
                        <c:v>0.34999999403953552</c:v>
                      </c:pt>
                      <c:pt idx="173">
                        <c:v>0.37000000476837158</c:v>
                      </c:pt>
                      <c:pt idx="174">
                        <c:v>0.25999999046325684</c:v>
                      </c:pt>
                      <c:pt idx="175">
                        <c:v>0.15000000596046448</c:v>
                      </c:pt>
                      <c:pt idx="176">
                        <c:v>0.17000000178813934</c:v>
                      </c:pt>
                      <c:pt idx="177">
                        <c:v>0.10999999940395355</c:v>
                      </c:pt>
                      <c:pt idx="178">
                        <c:v>-0.14000000059604645</c:v>
                      </c:pt>
                      <c:pt idx="179">
                        <c:v>-0.18000000715255737</c:v>
                      </c:pt>
                      <c:pt idx="180">
                        <c:v>0.15999999642372131</c:v>
                      </c:pt>
                      <c:pt idx="181">
                        <c:v>0.28999999165534973</c:v>
                      </c:pt>
                      <c:pt idx="182">
                        <c:v>0.77999997138977051</c:v>
                      </c:pt>
                      <c:pt idx="183">
                        <c:v>1.1599999666213989</c:v>
                      </c:pt>
                      <c:pt idx="184">
                        <c:v>1.6100000143051147</c:v>
                      </c:pt>
                      <c:pt idx="185">
                        <c:v>1.4700000286102295</c:v>
                      </c:pt>
                      <c:pt idx="186">
                        <c:v>1.6000000238418579</c:v>
                      </c:pt>
                      <c:pt idx="187">
                        <c:v>1.4299999475479126</c:v>
                      </c:pt>
                      <c:pt idx="188">
                        <c:v>1.9700000286102295</c:v>
                      </c:pt>
                      <c:pt idx="189">
                        <c:v>2.0899999141693115</c:v>
                      </c:pt>
                      <c:pt idx="190">
                        <c:v>3.1700000762939453</c:v>
                      </c:pt>
                      <c:pt idx="191">
                        <c:v>3.440000057220459</c:v>
                      </c:pt>
                      <c:pt idx="192">
                        <c:v>3.5199999809265137</c:v>
                      </c:pt>
                      <c:pt idx="193">
                        <c:v>3.2999999523162842</c:v>
                      </c:pt>
                      <c:pt idx="194">
                        <c:v>3.6400001049041748</c:v>
                      </c:pt>
                      <c:pt idx="195">
                        <c:v>3.3199999332427979</c:v>
                      </c:pt>
                      <c:pt idx="196">
                        <c:v>2.9700000286102295</c:v>
                      </c:pt>
                      <c:pt idx="197">
                        <c:v>2.6800000667572021</c:v>
                      </c:pt>
                      <c:pt idx="198">
                        <c:v>2.4500000476837158</c:v>
                      </c:pt>
                      <c:pt idx="199">
                        <c:v>2.309999942779541</c:v>
                      </c:pt>
                      <c:pt idx="200">
                        <c:v>2.1099998950958252</c:v>
                      </c:pt>
                      <c:pt idx="201">
                        <c:v>2.3900001049041748</c:v>
                      </c:pt>
                      <c:pt idx="202">
                        <c:v>2.4800000190734863</c:v>
                      </c:pt>
                      <c:pt idx="203">
                        <c:v>2.2100000381469727</c:v>
                      </c:pt>
                      <c:pt idx="204">
                        <c:v>2.2999999523162842</c:v>
                      </c:pt>
                      <c:pt idx="205">
                        <c:v>2.119999885559082</c:v>
                      </c:pt>
                      <c:pt idx="206">
                        <c:v>2.0899999141693115</c:v>
                      </c:pt>
                      <c:pt idx="207">
                        <c:v>1.7100000381469727</c:v>
                      </c:pt>
                      <c:pt idx="208">
                        <c:v>1.3300000429153442</c:v>
                      </c:pt>
                      <c:pt idx="209">
                        <c:v>1.2699999809265137</c:v>
                      </c:pt>
                      <c:pt idx="210">
                        <c:v>1.8600000143051147</c:v>
                      </c:pt>
                      <c:pt idx="211">
                        <c:v>2.190000057220459</c:v>
                      </c:pt>
                      <c:pt idx="212">
                        <c:v>2.0099999904632568</c:v>
                      </c:pt>
                      <c:pt idx="213">
                        <c:v>2.2200000286102295</c:v>
                      </c:pt>
                      <c:pt idx="214">
                        <c:v>2.0999999046325684</c:v>
                      </c:pt>
                      <c:pt idx="215">
                        <c:v>2.0199999809265137</c:v>
                      </c:pt>
                      <c:pt idx="216">
                        <c:v>2.2300000190734863</c:v>
                      </c:pt>
                      <c:pt idx="217">
                        <c:v>2.2100000381469727</c:v>
                      </c:pt>
                      <c:pt idx="218">
                        <c:v>2.2899999618530273</c:v>
                      </c:pt>
                      <c:pt idx="219">
                        <c:v>2.75</c:v>
                      </c:pt>
                      <c:pt idx="220">
                        <c:v>2.7999999523162842</c:v>
                      </c:pt>
                      <c:pt idx="221">
                        <c:v>2.8199999332427979</c:v>
                      </c:pt>
                      <c:pt idx="222">
                        <c:v>2.7899999618530273</c:v>
                      </c:pt>
                      <c:pt idx="223">
                        <c:v>2.6099998950958252</c:v>
                      </c:pt>
                      <c:pt idx="224">
                        <c:v>2.2200000286102295</c:v>
                      </c:pt>
                      <c:pt idx="225">
                        <c:v>2</c:v>
                      </c:pt>
                      <c:pt idx="226">
                        <c:v>1.8200000524520874</c:v>
                      </c:pt>
                      <c:pt idx="227">
                        <c:v>1.9299999475479126</c:v>
                      </c:pt>
                      <c:pt idx="228">
                        <c:v>1.7599999904632568</c:v>
                      </c:pt>
                      <c:pt idx="229">
                        <c:v>1.8300000429153442</c:v>
                      </c:pt>
                      <c:pt idx="230">
                        <c:v>1.8999999761581421</c:v>
                      </c:pt>
                      <c:pt idx="231">
                        <c:v>1.6699999570846558</c:v>
                      </c:pt>
                      <c:pt idx="232">
                        <c:v>1.559999942779541</c:v>
                      </c:pt>
                      <c:pt idx="233">
                        <c:v>1.3600000143051147</c:v>
                      </c:pt>
                      <c:pt idx="234">
                        <c:v>1.3600000143051147</c:v>
                      </c:pt>
                      <c:pt idx="235">
                        <c:v>1.1000000238418579</c:v>
                      </c:pt>
                      <c:pt idx="236">
                        <c:v>1.1599999666213989</c:v>
                      </c:pt>
                      <c:pt idx="237">
                        <c:v>1.1799999475479126</c:v>
                      </c:pt>
                      <c:pt idx="238">
                        <c:v>0.86000001430511475</c:v>
                      </c:pt>
                      <c:pt idx="239">
                        <c:v>0.5899999737739563</c:v>
                      </c:pt>
                      <c:pt idx="240">
                        <c:v>0.68000000715255737</c:v>
                      </c:pt>
                      <c:pt idx="241">
                        <c:v>0.44999998807907104</c:v>
                      </c:pt>
                      <c:pt idx="242">
                        <c:v>0.4699999988079071</c:v>
                      </c:pt>
                      <c:pt idx="243">
                        <c:v>0.56999999284744263</c:v>
                      </c:pt>
                      <c:pt idx="244">
                        <c:v>0.34000000357627869</c:v>
                      </c:pt>
                      <c:pt idx="245">
                        <c:v>0.40000000596046448</c:v>
                      </c:pt>
                      <c:pt idx="246">
                        <c:v>0.18999999761581421</c:v>
                      </c:pt>
                      <c:pt idx="247">
                        <c:v>-9.9999997764825821E-3</c:v>
                      </c:pt>
                      <c:pt idx="248">
                        <c:v>-0.17000000178813934</c:v>
                      </c:pt>
                      <c:pt idx="249">
                        <c:v>9.9999997764825821E-3</c:v>
                      </c:pt>
                      <c:pt idx="250">
                        <c:v>-0.23999999463558197</c:v>
                      </c:pt>
                      <c:pt idx="251">
                        <c:v>-0.10999999940395355</c:v>
                      </c:pt>
                      <c:pt idx="252">
                        <c:v>9.9999997764825821E-3</c:v>
                      </c:pt>
                      <c:pt idx="253">
                        <c:v>-0.15000000596046448</c:v>
                      </c:pt>
                      <c:pt idx="254">
                        <c:v>-7.0000000298023224E-2</c:v>
                      </c:pt>
                      <c:pt idx="255">
                        <c:v>-9.9999997764825821E-3</c:v>
                      </c:pt>
                      <c:pt idx="256">
                        <c:v>0.30000001192092896</c:v>
                      </c:pt>
                      <c:pt idx="257">
                        <c:v>0.27000001072883606</c:v>
                      </c:pt>
                      <c:pt idx="258">
                        <c:v>7.9999998211860657E-2</c:v>
                      </c:pt>
                      <c:pt idx="259">
                        <c:v>0.17000000178813934</c:v>
                      </c:pt>
                      <c:pt idx="260">
                        <c:v>0.40999999642372131</c:v>
                      </c:pt>
                      <c:pt idx="261">
                        <c:v>0.37999999523162842</c:v>
                      </c:pt>
                      <c:pt idx="262">
                        <c:v>0.12999999523162842</c:v>
                      </c:pt>
                      <c:pt idx="263">
                        <c:v>0.25</c:v>
                      </c:pt>
                      <c:pt idx="264">
                        <c:v>0.31000000238418579</c:v>
                      </c:pt>
                      <c:pt idx="265">
                        <c:v>0.56000000238418579</c:v>
                      </c:pt>
                      <c:pt idx="266">
                        <c:v>1.2999999523162842</c:v>
                      </c:pt>
                      <c:pt idx="267">
                        <c:v>1.2000000476837158</c:v>
                      </c:pt>
                      <c:pt idx="268">
                        <c:v>1.0399999618530273</c:v>
                      </c:pt>
                      <c:pt idx="269">
                        <c:v>1.1000000238418579</c:v>
                      </c:pt>
                      <c:pt idx="270">
                        <c:v>1.4500000476837158</c:v>
                      </c:pt>
                      <c:pt idx="271">
                        <c:v>1.0499999523162842</c:v>
                      </c:pt>
                      <c:pt idx="272">
                        <c:v>1.559999942779541</c:v>
                      </c:pt>
                      <c:pt idx="273">
                        <c:v>2.2000000476837158</c:v>
                      </c:pt>
                      <c:pt idx="274">
                        <c:v>1.5800000429153442</c:v>
                      </c:pt>
                      <c:pt idx="275">
                        <c:v>1.6100000143051147</c:v>
                      </c:pt>
                      <c:pt idx="276">
                        <c:v>2.1700000762939453</c:v>
                      </c:pt>
                      <c:pt idx="277">
                        <c:v>2.2300000190734863</c:v>
                      </c:pt>
                      <c:pt idx="278">
                        <c:v>2.5499999523162842</c:v>
                      </c:pt>
                      <c:pt idx="279">
                        <c:v>2.75</c:v>
                      </c:pt>
                      <c:pt idx="280">
                        <c:v>3.3900001049041748</c:v>
                      </c:pt>
                      <c:pt idx="281">
                        <c:v>3.2200000286102295</c:v>
                      </c:pt>
                      <c:pt idx="282">
                        <c:v>3.2999999523162842</c:v>
                      </c:pt>
                      <c:pt idx="283">
                        <c:v>3.1700000762939453</c:v>
                      </c:pt>
                      <c:pt idx="284">
                        <c:v>3.0899999141693115</c:v>
                      </c:pt>
                      <c:pt idx="285">
                        <c:v>3.2300000190734863</c:v>
                      </c:pt>
                      <c:pt idx="286">
                        <c:v>3.0299999713897705</c:v>
                      </c:pt>
                      <c:pt idx="287">
                        <c:v>3.4000000953674316</c:v>
                      </c:pt>
                      <c:pt idx="288">
                        <c:v>3.1800000667572021</c:v>
                      </c:pt>
                      <c:pt idx="289">
                        <c:v>3.2799999713897705</c:v>
                      </c:pt>
                      <c:pt idx="290">
                        <c:v>3.3399999141693115</c:v>
                      </c:pt>
                      <c:pt idx="291">
                        <c:v>3.3399999141693115</c:v>
                      </c:pt>
                      <c:pt idx="292">
                        <c:v>2.8599998950958252</c:v>
                      </c:pt>
                      <c:pt idx="293">
                        <c:v>2.5499999523162842</c:v>
                      </c:pt>
                      <c:pt idx="294">
                        <c:v>2.6600000858306885</c:v>
                      </c:pt>
                      <c:pt idx="295">
                        <c:v>2.1700000762939453</c:v>
                      </c:pt>
                      <c:pt idx="296">
                        <c:v>1.8700000047683716</c:v>
                      </c:pt>
                      <c:pt idx="297">
                        <c:v>2</c:v>
                      </c:pt>
                      <c:pt idx="298">
                        <c:v>2.2400000095367432</c:v>
                      </c:pt>
                      <c:pt idx="299">
                        <c:v>2.1700000762939453</c:v>
                      </c:pt>
                      <c:pt idx="300">
                        <c:v>2.3499999046325684</c:v>
                      </c:pt>
                      <c:pt idx="301">
                        <c:v>2.369999885559082</c:v>
                      </c:pt>
                      <c:pt idx="302">
                        <c:v>2.3599998950958252</c:v>
                      </c:pt>
                      <c:pt idx="303">
                        <c:v>2.309999942779541</c:v>
                      </c:pt>
                      <c:pt idx="304">
                        <c:v>2.119999885559082</c:v>
                      </c:pt>
                      <c:pt idx="305">
                        <c:v>2.1600000858306885</c:v>
                      </c:pt>
                      <c:pt idx="306">
                        <c:v>1.9600000381469727</c:v>
                      </c:pt>
                      <c:pt idx="307">
                        <c:v>1.6299999952316284</c:v>
                      </c:pt>
                      <c:pt idx="308">
                        <c:v>1.3200000524520874</c:v>
                      </c:pt>
                      <c:pt idx="309">
                        <c:v>1.5199999809265137</c:v>
                      </c:pt>
                      <c:pt idx="310">
                        <c:v>1.2699999809265137</c:v>
                      </c:pt>
                      <c:pt idx="311">
                        <c:v>1.1299999952316284</c:v>
                      </c:pt>
                      <c:pt idx="312">
                        <c:v>1.2200000286102295</c:v>
                      </c:pt>
                      <c:pt idx="313">
                        <c:v>1.059999942779541</c:v>
                      </c:pt>
                      <c:pt idx="314">
                        <c:v>1.2100000381469727</c:v>
                      </c:pt>
                      <c:pt idx="315">
                        <c:v>1.1200000047683716</c:v>
                      </c:pt>
                      <c:pt idx="316">
                        <c:v>0.80000001192092896</c:v>
                      </c:pt>
                      <c:pt idx="317">
                        <c:v>0.8399999737739563</c:v>
                      </c:pt>
                      <c:pt idx="318">
                        <c:v>0.69999998807907104</c:v>
                      </c:pt>
                      <c:pt idx="319">
                        <c:v>0.80000001192092896</c:v>
                      </c:pt>
                      <c:pt idx="320">
                        <c:v>0.75</c:v>
                      </c:pt>
                      <c:pt idx="321">
                        <c:v>0.80000001192092896</c:v>
                      </c:pt>
                      <c:pt idx="322">
                        <c:v>0.75</c:v>
                      </c:pt>
                      <c:pt idx="323">
                        <c:v>0.87999999523162842</c:v>
                      </c:pt>
                      <c:pt idx="324">
                        <c:v>1.0700000524520874</c:v>
                      </c:pt>
                      <c:pt idx="325">
                        <c:v>0.9100000262260437</c:v>
                      </c:pt>
                      <c:pt idx="326">
                        <c:v>0.79000002145767212</c:v>
                      </c:pt>
                      <c:pt idx="327">
                        <c:v>0.74000000953674316</c:v>
                      </c:pt>
                      <c:pt idx="328">
                        <c:v>1.0700000524520874</c:v>
                      </c:pt>
                      <c:pt idx="329">
                        <c:v>1.4800000190734863</c:v>
                      </c:pt>
                      <c:pt idx="330">
                        <c:v>1.440000057220459</c:v>
                      </c:pt>
                      <c:pt idx="331">
                        <c:v>1.6399999856948853</c:v>
                      </c:pt>
                      <c:pt idx="332">
                        <c:v>1.5800000429153442</c:v>
                      </c:pt>
                      <c:pt idx="333">
                        <c:v>1.4900000095367432</c:v>
                      </c:pt>
                      <c:pt idx="334">
                        <c:v>1.6100000143051147</c:v>
                      </c:pt>
                      <c:pt idx="335">
                        <c:v>1.7999999523162842</c:v>
                      </c:pt>
                      <c:pt idx="336">
                        <c:v>1.4700000286102295</c:v>
                      </c:pt>
                      <c:pt idx="337">
                        <c:v>1.5700000524520874</c:v>
                      </c:pt>
                      <c:pt idx="338">
                        <c:v>1.6000000238418579</c:v>
                      </c:pt>
                      <c:pt idx="339">
                        <c:v>1.4700000286102295</c:v>
                      </c:pt>
                      <c:pt idx="340">
                        <c:v>1.2899999618530273</c:v>
                      </c:pt>
                      <c:pt idx="341">
                        <c:v>1.3200000524520874</c:v>
                      </c:pt>
                      <c:pt idx="342">
                        <c:v>1.2100000381469727</c:v>
                      </c:pt>
                      <c:pt idx="343">
                        <c:v>1.0499999523162842</c:v>
                      </c:pt>
                      <c:pt idx="344">
                        <c:v>1.2799999713897705</c:v>
                      </c:pt>
                      <c:pt idx="345">
                        <c:v>1.1599999666213989</c:v>
                      </c:pt>
                      <c:pt idx="346">
                        <c:v>1.0299999713897705</c:v>
                      </c:pt>
                      <c:pt idx="347">
                        <c:v>0.88999998569488525</c:v>
                      </c:pt>
                      <c:pt idx="348">
                        <c:v>0.56000000238418579</c:v>
                      </c:pt>
                      <c:pt idx="349">
                        <c:v>0.79000002145767212</c:v>
                      </c:pt>
                      <c:pt idx="350">
                        <c:v>0.77999997138977051</c:v>
                      </c:pt>
                      <c:pt idx="351">
                        <c:v>0.97000002861022949</c:v>
                      </c:pt>
                      <c:pt idx="352">
                        <c:v>1.0199999809265137</c:v>
                      </c:pt>
                      <c:pt idx="353">
                        <c:v>1.1599999666213989</c:v>
                      </c:pt>
                      <c:pt idx="354">
                        <c:v>1.0499999523162842</c:v>
                      </c:pt>
                      <c:pt idx="355">
                        <c:v>1.0700000524520874</c:v>
                      </c:pt>
                      <c:pt idx="356">
                        <c:v>1.0499999523162842</c:v>
                      </c:pt>
                      <c:pt idx="357">
                        <c:v>1.059999942779541</c:v>
                      </c:pt>
                      <c:pt idx="358">
                        <c:v>1.1399999856948853</c:v>
                      </c:pt>
                      <c:pt idx="359">
                        <c:v>0.92000001668930054</c:v>
                      </c:pt>
                      <c:pt idx="360">
                        <c:v>0.81999999284744263</c:v>
                      </c:pt>
                      <c:pt idx="361">
                        <c:v>0.68999999761581421</c:v>
                      </c:pt>
                      <c:pt idx="362">
                        <c:v>0.75999999046325684</c:v>
                      </c:pt>
                      <c:pt idx="363">
                        <c:v>0.99000000953674316</c:v>
                      </c:pt>
                      <c:pt idx="364">
                        <c:v>0.86000001430511475</c:v>
                      </c:pt>
                      <c:pt idx="365">
                        <c:v>0.61000001430511475</c:v>
                      </c:pt>
                      <c:pt idx="366">
                        <c:v>0.57999998331069946</c:v>
                      </c:pt>
                      <c:pt idx="367">
                        <c:v>0.50999999046325684</c:v>
                      </c:pt>
                      <c:pt idx="368">
                        <c:v>0.4699999988079071</c:v>
                      </c:pt>
                      <c:pt idx="369">
                        <c:v>0.6600000262260437</c:v>
                      </c:pt>
                      <c:pt idx="370">
                        <c:v>1.1000000238418579</c:v>
                      </c:pt>
                      <c:pt idx="371">
                        <c:v>1.25</c:v>
                      </c:pt>
                      <c:pt idx="372">
                        <c:v>1.3700000047683716</c:v>
                      </c:pt>
                      <c:pt idx="373">
                        <c:v>1.2400000095367432</c:v>
                      </c:pt>
                      <c:pt idx="374">
                        <c:v>1.0900000333786011</c:v>
                      </c:pt>
                      <c:pt idx="375">
                        <c:v>0.94999998807907104</c:v>
                      </c:pt>
                      <c:pt idx="376">
                        <c:v>0.89999997615814209</c:v>
                      </c:pt>
                      <c:pt idx="377">
                        <c:v>1.0399999618530273</c:v>
                      </c:pt>
                      <c:pt idx="378">
                        <c:v>1.2300000190734863</c:v>
                      </c:pt>
                      <c:pt idx="379">
                        <c:v>1.1100000143051147</c:v>
                      </c:pt>
                      <c:pt idx="380">
                        <c:v>1.1599999666213989</c:v>
                      </c:pt>
                      <c:pt idx="381">
                        <c:v>1.0900000333786011</c:v>
                      </c:pt>
                      <c:pt idx="382">
                        <c:v>1.0099999904632568</c:v>
                      </c:pt>
                      <c:pt idx="383">
                        <c:v>1.0299999713897705</c:v>
                      </c:pt>
                      <c:pt idx="384">
                        <c:v>1.1299999952316284</c:v>
                      </c:pt>
                      <c:pt idx="385">
                        <c:v>1.0700000524520874</c:v>
                      </c:pt>
                      <c:pt idx="386">
                        <c:v>1.0099999904632568</c:v>
                      </c:pt>
                      <c:pt idx="387">
                        <c:v>1.2100000381469727</c:v>
                      </c:pt>
                      <c:pt idx="388">
                        <c:v>1.0099999904632568</c:v>
                      </c:pt>
                      <c:pt idx="389">
                        <c:v>0.82999998331069946</c:v>
                      </c:pt>
                      <c:pt idx="390">
                        <c:v>0.89999997615814209</c:v>
                      </c:pt>
                      <c:pt idx="391">
                        <c:v>0.82999998331069946</c:v>
                      </c:pt>
                      <c:pt idx="392">
                        <c:v>0.88999998569488525</c:v>
                      </c:pt>
                      <c:pt idx="393">
                        <c:v>0.86000001430511475</c:v>
                      </c:pt>
                      <c:pt idx="394">
                        <c:v>0.62000000476837158</c:v>
                      </c:pt>
                      <c:pt idx="395">
                        <c:v>0.33000001311302185</c:v>
                      </c:pt>
                      <c:pt idx="396">
                        <c:v>0.28999999165534973</c:v>
                      </c:pt>
                    </c:numCache>
                  </c:numRef>
                </c:val>
                <c:extLst xmlns:c15="http://schemas.microsoft.com/office/drawing/2012/chart">
                  <c:ext xmlns:c16="http://schemas.microsoft.com/office/drawing/2014/chart" uri="{C3380CC4-5D6E-409C-BE32-E72D297353CC}">
                    <c16:uniqueId val="{00000005-36E2-4900-9901-458A2A79468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Sheet1!$D$1</c15:sqref>
                        </c15:formulaRef>
                      </c:ext>
                    </c:extLst>
                    <c:strCache>
                      <c:ptCount val="1"/>
                      <c:pt idx="0">
                        <c:v>ntfspread</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Sheet1!$A$2:$A$398</c15:sqref>
                        </c15:formulaRef>
                      </c:ext>
                    </c:extLst>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extLst xmlns:c15="http://schemas.microsoft.com/office/drawing/2012/chart">
                      <c:ext xmlns:c15="http://schemas.microsoft.com/office/drawing/2012/chart" uri="{02D57815-91ED-43cb-92C2-25804820EDAC}">
                        <c15:formulaRef>
                          <c15:sqref>Sheet1!$D$2:$D$398</c15:sqref>
                        </c15:formulaRef>
                      </c:ext>
                    </c:extLst>
                    <c:numCache>
                      <c:formatCode>0.0000</c:formatCode>
                      <c:ptCount val="397"/>
                      <c:pt idx="0">
                        <c:v>-0.52999997138977051</c:v>
                      </c:pt>
                      <c:pt idx="1">
                        <c:v>-1.7799999713897705</c:v>
                      </c:pt>
                      <c:pt idx="2">
                        <c:v>-1.6499999761581421</c:v>
                      </c:pt>
                      <c:pt idx="3">
                        <c:v>-0.68000000715255737</c:v>
                      </c:pt>
                      <c:pt idx="4">
                        <c:v>0.12999999523162842</c:v>
                      </c:pt>
                      <c:pt idx="5">
                        <c:v>0.43999999761581421</c:v>
                      </c:pt>
                      <c:pt idx="6">
                        <c:v>0.43000000715255737</c:v>
                      </c:pt>
                      <c:pt idx="7">
                        <c:v>0.47999998927116394</c:v>
                      </c:pt>
                      <c:pt idx="8">
                        <c:v>0.72000002861022949</c:v>
                      </c:pt>
                      <c:pt idx="9">
                        <c:v>0.72000002861022949</c:v>
                      </c:pt>
                      <c:pt idx="10">
                        <c:v>0.4699999988079071</c:v>
                      </c:pt>
                      <c:pt idx="11">
                        <c:v>0.11999999731779099</c:v>
                      </c:pt>
                      <c:pt idx="12">
                        <c:v>0.34000000357627869</c:v>
                      </c:pt>
                      <c:pt idx="13">
                        <c:v>0.76999998092651367</c:v>
                      </c:pt>
                      <c:pt idx="14">
                        <c:v>1.0299999713897705</c:v>
                      </c:pt>
                      <c:pt idx="15">
                        <c:v>1.2799999713897705</c:v>
                      </c:pt>
                      <c:pt idx="16">
                        <c:v>1.3200000524520874</c:v>
                      </c:pt>
                      <c:pt idx="17">
                        <c:v>0.86000001430511475</c:v>
                      </c:pt>
                      <c:pt idx="18">
                        <c:v>0.77999997138977051</c:v>
                      </c:pt>
                      <c:pt idx="19">
                        <c:v>0.85000002384185791</c:v>
                      </c:pt>
                      <c:pt idx="20">
                        <c:v>1.2699999809265137</c:v>
                      </c:pt>
                      <c:pt idx="21">
                        <c:v>1.4099999666213989</c:v>
                      </c:pt>
                      <c:pt idx="22">
                        <c:v>1.3999999761581421</c:v>
                      </c:pt>
                      <c:pt idx="23">
                        <c:v>1.4500000476837158</c:v>
                      </c:pt>
                      <c:pt idx="24">
                        <c:v>0.94999998807907104</c:v>
                      </c:pt>
                      <c:pt idx="25">
                        <c:v>0.5</c:v>
                      </c:pt>
                      <c:pt idx="26">
                        <c:v>0.34999999403953552</c:v>
                      </c:pt>
                      <c:pt idx="27">
                        <c:v>0.30000001192092896</c:v>
                      </c:pt>
                      <c:pt idx="28">
                        <c:v>0.40999999642372131</c:v>
                      </c:pt>
                      <c:pt idx="29">
                        <c:v>7.0000000298023224E-2</c:v>
                      </c:pt>
                      <c:pt idx="30">
                        <c:v>0.15999999642372131</c:v>
                      </c:pt>
                      <c:pt idx="31">
                        <c:v>0.28999999165534973</c:v>
                      </c:pt>
                      <c:pt idx="32">
                        <c:v>-0.51999998092651367</c:v>
                      </c:pt>
                      <c:pt idx="33">
                        <c:v>-1.0299999713897705</c:v>
                      </c:pt>
                      <c:pt idx="34">
                        <c:v>-0.98000001907348633</c:v>
                      </c:pt>
                      <c:pt idx="35">
                        <c:v>-1.0099999904632568</c:v>
                      </c:pt>
                      <c:pt idx="36">
                        <c:v>-1.2599999904632568</c:v>
                      </c:pt>
                      <c:pt idx="37">
                        <c:v>-1.3600000143051147</c:v>
                      </c:pt>
                      <c:pt idx="38">
                        <c:v>-1.5099999904632568</c:v>
                      </c:pt>
                      <c:pt idx="39">
                        <c:v>-2.2699999809265137</c:v>
                      </c:pt>
                      <c:pt idx="40">
                        <c:v>-2.7300000190734863</c:v>
                      </c:pt>
                      <c:pt idx="41">
                        <c:v>-3.1500000953674316</c:v>
                      </c:pt>
                      <c:pt idx="42">
                        <c:v>-3.4700000286102295</c:v>
                      </c:pt>
                      <c:pt idx="43">
                        <c:v>-3.4500000476837158</c:v>
                      </c:pt>
                      <c:pt idx="44">
                        <c:v>-3.2100000381469727</c:v>
                      </c:pt>
                      <c:pt idx="45">
                        <c:v>-3.130000114440918</c:v>
                      </c:pt>
                      <c:pt idx="46">
                        <c:v>-2.9700000286102295</c:v>
                      </c:pt>
                      <c:pt idx="47">
                        <c:v>-2.7400000095367432</c:v>
                      </c:pt>
                      <c:pt idx="48">
                        <c:v>-2.3199999332427979</c:v>
                      </c:pt>
                      <c:pt idx="49">
                        <c:v>-2.1500000953674316</c:v>
                      </c:pt>
                      <c:pt idx="50">
                        <c:v>-1.8999999761581421</c:v>
                      </c:pt>
                      <c:pt idx="51">
                        <c:v>-1.2799999713897705</c:v>
                      </c:pt>
                      <c:pt idx="52">
                        <c:v>-2.1800000667572021</c:v>
                      </c:pt>
                      <c:pt idx="53">
                        <c:v>-2.7799999713897705</c:v>
                      </c:pt>
                      <c:pt idx="54">
                        <c:v>-2.9100000858306885</c:v>
                      </c:pt>
                      <c:pt idx="55">
                        <c:v>-3.1800000667572021</c:v>
                      </c:pt>
                      <c:pt idx="56">
                        <c:v>-2.5899999141693115</c:v>
                      </c:pt>
                      <c:pt idx="57">
                        <c:v>-2.059999942779541</c:v>
                      </c:pt>
                      <c:pt idx="58">
                        <c:v>-2.2799999713897705</c:v>
                      </c:pt>
                      <c:pt idx="59">
                        <c:v>-1.7100000381469727</c:v>
                      </c:pt>
                      <c:pt idx="60">
                        <c:v>-1.1799999475479126</c:v>
                      </c:pt>
                      <c:pt idx="61">
                        <c:v>-0.86000001430511475</c:v>
                      </c:pt>
                      <c:pt idx="62">
                        <c:v>-0.43000000715255737</c:v>
                      </c:pt>
                      <c:pt idx="63">
                        <c:v>-0.33000001311302185</c:v>
                      </c:pt>
                      <c:pt idx="64">
                        <c:v>0.27000001072883606</c:v>
                      </c:pt>
                      <c:pt idx="65">
                        <c:v>0.87000000476837158</c:v>
                      </c:pt>
                      <c:pt idx="66">
                        <c:v>0.75999999046325684</c:v>
                      </c:pt>
                      <c:pt idx="67">
                        <c:v>0.6600000262260437</c:v>
                      </c:pt>
                      <c:pt idx="68">
                        <c:v>0.23999999463558197</c:v>
                      </c:pt>
                      <c:pt idx="69">
                        <c:v>-0.15999999642372131</c:v>
                      </c:pt>
                      <c:pt idx="70">
                        <c:v>0.15999999642372131</c:v>
                      </c:pt>
                      <c:pt idx="71">
                        <c:v>0.23000000417232513</c:v>
                      </c:pt>
                      <c:pt idx="72">
                        <c:v>0.4699999988079071</c:v>
                      </c:pt>
                      <c:pt idx="73">
                        <c:v>0.57999998331069946</c:v>
                      </c:pt>
                      <c:pt idx="74">
                        <c:v>1.25</c:v>
                      </c:pt>
                      <c:pt idx="75">
                        <c:v>1.5700000524520874</c:v>
                      </c:pt>
                      <c:pt idx="76">
                        <c:v>1.7100000381469727</c:v>
                      </c:pt>
                      <c:pt idx="77">
                        <c:v>1.3999999761581421</c:v>
                      </c:pt>
                      <c:pt idx="78">
                        <c:v>0.77999997138977051</c:v>
                      </c:pt>
                      <c:pt idx="79">
                        <c:v>1.0099999904632568</c:v>
                      </c:pt>
                      <c:pt idx="80">
                        <c:v>1.2000000476837158</c:v>
                      </c:pt>
                      <c:pt idx="81">
                        <c:v>-0.55000001192092896</c:v>
                      </c:pt>
                      <c:pt idx="82">
                        <c:v>-0.49000000953674316</c:v>
                      </c:pt>
                      <c:pt idx="83">
                        <c:v>-0.38999998569488525</c:v>
                      </c:pt>
                      <c:pt idx="84">
                        <c:v>0.76999998092651367</c:v>
                      </c:pt>
                      <c:pt idx="85">
                        <c:v>1.1399999856948853</c:v>
                      </c:pt>
                      <c:pt idx="86">
                        <c:v>1.6499999761581421</c:v>
                      </c:pt>
                      <c:pt idx="87">
                        <c:v>1.8400000333786011</c:v>
                      </c:pt>
                      <c:pt idx="88">
                        <c:v>2.119999885559082</c:v>
                      </c:pt>
                      <c:pt idx="89">
                        <c:v>2.2400000095367432</c:v>
                      </c:pt>
                      <c:pt idx="90">
                        <c:v>2.2100000381469727</c:v>
                      </c:pt>
                      <c:pt idx="91">
                        <c:v>1.8500000238418579</c:v>
                      </c:pt>
                      <c:pt idx="92">
                        <c:v>1.5800000429153442</c:v>
                      </c:pt>
                      <c:pt idx="93">
                        <c:v>1.2000000476837158</c:v>
                      </c:pt>
                      <c:pt idx="94">
                        <c:v>1.5299999713897705</c:v>
                      </c:pt>
                      <c:pt idx="95">
                        <c:v>1.4099999666213989</c:v>
                      </c:pt>
                      <c:pt idx="96">
                        <c:v>1.309999942779541</c:v>
                      </c:pt>
                      <c:pt idx="97">
                        <c:v>1.690000057220459</c:v>
                      </c:pt>
                      <c:pt idx="98">
                        <c:v>2.309999942779541</c:v>
                      </c:pt>
                      <c:pt idx="99">
                        <c:v>1.7899999618530273</c:v>
                      </c:pt>
                      <c:pt idx="100">
                        <c:v>1.8700000047683716</c:v>
                      </c:pt>
                      <c:pt idx="101">
                        <c:v>2.4200000762939453</c:v>
                      </c:pt>
                      <c:pt idx="102">
                        <c:v>2.940000057220459</c:v>
                      </c:pt>
                      <c:pt idx="103">
                        <c:v>3.2400000095367432</c:v>
                      </c:pt>
                      <c:pt idx="104">
                        <c:v>3.2699999809265137</c:v>
                      </c:pt>
                      <c:pt idx="105">
                        <c:v>3.25</c:v>
                      </c:pt>
                      <c:pt idx="106">
                        <c:v>3.190000057220459</c:v>
                      </c:pt>
                      <c:pt idx="107">
                        <c:v>2.440000057220459</c:v>
                      </c:pt>
                      <c:pt idx="108">
                        <c:v>1.8899999856948853</c:v>
                      </c:pt>
                      <c:pt idx="109">
                        <c:v>0.86000001430511475</c:v>
                      </c:pt>
                      <c:pt idx="110">
                        <c:v>-0.23999999463558197</c:v>
                      </c:pt>
                      <c:pt idx="111">
                        <c:v>-0.31999999284744263</c:v>
                      </c:pt>
                      <c:pt idx="112">
                        <c:v>-0.23000000417232513</c:v>
                      </c:pt>
                      <c:pt idx="113">
                        <c:v>9.9999997764825821E-3</c:v>
                      </c:pt>
                      <c:pt idx="114">
                        <c:v>0.67000001668930054</c:v>
                      </c:pt>
                      <c:pt idx="115">
                        <c:v>1.0399999618530273</c:v>
                      </c:pt>
                      <c:pt idx="116">
                        <c:v>0.68999999761581421</c:v>
                      </c:pt>
                      <c:pt idx="117">
                        <c:v>0.46000000834465027</c:v>
                      </c:pt>
                      <c:pt idx="118">
                        <c:v>0.82999998331069946</c:v>
                      </c:pt>
                      <c:pt idx="119">
                        <c:v>0.68999999761581421</c:v>
                      </c:pt>
                      <c:pt idx="120">
                        <c:v>0.44999998807907104</c:v>
                      </c:pt>
                      <c:pt idx="121">
                        <c:v>0.81999999284744263</c:v>
                      </c:pt>
                      <c:pt idx="122">
                        <c:v>1.6299999952316284</c:v>
                      </c:pt>
                      <c:pt idx="123">
                        <c:v>2.1700000762939453</c:v>
                      </c:pt>
                      <c:pt idx="124">
                        <c:v>2.3399999141693115</c:v>
                      </c:pt>
                      <c:pt idx="125">
                        <c:v>2.4300000667572021</c:v>
                      </c:pt>
                      <c:pt idx="126">
                        <c:v>2.5399999618530273</c:v>
                      </c:pt>
                      <c:pt idx="127">
                        <c:v>2.2300000190734863</c:v>
                      </c:pt>
                      <c:pt idx="128">
                        <c:v>2.440000057220459</c:v>
                      </c:pt>
                      <c:pt idx="129">
                        <c:v>2.1600000858306885</c:v>
                      </c:pt>
                      <c:pt idx="130">
                        <c:v>2.2200000286102295</c:v>
                      </c:pt>
                      <c:pt idx="131">
                        <c:v>2.5099999904632568</c:v>
                      </c:pt>
                      <c:pt idx="132">
                        <c:v>2.690000057220459</c:v>
                      </c:pt>
                      <c:pt idx="133">
                        <c:v>2.190000057220459</c:v>
                      </c:pt>
                      <c:pt idx="134">
                        <c:v>2.440000057220459</c:v>
                      </c:pt>
                      <c:pt idx="135">
                        <c:v>2.8499999046325684</c:v>
                      </c:pt>
                      <c:pt idx="136">
                        <c:v>2.7599999904632568</c:v>
                      </c:pt>
                      <c:pt idx="137">
                        <c:v>2.630000114440918</c:v>
                      </c:pt>
                      <c:pt idx="138">
                        <c:v>2.1600000858306885</c:v>
                      </c:pt>
                      <c:pt idx="139">
                        <c:v>2.3399999141693115</c:v>
                      </c:pt>
                      <c:pt idx="140">
                        <c:v>2.4100000858306885</c:v>
                      </c:pt>
                      <c:pt idx="141">
                        <c:v>1.9500000476837158</c:v>
                      </c:pt>
                      <c:pt idx="142">
                        <c:v>1.6499999761581421</c:v>
                      </c:pt>
                      <c:pt idx="143">
                        <c:v>1.5099999904632568</c:v>
                      </c:pt>
                      <c:pt idx="144">
                        <c:v>1.0199999809265137</c:v>
                      </c:pt>
                      <c:pt idx="145">
                        <c:v>0.75</c:v>
                      </c:pt>
                      <c:pt idx="146">
                        <c:v>0.62999999523162842</c:v>
                      </c:pt>
                      <c:pt idx="147">
                        <c:v>0.5</c:v>
                      </c:pt>
                      <c:pt idx="148">
                        <c:v>0.49000000953674316</c:v>
                      </c:pt>
                      <c:pt idx="149">
                        <c:v>0.51999998092651367</c:v>
                      </c:pt>
                      <c:pt idx="150">
                        <c:v>0.46000000834465027</c:v>
                      </c:pt>
                      <c:pt idx="151">
                        <c:v>0.47999998927116394</c:v>
                      </c:pt>
                      <c:pt idx="152">
                        <c:v>-0.10999999940395355</c:v>
                      </c:pt>
                      <c:pt idx="153">
                        <c:v>-0.10000000149011612</c:v>
                      </c:pt>
                      <c:pt idx="154">
                        <c:v>0.10999999940395355</c:v>
                      </c:pt>
                      <c:pt idx="155">
                        <c:v>3.9999999105930328E-2</c:v>
                      </c:pt>
                      <c:pt idx="156">
                        <c:v>0.17000000178813934</c:v>
                      </c:pt>
                      <c:pt idx="157">
                        <c:v>0.20999999344348907</c:v>
                      </c:pt>
                      <c:pt idx="158">
                        <c:v>0.33000001311302185</c:v>
                      </c:pt>
                      <c:pt idx="159">
                        <c:v>0.34000000357627869</c:v>
                      </c:pt>
                      <c:pt idx="160">
                        <c:v>0.81000000238418579</c:v>
                      </c:pt>
                      <c:pt idx="161">
                        <c:v>1</c:v>
                      </c:pt>
                      <c:pt idx="162">
                        <c:v>0.79000002145767212</c:v>
                      </c:pt>
                      <c:pt idx="163">
                        <c:v>1</c:v>
                      </c:pt>
                      <c:pt idx="164">
                        <c:v>1.0299999713897705</c:v>
                      </c:pt>
                      <c:pt idx="165">
                        <c:v>1.4900000095367432</c:v>
                      </c:pt>
                      <c:pt idx="166">
                        <c:v>1.3500000238418579</c:v>
                      </c:pt>
                      <c:pt idx="167">
                        <c:v>1.5199999809265137</c:v>
                      </c:pt>
                      <c:pt idx="168">
                        <c:v>1.6000000238418579</c:v>
                      </c:pt>
                      <c:pt idx="169">
                        <c:v>1.5299999713897705</c:v>
                      </c:pt>
                      <c:pt idx="170">
                        <c:v>1.059999942779541</c:v>
                      </c:pt>
                      <c:pt idx="171">
                        <c:v>0.68000000715255737</c:v>
                      </c:pt>
                      <c:pt idx="172">
                        <c:v>0.85000002384185791</c:v>
                      </c:pt>
                      <c:pt idx="173">
                        <c:v>0.55000001192092896</c:v>
                      </c:pt>
                      <c:pt idx="174">
                        <c:v>0.40000000596046448</c:v>
                      </c:pt>
                      <c:pt idx="175">
                        <c:v>0.31000000238418579</c:v>
                      </c:pt>
                      <c:pt idx="176">
                        <c:v>0.20999999344348907</c:v>
                      </c:pt>
                      <c:pt idx="177">
                        <c:v>0.11999999731779099</c:v>
                      </c:pt>
                      <c:pt idx="178">
                        <c:v>0.14000000059604645</c:v>
                      </c:pt>
                      <c:pt idx="179">
                        <c:v>-0.2199999988079071</c:v>
                      </c:pt>
                      <c:pt idx="180">
                        <c:v>-0.23999999463558197</c:v>
                      </c:pt>
                      <c:pt idx="181">
                        <c:v>-0.10000000149011612</c:v>
                      </c:pt>
                      <c:pt idx="182">
                        <c:v>0.18999999761581421</c:v>
                      </c:pt>
                      <c:pt idx="183">
                        <c:v>0.52999997138977051</c:v>
                      </c:pt>
                      <c:pt idx="184">
                        <c:v>0.97000002861022949</c:v>
                      </c:pt>
                      <c:pt idx="185">
                        <c:v>1.0299999713897705</c:v>
                      </c:pt>
                      <c:pt idx="186">
                        <c:v>1.2599999904632568</c:v>
                      </c:pt>
                      <c:pt idx="187">
                        <c:v>1.1499999761581421</c:v>
                      </c:pt>
                      <c:pt idx="188">
                        <c:v>1.1399999856948853</c:v>
                      </c:pt>
                      <c:pt idx="189">
                        <c:v>1.2799999713897705</c:v>
                      </c:pt>
                      <c:pt idx="190">
                        <c:v>1.8600000143051147</c:v>
                      </c:pt>
                      <c:pt idx="191">
                        <c:v>2.5799999237060547</c:v>
                      </c:pt>
                      <c:pt idx="192">
                        <c:v>2.5299999713897705</c:v>
                      </c:pt>
                      <c:pt idx="193">
                        <c:v>2.5099999904632568</c:v>
                      </c:pt>
                      <c:pt idx="194">
                        <c:v>3.1400001049041748</c:v>
                      </c:pt>
                      <c:pt idx="195">
                        <c:v>2.940000057220459</c:v>
                      </c:pt>
                      <c:pt idx="196">
                        <c:v>2.559999942779541</c:v>
                      </c:pt>
                      <c:pt idx="197">
                        <c:v>2.1700000762939453</c:v>
                      </c:pt>
                      <c:pt idx="198">
                        <c:v>1.559999942779541</c:v>
                      </c:pt>
                      <c:pt idx="199">
                        <c:v>1.1200000047683716</c:v>
                      </c:pt>
                      <c:pt idx="200">
                        <c:v>1.0700000524520874</c:v>
                      </c:pt>
                      <c:pt idx="201">
                        <c:v>1.2400000095367432</c:v>
                      </c:pt>
                      <c:pt idx="202">
                        <c:v>1.2100000381469727</c:v>
                      </c:pt>
                      <c:pt idx="203">
                        <c:v>1.1699999570846558</c:v>
                      </c:pt>
                      <c:pt idx="204">
                        <c:v>1.0900000333786011</c:v>
                      </c:pt>
                      <c:pt idx="205">
                        <c:v>1.1799999475479126</c:v>
                      </c:pt>
                      <c:pt idx="206">
                        <c:v>1.0199999809265137</c:v>
                      </c:pt>
                      <c:pt idx="207">
                        <c:v>0.9100000262260437</c:v>
                      </c:pt>
                      <c:pt idx="208">
                        <c:v>0.43000000715255737</c:v>
                      </c:pt>
                      <c:pt idx="209">
                        <c:v>5.9999998658895493E-2</c:v>
                      </c:pt>
                      <c:pt idx="210">
                        <c:v>0.49000000953674316</c:v>
                      </c:pt>
                      <c:pt idx="211">
                        <c:v>0.81000000238418579</c:v>
                      </c:pt>
                      <c:pt idx="212">
                        <c:v>1.0199999809265137</c:v>
                      </c:pt>
                      <c:pt idx="213">
                        <c:v>1.0700000524520874</c:v>
                      </c:pt>
                      <c:pt idx="214">
                        <c:v>1.1100000143051147</c:v>
                      </c:pt>
                      <c:pt idx="215">
                        <c:v>1.0499999523162842</c:v>
                      </c:pt>
                      <c:pt idx="216">
                        <c:v>1.0499999523162842</c:v>
                      </c:pt>
                      <c:pt idx="217">
                        <c:v>0.88999998569488525</c:v>
                      </c:pt>
                      <c:pt idx="218">
                        <c:v>0.87000000476837158</c:v>
                      </c:pt>
                      <c:pt idx="219">
                        <c:v>1.4700000286102295</c:v>
                      </c:pt>
                      <c:pt idx="220">
                        <c:v>1.7899999618530273</c:v>
                      </c:pt>
                      <c:pt idx="221">
                        <c:v>2.1700000762939453</c:v>
                      </c:pt>
                      <c:pt idx="222">
                        <c:v>1.9900000095367432</c:v>
                      </c:pt>
                      <c:pt idx="223">
                        <c:v>1.7400000095367432</c:v>
                      </c:pt>
                      <c:pt idx="224">
                        <c:v>1.3899999856948853</c:v>
                      </c:pt>
                      <c:pt idx="225">
                        <c:v>1.1599999666213989</c:v>
                      </c:pt>
                      <c:pt idx="226">
                        <c:v>1.0399999618530273</c:v>
                      </c:pt>
                      <c:pt idx="227">
                        <c:v>0.94999998807907104</c:v>
                      </c:pt>
                      <c:pt idx="228">
                        <c:v>0.98000001907348633</c:v>
                      </c:pt>
                      <c:pt idx="229">
                        <c:v>0.93999999761581421</c:v>
                      </c:pt>
                      <c:pt idx="230">
                        <c:v>1.1399999856948853</c:v>
                      </c:pt>
                      <c:pt idx="231">
                        <c:v>1.0299999713897705</c:v>
                      </c:pt>
                      <c:pt idx="232">
                        <c:v>0.95999997854232788</c:v>
                      </c:pt>
                      <c:pt idx="233">
                        <c:v>0.63999998569488525</c:v>
                      </c:pt>
                      <c:pt idx="234">
                        <c:v>0.68999999761581421</c:v>
                      </c:pt>
                      <c:pt idx="235">
                        <c:v>0.61000001430511475</c:v>
                      </c:pt>
                      <c:pt idx="236">
                        <c:v>0.50999999046325684</c:v>
                      </c:pt>
                      <c:pt idx="237">
                        <c:v>0.60000002384185791</c:v>
                      </c:pt>
                      <c:pt idx="238">
                        <c:v>0.60000002384185791</c:v>
                      </c:pt>
                      <c:pt idx="239">
                        <c:v>0.52999997138977051</c:v>
                      </c:pt>
                      <c:pt idx="240">
                        <c:v>0.40999999642372131</c:v>
                      </c:pt>
                      <c:pt idx="241">
                        <c:v>0.36000001430511475</c:v>
                      </c:pt>
                      <c:pt idx="242">
                        <c:v>0.2199999988079071</c:v>
                      </c:pt>
                      <c:pt idx="243">
                        <c:v>0.15999999642372131</c:v>
                      </c:pt>
                      <c:pt idx="244">
                        <c:v>-2.9999999329447746E-2</c:v>
                      </c:pt>
                      <c:pt idx="245">
                        <c:v>-2.9999999329447746E-2</c:v>
                      </c:pt>
                      <c:pt idx="246">
                        <c:v>-9.9999997764825821E-3</c:v>
                      </c:pt>
                      <c:pt idx="247">
                        <c:v>-0.14000000059604645</c:v>
                      </c:pt>
                      <c:pt idx="248">
                        <c:v>-0.34999999403953552</c:v>
                      </c:pt>
                      <c:pt idx="249">
                        <c:v>-0.2800000011920929</c:v>
                      </c:pt>
                      <c:pt idx="250">
                        <c:v>-0.41999998688697815</c:v>
                      </c:pt>
                      <c:pt idx="251">
                        <c:v>-0.4699999988079071</c:v>
                      </c:pt>
                      <c:pt idx="252">
                        <c:v>-0.2800000011920929</c:v>
                      </c:pt>
                      <c:pt idx="253">
                        <c:v>-0.2800000011920929</c:v>
                      </c:pt>
                      <c:pt idx="254">
                        <c:v>-0.40000000596046448</c:v>
                      </c:pt>
                      <c:pt idx="255">
                        <c:v>-0.18000000715255737</c:v>
                      </c:pt>
                      <c:pt idx="256">
                        <c:v>7.0000000298023224E-2</c:v>
                      </c:pt>
                      <c:pt idx="257">
                        <c:v>0.30000001192092896</c:v>
                      </c:pt>
                      <c:pt idx="258">
                        <c:v>7.0000000298023224E-2</c:v>
                      </c:pt>
                      <c:pt idx="259">
                        <c:v>9.0000003576278687E-2</c:v>
                      </c:pt>
                      <c:pt idx="260">
                        <c:v>0.18999999761581421</c:v>
                      </c:pt>
                      <c:pt idx="261">
                        <c:v>0.27000001072883606</c:v>
                      </c:pt>
                      <c:pt idx="262">
                        <c:v>-0.20999999344348907</c:v>
                      </c:pt>
                      <c:pt idx="263">
                        <c:v>-0.14000000059604645</c:v>
                      </c:pt>
                      <c:pt idx="264">
                        <c:v>-0.27000001072883606</c:v>
                      </c:pt>
                      <c:pt idx="265">
                        <c:v>-0.12999999523162842</c:v>
                      </c:pt>
                      <c:pt idx="266">
                        <c:v>0.62000000476837158</c:v>
                      </c:pt>
                      <c:pt idx="267">
                        <c:v>0.61000001430511475</c:v>
                      </c:pt>
                      <c:pt idx="268">
                        <c:v>0.43000000715255737</c:v>
                      </c:pt>
                      <c:pt idx="269">
                        <c:v>0.76999998092651367</c:v>
                      </c:pt>
                      <c:pt idx="270">
                        <c:v>1.0299999713897705</c:v>
                      </c:pt>
                      <c:pt idx="271">
                        <c:v>0.49000000953674316</c:v>
                      </c:pt>
                      <c:pt idx="272">
                        <c:v>0.81999999284744263</c:v>
                      </c:pt>
                      <c:pt idx="273">
                        <c:v>1.0499999523162842</c:v>
                      </c:pt>
                      <c:pt idx="274">
                        <c:v>0.40999999642372131</c:v>
                      </c:pt>
                      <c:pt idx="275">
                        <c:v>0.62000000476837158</c:v>
                      </c:pt>
                      <c:pt idx="276">
                        <c:v>0.75</c:v>
                      </c:pt>
                      <c:pt idx="277">
                        <c:v>1.0800000429153442</c:v>
                      </c:pt>
                      <c:pt idx="278">
                        <c:v>1.1299999952316284</c:v>
                      </c:pt>
                      <c:pt idx="279">
                        <c:v>1.2699999809265137</c:v>
                      </c:pt>
                      <c:pt idx="280">
                        <c:v>1.7000000476837158</c:v>
                      </c:pt>
                      <c:pt idx="281">
                        <c:v>2.130000114440918</c:v>
                      </c:pt>
                      <c:pt idx="282">
                        <c:v>2.119999885559082</c:v>
                      </c:pt>
                      <c:pt idx="283">
                        <c:v>2.0999999046325684</c:v>
                      </c:pt>
                      <c:pt idx="284">
                        <c:v>2.0499999523162842</c:v>
                      </c:pt>
                      <c:pt idx="285">
                        <c:v>2.2000000476837158</c:v>
                      </c:pt>
                      <c:pt idx="286">
                        <c:v>2</c:v>
                      </c:pt>
                      <c:pt idx="287">
                        <c:v>2.0199999809265137</c:v>
                      </c:pt>
                      <c:pt idx="288">
                        <c:v>2.0899999141693115</c:v>
                      </c:pt>
                      <c:pt idx="289">
                        <c:v>2.0299999713897705</c:v>
                      </c:pt>
                      <c:pt idx="290">
                        <c:v>2.3499999046325684</c:v>
                      </c:pt>
                      <c:pt idx="291">
                        <c:v>2.619999885559082</c:v>
                      </c:pt>
                      <c:pt idx="292">
                        <c:v>2.2200000286102295</c:v>
                      </c:pt>
                      <c:pt idx="293">
                        <c:v>1.9099999666213989</c:v>
                      </c:pt>
                      <c:pt idx="294">
                        <c:v>1.5800000429153442</c:v>
                      </c:pt>
                      <c:pt idx="295">
                        <c:v>1.0800000429153442</c:v>
                      </c:pt>
                      <c:pt idx="296">
                        <c:v>0.82999998331069946</c:v>
                      </c:pt>
                      <c:pt idx="297">
                        <c:v>0.72000002861022949</c:v>
                      </c:pt>
                      <c:pt idx="298">
                        <c:v>0.95999997854232788</c:v>
                      </c:pt>
                      <c:pt idx="299">
                        <c:v>1.1000000238418579</c:v>
                      </c:pt>
                      <c:pt idx="300">
                        <c:v>1.2300000190734863</c:v>
                      </c:pt>
                      <c:pt idx="301">
                        <c:v>1.4199999570846558</c:v>
                      </c:pt>
                      <c:pt idx="302">
                        <c:v>1.3500000238418579</c:v>
                      </c:pt>
                      <c:pt idx="303">
                        <c:v>1.440000057220459</c:v>
                      </c:pt>
                      <c:pt idx="304">
                        <c:v>1.2200000286102295</c:v>
                      </c:pt>
                      <c:pt idx="305">
                        <c:v>0.97000002861022949</c:v>
                      </c:pt>
                      <c:pt idx="306">
                        <c:v>0.93000000715255737</c:v>
                      </c:pt>
                      <c:pt idx="307">
                        <c:v>0.30000001192092896</c:v>
                      </c:pt>
                      <c:pt idx="308">
                        <c:v>0.18000000715255737</c:v>
                      </c:pt>
                      <c:pt idx="309">
                        <c:v>0.33000001311302185</c:v>
                      </c:pt>
                      <c:pt idx="310">
                        <c:v>0.20999999344348907</c:v>
                      </c:pt>
                      <c:pt idx="311">
                        <c:v>0.12999999523162842</c:v>
                      </c:pt>
                      <c:pt idx="312">
                        <c:v>0.23999999463558197</c:v>
                      </c:pt>
                      <c:pt idx="313">
                        <c:v>0.25999999046325684</c:v>
                      </c:pt>
                      <c:pt idx="314">
                        <c:v>0.47999998927116394</c:v>
                      </c:pt>
                      <c:pt idx="315">
                        <c:v>0.54000002145767212</c:v>
                      </c:pt>
                      <c:pt idx="316">
                        <c:v>0.34999999403953552</c:v>
                      </c:pt>
                      <c:pt idx="317">
                        <c:v>0.2199999988079071</c:v>
                      </c:pt>
                      <c:pt idx="318">
                        <c:v>0.18000000715255737</c:v>
                      </c:pt>
                      <c:pt idx="319">
                        <c:v>0.25999999046325684</c:v>
                      </c:pt>
                      <c:pt idx="320">
                        <c:v>0.23000000417232513</c:v>
                      </c:pt>
                      <c:pt idx="321">
                        <c:v>0.23000000417232513</c:v>
                      </c:pt>
                      <c:pt idx="322">
                        <c:v>0.2199999988079071</c:v>
                      </c:pt>
                      <c:pt idx="323">
                        <c:v>0.2800000011920929</c:v>
                      </c:pt>
                      <c:pt idx="324">
                        <c:v>0.40000000596046448</c:v>
                      </c:pt>
                      <c:pt idx="325">
                        <c:v>0.31000000238418579</c:v>
                      </c:pt>
                      <c:pt idx="326">
                        <c:v>0.10999999940395355</c:v>
                      </c:pt>
                      <c:pt idx="327">
                        <c:v>2.9999999329447746E-2</c:v>
                      </c:pt>
                      <c:pt idx="328">
                        <c:v>0.10999999940395355</c:v>
                      </c:pt>
                      <c:pt idx="329">
                        <c:v>0.27000001072883606</c:v>
                      </c:pt>
                      <c:pt idx="330">
                        <c:v>0.27000001072883606</c:v>
                      </c:pt>
                      <c:pt idx="331">
                        <c:v>0.40000000596046448</c:v>
                      </c:pt>
                      <c:pt idx="332">
                        <c:v>0.5</c:v>
                      </c:pt>
                      <c:pt idx="333">
                        <c:v>0.43000000715255737</c:v>
                      </c:pt>
                      <c:pt idx="334">
                        <c:v>0.31000000238418579</c:v>
                      </c:pt>
                      <c:pt idx="335">
                        <c:v>0.31000000238418579</c:v>
                      </c:pt>
                      <c:pt idx="336">
                        <c:v>0.27000001072883606</c:v>
                      </c:pt>
                      <c:pt idx="337">
                        <c:v>0.25</c:v>
                      </c:pt>
                      <c:pt idx="338">
                        <c:v>0.33000001311302185</c:v>
                      </c:pt>
                      <c:pt idx="339">
                        <c:v>0.25</c:v>
                      </c:pt>
                      <c:pt idx="340">
                        <c:v>0.20000000298023224</c:v>
                      </c:pt>
                      <c:pt idx="341">
                        <c:v>0.27000001072883606</c:v>
                      </c:pt>
                      <c:pt idx="342">
                        <c:v>0.25999999046325684</c:v>
                      </c:pt>
                      <c:pt idx="343">
                        <c:v>0.2199999988079071</c:v>
                      </c:pt>
                      <c:pt idx="344">
                        <c:v>0.38999998569488525</c:v>
                      </c:pt>
                      <c:pt idx="345">
                        <c:v>0.23999999463558197</c:v>
                      </c:pt>
                      <c:pt idx="346">
                        <c:v>0.2199999988079071</c:v>
                      </c:pt>
                      <c:pt idx="347">
                        <c:v>0.14000000059604645</c:v>
                      </c:pt>
                      <c:pt idx="348">
                        <c:v>-9.0000003576278687E-2</c:v>
                      </c:pt>
                      <c:pt idx="349">
                        <c:v>-0.20000000298023224</c:v>
                      </c:pt>
                      <c:pt idx="350">
                        <c:v>-0.14000000059604645</c:v>
                      </c:pt>
                      <c:pt idx="351">
                        <c:v>-0.15999999642372131</c:v>
                      </c:pt>
                      <c:pt idx="352">
                        <c:v>-9.0000003576278687E-2</c:v>
                      </c:pt>
                      <c:pt idx="353">
                        <c:v>-0.17000000178813934</c:v>
                      </c:pt>
                      <c:pt idx="354">
                        <c:v>-0.23999999463558197</c:v>
                      </c:pt>
                      <c:pt idx="355">
                        <c:v>-9.0000003576278687E-2</c:v>
                      </c:pt>
                      <c:pt idx="356">
                        <c:v>2.9999999329447746E-2</c:v>
                      </c:pt>
                      <c:pt idx="357">
                        <c:v>7.9999998211860657E-2</c:v>
                      </c:pt>
                      <c:pt idx="358">
                        <c:v>0.17000000178813934</c:v>
                      </c:pt>
                      <c:pt idx="359">
                        <c:v>1.9999999552965164E-2</c:v>
                      </c:pt>
                      <c:pt idx="360">
                        <c:v>-0.10000000149011612</c:v>
                      </c:pt>
                      <c:pt idx="361">
                        <c:v>-0.11999999731779099</c:v>
                      </c:pt>
                      <c:pt idx="362">
                        <c:v>1.9999999552965164E-2</c:v>
                      </c:pt>
                      <c:pt idx="363">
                        <c:v>7.0000000298023224E-2</c:v>
                      </c:pt>
                      <c:pt idx="364">
                        <c:v>5.9999998658895493E-2</c:v>
                      </c:pt>
                      <c:pt idx="365">
                        <c:v>1.9999999552965164E-2</c:v>
                      </c:pt>
                      <c:pt idx="366">
                        <c:v>0</c:v>
                      </c:pt>
                      <c:pt idx="367">
                        <c:v>-1.9999999552965164E-2</c:v>
                      </c:pt>
                      <c:pt idx="368">
                        <c:v>9.9999997764825821E-3</c:v>
                      </c:pt>
                      <c:pt idx="369">
                        <c:v>5.000000074505806E-2</c:v>
                      </c:pt>
                      <c:pt idx="370">
                        <c:v>0.18999999761581421</c:v>
                      </c:pt>
                      <c:pt idx="371">
                        <c:v>0.44999998807907104</c:v>
                      </c:pt>
                      <c:pt idx="372">
                        <c:v>0.49000000953674316</c:v>
                      </c:pt>
                      <c:pt idx="373">
                        <c:v>0.47999998927116394</c:v>
                      </c:pt>
                      <c:pt idx="374">
                        <c:v>0.46000000834465027</c:v>
                      </c:pt>
                      <c:pt idx="375">
                        <c:v>0.30000001192092896</c:v>
                      </c:pt>
                      <c:pt idx="376">
                        <c:v>0.25999999046325684</c:v>
                      </c:pt>
                      <c:pt idx="377">
                        <c:v>0.40999999642372131</c:v>
                      </c:pt>
                      <c:pt idx="378">
                        <c:v>0.6600000262260437</c:v>
                      </c:pt>
                      <c:pt idx="379">
                        <c:v>0.62999999523162842</c:v>
                      </c:pt>
                      <c:pt idx="380">
                        <c:v>0.68999999761581421</c:v>
                      </c:pt>
                      <c:pt idx="381">
                        <c:v>0.67000001668930054</c:v>
                      </c:pt>
                      <c:pt idx="382">
                        <c:v>0.73000001907348633</c:v>
                      </c:pt>
                      <c:pt idx="383">
                        <c:v>0.81000000238418579</c:v>
                      </c:pt>
                      <c:pt idx="384">
                        <c:v>0.81999999284744263</c:v>
                      </c:pt>
                      <c:pt idx="385">
                        <c:v>0.87999999523162842</c:v>
                      </c:pt>
                      <c:pt idx="386">
                        <c:v>0.93999999761581421</c:v>
                      </c:pt>
                      <c:pt idx="387">
                        <c:v>0.97000002861022949</c:v>
                      </c:pt>
                      <c:pt idx="388">
                        <c:v>1</c:v>
                      </c:pt>
                      <c:pt idx="389">
                        <c:v>0.85000002384185791</c:v>
                      </c:pt>
                      <c:pt idx="390">
                        <c:v>0.75999999046325684</c:v>
                      </c:pt>
                      <c:pt idx="391">
                        <c:v>0.75999999046325684</c:v>
                      </c:pt>
                      <c:pt idx="392">
                        <c:v>0.74000000953674316</c:v>
                      </c:pt>
                      <c:pt idx="393">
                        <c:v>0.81000000238418579</c:v>
                      </c:pt>
                      <c:pt idx="394">
                        <c:v>0.68000000715255737</c:v>
                      </c:pt>
                      <c:pt idx="395">
                        <c:v>0.37999999523162842</c:v>
                      </c:pt>
                      <c:pt idx="396">
                        <c:v>0.25999999046325684</c:v>
                      </c:pt>
                    </c:numCache>
                  </c:numRef>
                </c:val>
                <c:extLst xmlns:c15="http://schemas.microsoft.com/office/drawing/2012/chart">
                  <c:ext xmlns:c16="http://schemas.microsoft.com/office/drawing/2014/chart" uri="{C3380CC4-5D6E-409C-BE32-E72D297353CC}">
                    <c16:uniqueId val="{00000006-36E2-4900-9901-458A2A794684}"/>
                  </c:ext>
                </c:extLst>
              </c15:ser>
            </c15:filteredBarSeries>
          </c:ext>
        </c:extLst>
      </c:barChart>
      <c:barChart>
        <c:barDir val="col"/>
        <c:grouping val="clustered"/>
        <c:varyColors val="0"/>
        <c:ser>
          <c:idx val="3"/>
          <c:order val="3"/>
          <c:tx>
            <c:strRef>
              <c:f>Sheet1!$E$1</c:f>
              <c:strCache>
                <c:ptCount val="1"/>
                <c:pt idx="0">
                  <c:v>C.D. Howe Institute recession</c:v>
                </c:pt>
              </c:strCache>
            </c:strRef>
          </c:tx>
          <c:spPr>
            <a:solidFill>
              <a:schemeClr val="bg1">
                <a:lumMod val="85000"/>
              </a:schemeClr>
            </a:solidFill>
            <a:ln>
              <a:noFill/>
            </a:ln>
            <a:effectLst/>
          </c:spPr>
          <c:invertIfNegative val="0"/>
          <c:cat>
            <c:strRef>
              <c:f>Sheet1!$A$2:$A$398</c:f>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f>Sheet1!$E$2:$E$398</c:f>
              <c:numCache>
                <c:formatCode>0.0000</c:formatCode>
                <c:ptCount val="397"/>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1</c:v>
                </c:pt>
                <c:pt idx="263">
                  <c:v>1</c:v>
                </c:pt>
                <c:pt idx="264">
                  <c:v>1</c:v>
                </c:pt>
                <c:pt idx="265">
                  <c:v>1</c:v>
                </c:pt>
                <c:pt idx="266">
                  <c:v>1</c:v>
                </c:pt>
                <c:pt idx="267">
                  <c:v>1</c:v>
                </c:pt>
                <c:pt idx="268">
                  <c:v>1</c:v>
                </c:pt>
                <c:pt idx="269">
                  <c:v>1</c:v>
                </c:pt>
                <c:pt idx="270">
                  <c:v>1</c:v>
                </c:pt>
                <c:pt idx="271">
                  <c:v>1</c:v>
                </c:pt>
                <c:pt idx="272">
                  <c:v>1</c:v>
                </c:pt>
                <c:pt idx="273">
                  <c:v>1</c:v>
                </c:pt>
                <c:pt idx="274">
                  <c:v>1</c:v>
                </c:pt>
                <c:pt idx="275">
                  <c:v>1</c:v>
                </c:pt>
                <c:pt idx="276">
                  <c:v>1</c:v>
                </c:pt>
                <c:pt idx="277">
                  <c:v>1</c:v>
                </c:pt>
                <c:pt idx="278">
                  <c:v>1</c:v>
                </c:pt>
                <c:pt idx="279">
                  <c:v>1</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numCache>
            </c:numRef>
          </c:val>
          <c:extLst>
            <c:ext xmlns:c16="http://schemas.microsoft.com/office/drawing/2014/chart" uri="{C3380CC4-5D6E-409C-BE32-E72D297353CC}">
              <c16:uniqueId val="{00000000-36E2-4900-9901-458A2A794684}"/>
            </c:ext>
          </c:extLst>
        </c:ser>
        <c:dLbls>
          <c:showLegendKey val="0"/>
          <c:showVal val="0"/>
          <c:showCatName val="0"/>
          <c:showSerName val="0"/>
          <c:showPercent val="0"/>
          <c:showBubbleSize val="0"/>
        </c:dLbls>
        <c:gapWidth val="0"/>
        <c:overlap val="-27"/>
        <c:axId val="701238799"/>
        <c:axId val="977883887"/>
      </c:barChart>
      <c:lineChart>
        <c:grouping val="standard"/>
        <c:varyColors val="0"/>
        <c:ser>
          <c:idx val="4"/>
          <c:order val="4"/>
          <c:tx>
            <c:strRef>
              <c:f>Sheet1!$F$1</c:f>
              <c:strCache>
                <c:ptCount val="1"/>
                <c:pt idx="0">
                  <c:v>Near-term forward spread</c:v>
                </c:pt>
              </c:strCache>
            </c:strRef>
          </c:tx>
          <c:spPr>
            <a:ln w="19050" cap="rnd">
              <a:solidFill>
                <a:schemeClr val="accent1">
                  <a:lumMod val="50000"/>
                </a:schemeClr>
              </a:solidFill>
              <a:prstDash val="sysDash"/>
              <a:round/>
            </a:ln>
            <a:effectLst/>
          </c:spPr>
          <c:marker>
            <c:symbol val="none"/>
          </c:marker>
          <c:cat>
            <c:strRef>
              <c:f>Sheet1!$A$2:$A$398</c:f>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f>Sheet1!$F$2:$F$398</c:f>
              <c:numCache>
                <c:formatCode>0.0000</c:formatCode>
                <c:ptCount val="397"/>
                <c:pt idx="0">
                  <c:v>0.28667515516281128</c:v>
                </c:pt>
                <c:pt idx="1">
                  <c:v>0.61745136976242065</c:v>
                </c:pt>
                <c:pt idx="2">
                  <c:v>0.58283621072769165</c:v>
                </c:pt>
                <c:pt idx="3">
                  <c:v>0.32286795973777771</c:v>
                </c:pt>
                <c:pt idx="4">
                  <c:v>0.15428744256496429</c:v>
                </c:pt>
                <c:pt idx="5">
                  <c:v>0.10897964984178543</c:v>
                </c:pt>
                <c:pt idx="6">
                  <c:v>0.11027304828166962</c:v>
                </c:pt>
                <c:pt idx="7">
                  <c:v>0.10391514748334885</c:v>
                </c:pt>
                <c:pt idx="8">
                  <c:v>7.7072478830814362E-2</c:v>
                </c:pt>
                <c:pt idx="9">
                  <c:v>7.7072478830814362E-2</c:v>
                </c:pt>
                <c:pt idx="10">
                  <c:v>0.10516497492790222</c:v>
                </c:pt>
                <c:pt idx="11">
                  <c:v>0.1559312641620636</c:v>
                </c:pt>
                <c:pt idx="12">
                  <c:v>0.1224108561873436</c:v>
                </c:pt>
                <c:pt idx="13">
                  <c:v>7.221115380525589E-2</c:v>
                </c:pt>
                <c:pt idx="14">
                  <c:v>5.0627667456865311E-2</c:v>
                </c:pt>
                <c:pt idx="15">
                  <c:v>3.5056367516517639E-2</c:v>
                </c:pt>
                <c:pt idx="16">
                  <c:v>3.297501802444458E-2</c:v>
                </c:pt>
                <c:pt idx="17">
                  <c:v>6.4057528972625732E-2</c:v>
                </c:pt>
                <c:pt idx="18">
                  <c:v>7.1267716586589813E-2</c:v>
                </c:pt>
                <c:pt idx="19">
                  <c:v>6.4926497638225555E-2</c:v>
                </c:pt>
                <c:pt idx="20">
                  <c:v>3.5593215376138687E-2</c:v>
                </c:pt>
                <c:pt idx="21">
                  <c:v>2.8662722557783127E-2</c:v>
                </c:pt>
                <c:pt idx="22">
                  <c:v>2.9117429628968239E-2</c:v>
                </c:pt>
                <c:pt idx="23">
                  <c:v>2.6902535930275917E-2</c:v>
                </c:pt>
                <c:pt idx="24">
                  <c:v>5.6638371199369431E-2</c:v>
                </c:pt>
                <c:pt idx="25">
                  <c:v>0.10144787281751633</c:v>
                </c:pt>
                <c:pt idx="26">
                  <c:v>0.12101767957210541</c:v>
                </c:pt>
                <c:pt idx="27">
                  <c:v>0.12809595465660095</c:v>
                </c:pt>
                <c:pt idx="28">
                  <c:v>0.11289279162883759</c:v>
                </c:pt>
                <c:pt idx="29">
                  <c:v>0.16432297229766846</c:v>
                </c:pt>
                <c:pt idx="30">
                  <c:v>0.14942492544651031</c:v>
                </c:pt>
                <c:pt idx="31">
                  <c:v>0.12954545021057129</c:v>
                </c:pt>
                <c:pt idx="32">
                  <c:v>0.28433224558830261</c:v>
                </c:pt>
                <c:pt idx="33">
                  <c:v>0.41357553005218506</c:v>
                </c:pt>
                <c:pt idx="34">
                  <c:v>0.40019840002059937</c:v>
                </c:pt>
                <c:pt idx="35">
                  <c:v>0.40821170806884766</c:v>
                </c:pt>
                <c:pt idx="36">
                  <c:v>0.4761718213558197</c:v>
                </c:pt>
                <c:pt idx="37">
                  <c:v>0.50366604328155518</c:v>
                </c:pt>
                <c:pt idx="38">
                  <c:v>0.5448339581489563</c:v>
                </c:pt>
                <c:pt idx="39">
                  <c:v>0.73782879114151001</c:v>
                </c:pt>
                <c:pt idx="40">
                  <c:v>0.82992070913314819</c:v>
                </c:pt>
                <c:pt idx="41">
                  <c:v>0.89315015077590942</c:v>
                </c:pt>
                <c:pt idx="42">
                  <c:v>0.92841768264770508</c:v>
                </c:pt>
                <c:pt idx="43">
                  <c:v>0.92651492357254028</c:v>
                </c:pt>
                <c:pt idx="44">
                  <c:v>0.90057390928268433</c:v>
                </c:pt>
                <c:pt idx="45">
                  <c:v>0.89058887958526611</c:v>
                </c:pt>
                <c:pt idx="46">
                  <c:v>0.86850249767303467</c:v>
                </c:pt>
                <c:pt idx="47">
                  <c:v>0.83166033029556274</c:v>
                </c:pt>
                <c:pt idx="48">
                  <c:v>0.74893516302108765</c:v>
                </c:pt>
                <c:pt idx="49">
                  <c:v>0.71018385887145996</c:v>
                </c:pt>
                <c:pt idx="50">
                  <c:v>0.64859801530838013</c:v>
                </c:pt>
                <c:pt idx="51">
                  <c:v>0.48166579008102417</c:v>
                </c:pt>
                <c:pt idx="52">
                  <c:v>0.71722173690795898</c:v>
                </c:pt>
                <c:pt idx="53">
                  <c:v>0.8385041356086731</c:v>
                </c:pt>
                <c:pt idx="54">
                  <c:v>0.85947602987289429</c:v>
                </c:pt>
                <c:pt idx="55">
                  <c:v>0.89691054821014404</c:v>
                </c:pt>
                <c:pt idx="56">
                  <c:v>0.80436515808105469</c:v>
                </c:pt>
                <c:pt idx="57">
                  <c:v>0.68859213590621948</c:v>
                </c:pt>
                <c:pt idx="58">
                  <c:v>0.74007004499435425</c:v>
                </c:pt>
                <c:pt idx="59">
                  <c:v>0.59890997409820557</c:v>
                </c:pt>
                <c:pt idx="60">
                  <c:v>0.45425158739089966</c:v>
                </c:pt>
                <c:pt idx="61">
                  <c:v>0.36859464645385742</c:v>
                </c:pt>
                <c:pt idx="62">
                  <c:v>0.26366809010505676</c:v>
                </c:pt>
                <c:pt idx="63">
                  <c:v>0.2416418194770813</c:v>
                </c:pt>
                <c:pt idx="64">
                  <c:v>0.13247840106487274</c:v>
                </c:pt>
                <c:pt idx="65">
                  <c:v>6.3197635114192963E-2</c:v>
                </c:pt>
                <c:pt idx="66">
                  <c:v>7.3164127767086029E-2</c:v>
                </c:pt>
                <c:pt idx="67">
                  <c:v>8.3229720592498779E-2</c:v>
                </c:pt>
                <c:pt idx="68">
                  <c:v>0.13696306943893433</c:v>
                </c:pt>
                <c:pt idx="69">
                  <c:v>0.2066066712141037</c:v>
                </c:pt>
                <c:pt idx="70">
                  <c:v>0.14942492544651031</c:v>
                </c:pt>
                <c:pt idx="71">
                  <c:v>0.13848075270652771</c:v>
                </c:pt>
                <c:pt idx="72">
                  <c:v>0.10516497492790222</c:v>
                </c:pt>
                <c:pt idx="73">
                  <c:v>9.2005260288715363E-2</c:v>
                </c:pt>
                <c:pt idx="74">
                  <c:v>3.6687135696411133E-2</c:v>
                </c:pt>
                <c:pt idx="75">
                  <c:v>2.2154979407787323E-2</c:v>
                </c:pt>
                <c:pt idx="76">
                  <c:v>1.752927154302597E-2</c:v>
                </c:pt>
                <c:pt idx="77">
                  <c:v>2.9117429628968239E-2</c:v>
                </c:pt>
                <c:pt idx="78">
                  <c:v>7.1267716586589813E-2</c:v>
                </c:pt>
                <c:pt idx="79">
                  <c:v>5.2080497145652771E-2</c:v>
                </c:pt>
                <c:pt idx="80">
                  <c:v>3.9542585611343384E-2</c:v>
                </c:pt>
                <c:pt idx="81">
                  <c:v>0.29138833284378052</c:v>
                </c:pt>
                <c:pt idx="82">
                  <c:v>0.27735888957977295</c:v>
                </c:pt>
                <c:pt idx="83">
                  <c:v>0.25473633408546448</c:v>
                </c:pt>
                <c:pt idx="84">
                  <c:v>7.221115380525589E-2</c:v>
                </c:pt>
                <c:pt idx="85">
                  <c:v>4.3205000460147858E-2</c:v>
                </c:pt>
                <c:pt idx="86">
                  <c:v>1.9399635493755341E-2</c:v>
                </c:pt>
                <c:pt idx="87">
                  <c:v>1.3998762704432011E-2</c:v>
                </c:pt>
                <c:pt idx="88">
                  <c:v>8.4152305498719215E-3</c:v>
                </c:pt>
                <c:pt idx="89">
                  <c:v>6.6966796293854713E-3</c:v>
                </c:pt>
                <c:pt idx="90">
                  <c:v>7.0943781174719334E-3</c:v>
                </c:pt>
                <c:pt idx="91">
                  <c:v>1.3754565268754959E-2</c:v>
                </c:pt>
                <c:pt idx="92">
                  <c:v>2.1793439984321594E-2</c:v>
                </c:pt>
                <c:pt idx="93">
                  <c:v>3.9542585611343384E-2</c:v>
                </c:pt>
                <c:pt idx="94">
                  <c:v>2.3652160540223122E-2</c:v>
                </c:pt>
                <c:pt idx="95">
                  <c:v>2.8662722557783127E-2</c:v>
                </c:pt>
                <c:pt idx="96">
                  <c:v>3.3485569059848785E-2</c:v>
                </c:pt>
                <c:pt idx="97">
                  <c:v>1.8134851008653641E-2</c:v>
                </c:pt>
                <c:pt idx="98">
                  <c:v>5.8444077149033546E-3</c:v>
                </c:pt>
                <c:pt idx="99">
                  <c:v>1.5276580117642879E-2</c:v>
                </c:pt>
                <c:pt idx="100">
                  <c:v>1.3277175836265087E-2</c:v>
                </c:pt>
                <c:pt idx="101">
                  <c:v>4.6986597590148449E-3</c:v>
                </c:pt>
                <c:pt idx="102">
                  <c:v>1.5592504059895873E-3</c:v>
                </c:pt>
                <c:pt idx="103">
                  <c:v>7.8164879232645035E-4</c:v>
                </c:pt>
                <c:pt idx="104">
                  <c:v>7.278940174728632E-4</c:v>
                </c:pt>
                <c:pt idx="105">
                  <c:v>7.6333724427968264E-4</c:v>
                </c:pt>
                <c:pt idx="106">
                  <c:v>8.7942415848374367E-4</c:v>
                </c:pt>
                <c:pt idx="107">
                  <c:v>4.5133433304727077E-3</c:v>
                </c:pt>
                <c:pt idx="108">
                  <c:v>1.2814166955649853E-2</c:v>
                </c:pt>
                <c:pt idx="109">
                  <c:v>6.4057528972625732E-2</c:v>
                </c:pt>
                <c:pt idx="110">
                  <c:v>0.22270511090755463</c:v>
                </c:pt>
                <c:pt idx="111">
                  <c:v>0.23949548602104187</c:v>
                </c:pt>
                <c:pt idx="112">
                  <c:v>0.22065454721450806</c:v>
                </c:pt>
                <c:pt idx="113">
                  <c:v>0.17477235198020935</c:v>
                </c:pt>
                <c:pt idx="114">
                  <c:v>8.2178592681884766E-2</c:v>
                </c:pt>
                <c:pt idx="115">
                  <c:v>4.9913454800844193E-2</c:v>
                </c:pt>
                <c:pt idx="116">
                  <c:v>8.0106392502784729E-2</c:v>
                </c:pt>
                <c:pt idx="117">
                  <c:v>0.10642564296722412</c:v>
                </c:pt>
                <c:pt idx="118">
                  <c:v>6.6691860556602478E-2</c:v>
                </c:pt>
                <c:pt idx="119">
                  <c:v>8.0106392502784729E-2</c:v>
                </c:pt>
                <c:pt idx="120">
                  <c:v>0.10769719630479813</c:v>
                </c:pt>
                <c:pt idx="121">
                  <c:v>6.7588359117507935E-2</c:v>
                </c:pt>
                <c:pt idx="122">
                  <c:v>2.0059635862708092E-2</c:v>
                </c:pt>
                <c:pt idx="123">
                  <c:v>7.6569877564907074E-3</c:v>
                </c:pt>
                <c:pt idx="124">
                  <c:v>5.5096177384257317E-3</c:v>
                </c:pt>
                <c:pt idx="125">
                  <c:v>4.6051694080233574E-3</c:v>
                </c:pt>
                <c:pt idx="126">
                  <c:v>3.6811609752476215E-3</c:v>
                </c:pt>
                <c:pt idx="127">
                  <c:v>6.8270000629127026E-3</c:v>
                </c:pt>
                <c:pt idx="128">
                  <c:v>4.5133433304727077E-3</c:v>
                </c:pt>
                <c:pt idx="129">
                  <c:v>7.8036361373960972E-3</c:v>
                </c:pt>
                <c:pt idx="130">
                  <c:v>6.9595556706190109E-3</c:v>
                </c:pt>
                <c:pt idx="131">
                  <c:v>3.9150537922978401E-3</c:v>
                </c:pt>
                <c:pt idx="132">
                  <c:v>2.6894113980233669E-3</c:v>
                </c:pt>
                <c:pt idx="133">
                  <c:v>7.3709534481167793E-3</c:v>
                </c:pt>
                <c:pt idx="134">
                  <c:v>4.5133433304727077E-3</c:v>
                </c:pt>
                <c:pt idx="135">
                  <c:v>1.9033504649996758E-3</c:v>
                </c:pt>
                <c:pt idx="136">
                  <c:v>2.3151154164224863E-3</c:v>
                </c:pt>
                <c:pt idx="137">
                  <c:v>3.0528209172189236E-3</c:v>
                </c:pt>
                <c:pt idx="138">
                  <c:v>7.8036361373960972E-3</c:v>
                </c:pt>
                <c:pt idx="139">
                  <c:v>5.5096177384257317E-3</c:v>
                </c:pt>
                <c:pt idx="140">
                  <c:v>4.7938395291566849E-3</c:v>
                </c:pt>
                <c:pt idx="141">
                  <c:v>1.1507973074913025E-2</c:v>
                </c:pt>
                <c:pt idx="142">
                  <c:v>1.9399635493755341E-2</c:v>
                </c:pt>
                <c:pt idx="143">
                  <c:v>2.4432104080915451E-2</c:v>
                </c:pt>
                <c:pt idx="144">
                  <c:v>5.1349993795156479E-2</c:v>
                </c:pt>
                <c:pt idx="145">
                  <c:v>7.4126705527305603E-2</c:v>
                </c:pt>
                <c:pt idx="146">
                  <c:v>8.6443744599819183E-2</c:v>
                </c:pt>
                <c:pt idx="147">
                  <c:v>0.10144787281751633</c:v>
                </c:pt>
                <c:pt idx="148">
                  <c:v>0.10267611593008041</c:v>
                </c:pt>
                <c:pt idx="149">
                  <c:v>9.9023550748825073E-2</c:v>
                </c:pt>
                <c:pt idx="150">
                  <c:v>0.10642564296722412</c:v>
                </c:pt>
                <c:pt idx="151">
                  <c:v>0.10391514748334885</c:v>
                </c:pt>
                <c:pt idx="152">
                  <c:v>0.19690489768981934</c:v>
                </c:pt>
                <c:pt idx="153">
                  <c:v>0.19499817490577698</c:v>
                </c:pt>
                <c:pt idx="154">
                  <c:v>0.15758660435676575</c:v>
                </c:pt>
                <c:pt idx="155">
                  <c:v>0.16949599981307983</c:v>
                </c:pt>
                <c:pt idx="156">
                  <c:v>0.14782707393169403</c:v>
                </c:pt>
                <c:pt idx="157">
                  <c:v>0.14155039191246033</c:v>
                </c:pt>
                <c:pt idx="158">
                  <c:v>0.12381524592638016</c:v>
                </c:pt>
                <c:pt idx="159">
                  <c:v>0.1224108561873436</c:v>
                </c:pt>
                <c:pt idx="160">
                  <c:v>6.8494141101837158E-2</c:v>
                </c:pt>
                <c:pt idx="161">
                  <c:v>5.2819229662418365E-2</c:v>
                </c:pt>
                <c:pt idx="162">
                  <c:v>7.0333763957023621E-2</c:v>
                </c:pt>
                <c:pt idx="163">
                  <c:v>5.2819229662418365E-2</c:v>
                </c:pt>
                <c:pt idx="164">
                  <c:v>5.0627667456865311E-2</c:v>
                </c:pt>
                <c:pt idx="165">
                  <c:v>2.5233523920178413E-2</c:v>
                </c:pt>
                <c:pt idx="166">
                  <c:v>3.1481754034757614E-2</c:v>
                </c:pt>
                <c:pt idx="167">
                  <c:v>2.4039475247263908E-2</c:v>
                </c:pt>
                <c:pt idx="168">
                  <c:v>2.1085295826196671E-2</c:v>
                </c:pt>
                <c:pt idx="169">
                  <c:v>2.3652160540223122E-2</c:v>
                </c:pt>
                <c:pt idx="170">
                  <c:v>4.8509147018194199E-2</c:v>
                </c:pt>
                <c:pt idx="171">
                  <c:v>8.1137500703334808E-2</c:v>
                </c:pt>
                <c:pt idx="172">
                  <c:v>6.4926497638225555E-2</c:v>
                </c:pt>
                <c:pt idx="173">
                  <c:v>9.5466934144496918E-2</c:v>
                </c:pt>
                <c:pt idx="174">
                  <c:v>0.11421918869018555</c:v>
                </c:pt>
                <c:pt idx="175">
                  <c:v>0.12665778398513794</c:v>
                </c:pt>
                <c:pt idx="176">
                  <c:v>0.14155039191246033</c:v>
                </c:pt>
                <c:pt idx="177">
                  <c:v>0.1559312641620636</c:v>
                </c:pt>
                <c:pt idx="178">
                  <c:v>0.15265510976314545</c:v>
                </c:pt>
                <c:pt idx="179">
                  <c:v>0.21861483156681061</c:v>
                </c:pt>
                <c:pt idx="180">
                  <c:v>0.22270511090755463</c:v>
                </c:pt>
                <c:pt idx="181">
                  <c:v>0.19499817490577698</c:v>
                </c:pt>
                <c:pt idx="182">
                  <c:v>0.14466580748558044</c:v>
                </c:pt>
                <c:pt idx="183">
                  <c:v>9.7827397286891937E-2</c:v>
                </c:pt>
                <c:pt idx="184">
                  <c:v>5.508539080619812E-2</c:v>
                </c:pt>
                <c:pt idx="185">
                  <c:v>5.0627667456865311E-2</c:v>
                </c:pt>
                <c:pt idx="186">
                  <c:v>3.6136787384748459E-2</c:v>
                </c:pt>
                <c:pt idx="187">
                  <c:v>4.2576242238283157E-2</c:v>
                </c:pt>
                <c:pt idx="188">
                  <c:v>4.3205000460147858E-2</c:v>
                </c:pt>
                <c:pt idx="189">
                  <c:v>3.5056367516517639E-2</c:v>
                </c:pt>
                <c:pt idx="190">
                  <c:v>1.3514050282537937E-2</c:v>
                </c:pt>
                <c:pt idx="191">
                  <c:v>3.388822078704834E-3</c:v>
                </c:pt>
                <c:pt idx="192">
                  <c:v>3.7576940376311541E-3</c:v>
                </c:pt>
                <c:pt idx="193">
                  <c:v>3.9150537922978401E-3</c:v>
                </c:pt>
                <c:pt idx="194">
                  <c:v>9.8833302035927773E-4</c:v>
                </c:pt>
                <c:pt idx="195">
                  <c:v>1.5592504059895873E-3</c:v>
                </c:pt>
                <c:pt idx="196">
                  <c:v>3.5322769545018673E-3</c:v>
                </c:pt>
                <c:pt idx="197">
                  <c:v>7.6569877564907074E-3</c:v>
                </c:pt>
                <c:pt idx="198">
                  <c:v>2.2521574050188065E-2</c:v>
                </c:pt>
                <c:pt idx="199">
                  <c:v>4.4485002756118774E-2</c:v>
                </c:pt>
                <c:pt idx="200">
                  <c:v>4.7818928956985474E-2</c:v>
                </c:pt>
                <c:pt idx="201">
                  <c:v>3.7244319915771484E-2</c:v>
                </c:pt>
                <c:pt idx="202">
                  <c:v>3.8957472890615463E-2</c:v>
                </c:pt>
                <c:pt idx="203">
                  <c:v>4.1340932250022888E-2</c:v>
                </c:pt>
                <c:pt idx="204">
                  <c:v>4.6462107449769974E-2</c:v>
                </c:pt>
                <c:pt idx="205">
                  <c:v>4.0734261274337769E-2</c:v>
                </c:pt>
                <c:pt idx="206">
                  <c:v>5.1349993795156479E-2</c:v>
                </c:pt>
                <c:pt idx="207">
                  <c:v>5.9847638010978699E-2</c:v>
                </c:pt>
                <c:pt idx="208">
                  <c:v>0.11027304828166962</c:v>
                </c:pt>
                <c:pt idx="209">
                  <c:v>0.16603583097457886</c:v>
                </c:pt>
                <c:pt idx="210">
                  <c:v>0.10267611593008041</c:v>
                </c:pt>
                <c:pt idx="211">
                  <c:v>6.8494141101837158E-2</c:v>
                </c:pt>
                <c:pt idx="212">
                  <c:v>5.1349993795156479E-2</c:v>
                </c:pt>
                <c:pt idx="213">
                  <c:v>4.7818928956985474E-2</c:v>
                </c:pt>
                <c:pt idx="214">
                  <c:v>4.5136366039514542E-2</c:v>
                </c:pt>
                <c:pt idx="215">
                  <c:v>4.9207299947738647E-2</c:v>
                </c:pt>
                <c:pt idx="216">
                  <c:v>4.9207299947738647E-2</c:v>
                </c:pt>
                <c:pt idx="217">
                  <c:v>6.1504825949668884E-2</c:v>
                </c:pt>
                <c:pt idx="218">
                  <c:v>6.3197635114192963E-2</c:v>
                </c:pt>
                <c:pt idx="219">
                  <c:v>2.6056854054331779E-2</c:v>
                </c:pt>
                <c:pt idx="220">
                  <c:v>1.5276580117642879E-2</c:v>
                </c:pt>
                <c:pt idx="221">
                  <c:v>7.6569877564907074E-3</c:v>
                </c:pt>
                <c:pt idx="222">
                  <c:v>1.0702848434448242E-2</c:v>
                </c:pt>
                <c:pt idx="223">
                  <c:v>1.6653310507535934E-2</c:v>
                </c:pt>
                <c:pt idx="224">
                  <c:v>2.9578113928437233E-2</c:v>
                </c:pt>
                <c:pt idx="225">
                  <c:v>4.1954908519983292E-2</c:v>
                </c:pt>
                <c:pt idx="226">
                  <c:v>4.9913454800844193E-2</c:v>
                </c:pt>
                <c:pt idx="227">
                  <c:v>5.6638371199369431E-2</c:v>
                </c:pt>
                <c:pt idx="228">
                  <c:v>5.4321620613336563E-2</c:v>
                </c:pt>
                <c:pt idx="229">
                  <c:v>5.7427689433097839E-2</c:v>
                </c:pt>
                <c:pt idx="230">
                  <c:v>4.3205000460147858E-2</c:v>
                </c:pt>
                <c:pt idx="231">
                  <c:v>5.0627667456865311E-2</c:v>
                </c:pt>
                <c:pt idx="232">
                  <c:v>5.5857624858617783E-2</c:v>
                </c:pt>
                <c:pt idx="233">
                  <c:v>8.5362248122692108E-2</c:v>
                </c:pt>
                <c:pt idx="234">
                  <c:v>8.0106392502784729E-2</c:v>
                </c:pt>
                <c:pt idx="235">
                  <c:v>8.8637404143810272E-2</c:v>
                </c:pt>
                <c:pt idx="236">
                  <c:v>0.10023035854101181</c:v>
                </c:pt>
                <c:pt idx="237">
                  <c:v>8.9749664068222046E-2</c:v>
                </c:pt>
                <c:pt idx="238">
                  <c:v>8.9749664068222046E-2</c:v>
                </c:pt>
                <c:pt idx="239">
                  <c:v>9.7827397286891937E-2</c:v>
                </c:pt>
                <c:pt idx="240">
                  <c:v>0.11289279162883759</c:v>
                </c:pt>
                <c:pt idx="241">
                  <c:v>0.1196356937289238</c:v>
                </c:pt>
                <c:pt idx="242">
                  <c:v>0.14000986516475677</c:v>
                </c:pt>
                <c:pt idx="243">
                  <c:v>0.14942492544651031</c:v>
                </c:pt>
                <c:pt idx="244">
                  <c:v>0.18196779489517212</c:v>
                </c:pt>
                <c:pt idx="245">
                  <c:v>0.18196779489517212</c:v>
                </c:pt>
                <c:pt idx="246">
                  <c:v>0.17834721505641937</c:v>
                </c:pt>
                <c:pt idx="247">
                  <c:v>0.20269244909286499</c:v>
                </c:pt>
                <c:pt idx="248">
                  <c:v>0.2459656298160553</c:v>
                </c:pt>
                <c:pt idx="249">
                  <c:v>0.23101514577865601</c:v>
                </c:pt>
                <c:pt idx="250">
                  <c:v>0.26142024993896484</c:v>
                </c:pt>
                <c:pt idx="251">
                  <c:v>0.2727569043636322</c:v>
                </c:pt>
                <c:pt idx="252">
                  <c:v>0.23101514577865601</c:v>
                </c:pt>
                <c:pt idx="253">
                  <c:v>0.23101514577865601</c:v>
                </c:pt>
                <c:pt idx="254">
                  <c:v>0.25695434212684631</c:v>
                </c:pt>
                <c:pt idx="255">
                  <c:v>0.21056532859802246</c:v>
                </c:pt>
                <c:pt idx="256">
                  <c:v>0.16432297229766846</c:v>
                </c:pt>
                <c:pt idx="257">
                  <c:v>0.12809595465660095</c:v>
                </c:pt>
                <c:pt idx="258">
                  <c:v>0.16432297229766846</c:v>
                </c:pt>
                <c:pt idx="259">
                  <c:v>0.1609317809343338</c:v>
                </c:pt>
                <c:pt idx="260">
                  <c:v>0.14466580748558044</c:v>
                </c:pt>
                <c:pt idx="261">
                  <c:v>0.13247840106487274</c:v>
                </c:pt>
                <c:pt idx="262">
                  <c:v>0.21658600866794586</c:v>
                </c:pt>
                <c:pt idx="263">
                  <c:v>0.20269244909286499</c:v>
                </c:pt>
                <c:pt idx="264">
                  <c:v>0.2289215624332428</c:v>
                </c:pt>
                <c:pt idx="265">
                  <c:v>0.20075206458568573</c:v>
                </c:pt>
                <c:pt idx="266">
                  <c:v>8.7535448372364044E-2</c:v>
                </c:pt>
                <c:pt idx="267">
                  <c:v>8.8637404143810272E-2</c:v>
                </c:pt>
                <c:pt idx="268">
                  <c:v>0.11027304828166962</c:v>
                </c:pt>
                <c:pt idx="269">
                  <c:v>7.221115380525589E-2</c:v>
                </c:pt>
                <c:pt idx="270">
                  <c:v>5.0627667456865311E-2</c:v>
                </c:pt>
                <c:pt idx="271">
                  <c:v>0.10267611593008041</c:v>
                </c:pt>
                <c:pt idx="272">
                  <c:v>6.7588359117507935E-2</c:v>
                </c:pt>
                <c:pt idx="273">
                  <c:v>4.9207299947738647E-2</c:v>
                </c:pt>
                <c:pt idx="274">
                  <c:v>0.11289279162883759</c:v>
                </c:pt>
                <c:pt idx="275">
                  <c:v>8.7535448372364044E-2</c:v>
                </c:pt>
                <c:pt idx="276">
                  <c:v>7.4126705527305603E-2</c:v>
                </c:pt>
                <c:pt idx="277">
                  <c:v>4.7136604785919189E-2</c:v>
                </c:pt>
                <c:pt idx="278">
                  <c:v>4.3841231614351273E-2</c:v>
                </c:pt>
                <c:pt idx="279">
                  <c:v>3.5593215376138687E-2</c:v>
                </c:pt>
                <c:pt idx="280">
                  <c:v>1.7829868942499161E-2</c:v>
                </c:pt>
                <c:pt idx="281">
                  <c:v>8.2585103809833527E-3</c:v>
                </c:pt>
                <c:pt idx="282">
                  <c:v>8.4152305498719215E-3</c:v>
                </c:pt>
                <c:pt idx="283">
                  <c:v>8.7365135550498962E-3</c:v>
                </c:pt>
                <c:pt idx="284">
                  <c:v>9.5871910452842712E-3</c:v>
                </c:pt>
                <c:pt idx="285">
                  <c:v>7.2314995341002941E-3</c:v>
                </c:pt>
                <c:pt idx="286">
                  <c:v>1.0509401559829712E-2</c:v>
                </c:pt>
                <c:pt idx="287">
                  <c:v>1.0131629183888435E-2</c:v>
                </c:pt>
                <c:pt idx="288">
                  <c:v>8.9011508971452713E-3</c:v>
                </c:pt>
                <c:pt idx="289">
                  <c:v>9.9472254514694214E-3</c:v>
                </c:pt>
                <c:pt idx="290">
                  <c:v>5.4018693044781685E-3</c:v>
                </c:pt>
                <c:pt idx="291">
                  <c:v>3.1175180338323116E-3</c:v>
                </c:pt>
                <c:pt idx="292">
                  <c:v>6.9595556706190109E-3</c:v>
                </c:pt>
                <c:pt idx="293">
                  <c:v>1.2365191243588924E-2</c:v>
                </c:pt>
                <c:pt idx="294">
                  <c:v>2.1793439984321594E-2</c:v>
                </c:pt>
                <c:pt idx="295">
                  <c:v>4.7136604785919189E-2</c:v>
                </c:pt>
                <c:pt idx="296">
                  <c:v>6.6691860556602478E-2</c:v>
                </c:pt>
                <c:pt idx="297">
                  <c:v>7.7072478830814362E-2</c:v>
                </c:pt>
                <c:pt idx="298">
                  <c:v>5.5857624858617783E-2</c:v>
                </c:pt>
                <c:pt idx="299">
                  <c:v>4.579538106918335E-2</c:v>
                </c:pt>
                <c:pt idx="300">
                  <c:v>3.7808399647474289E-2</c:v>
                </c:pt>
                <c:pt idx="301">
                  <c:v>2.8213934972882271E-2</c:v>
                </c:pt>
                <c:pt idx="302">
                  <c:v>3.1481754034757614E-2</c:v>
                </c:pt>
                <c:pt idx="303">
                  <c:v>2.7333894744515419E-2</c:v>
                </c:pt>
                <c:pt idx="304">
                  <c:v>3.8379430770874023E-2</c:v>
                </c:pt>
                <c:pt idx="305">
                  <c:v>5.508539080619812E-2</c:v>
                </c:pt>
                <c:pt idx="306">
                  <c:v>5.8225635439157486E-2</c:v>
                </c:pt>
                <c:pt idx="307">
                  <c:v>0.12809595465660095</c:v>
                </c:pt>
                <c:pt idx="308">
                  <c:v>0.1462407112121582</c:v>
                </c:pt>
                <c:pt idx="309">
                  <c:v>0.12381524592638016</c:v>
                </c:pt>
                <c:pt idx="310">
                  <c:v>0.14155039191246033</c:v>
                </c:pt>
                <c:pt idx="311">
                  <c:v>0.15428744256496429</c:v>
                </c:pt>
                <c:pt idx="312">
                  <c:v>0.13696306943893433</c:v>
                </c:pt>
                <c:pt idx="313">
                  <c:v>0.13396191596984863</c:v>
                </c:pt>
                <c:pt idx="314">
                  <c:v>0.10391514748334885</c:v>
                </c:pt>
                <c:pt idx="315">
                  <c:v>9.6641868352890015E-2</c:v>
                </c:pt>
                <c:pt idx="316">
                  <c:v>0.12101767957210541</c:v>
                </c:pt>
                <c:pt idx="317">
                  <c:v>0.14000986516475677</c:v>
                </c:pt>
                <c:pt idx="318">
                  <c:v>0.1462407112121582</c:v>
                </c:pt>
                <c:pt idx="319">
                  <c:v>0.13396191596984863</c:v>
                </c:pt>
                <c:pt idx="320">
                  <c:v>0.13848075270652771</c:v>
                </c:pt>
                <c:pt idx="321">
                  <c:v>0.13848075270652771</c:v>
                </c:pt>
                <c:pt idx="322">
                  <c:v>0.14000986516475677</c:v>
                </c:pt>
                <c:pt idx="323">
                  <c:v>0.13100625574588776</c:v>
                </c:pt>
                <c:pt idx="324">
                  <c:v>0.11421918869018555</c:v>
                </c:pt>
                <c:pt idx="325">
                  <c:v>0.12665778398513794</c:v>
                </c:pt>
                <c:pt idx="326">
                  <c:v>0.15758660435676575</c:v>
                </c:pt>
                <c:pt idx="327">
                  <c:v>0.17124330997467041</c:v>
                </c:pt>
                <c:pt idx="328">
                  <c:v>0.15758660435676575</c:v>
                </c:pt>
                <c:pt idx="329">
                  <c:v>0.13247840106487274</c:v>
                </c:pt>
                <c:pt idx="330">
                  <c:v>0.13247840106487274</c:v>
                </c:pt>
                <c:pt idx="331">
                  <c:v>0.11421918869018555</c:v>
                </c:pt>
                <c:pt idx="332">
                  <c:v>0.10144787281751633</c:v>
                </c:pt>
                <c:pt idx="333">
                  <c:v>0.11027304828166962</c:v>
                </c:pt>
                <c:pt idx="334">
                  <c:v>0.12665778398513794</c:v>
                </c:pt>
                <c:pt idx="335">
                  <c:v>0.12665778398513794</c:v>
                </c:pt>
                <c:pt idx="336">
                  <c:v>0.13247840106487274</c:v>
                </c:pt>
                <c:pt idx="337">
                  <c:v>0.13545680046081543</c:v>
                </c:pt>
                <c:pt idx="338">
                  <c:v>0.12381524592638016</c:v>
                </c:pt>
                <c:pt idx="339">
                  <c:v>0.13545680046081543</c:v>
                </c:pt>
                <c:pt idx="340">
                  <c:v>0.14310237765312195</c:v>
                </c:pt>
                <c:pt idx="341">
                  <c:v>0.13247840106487274</c:v>
                </c:pt>
                <c:pt idx="342">
                  <c:v>0.13396191596984863</c:v>
                </c:pt>
                <c:pt idx="343">
                  <c:v>0.14000986516475677</c:v>
                </c:pt>
                <c:pt idx="344">
                  <c:v>0.11555665731430054</c:v>
                </c:pt>
                <c:pt idx="345">
                  <c:v>0.13696306943893433</c:v>
                </c:pt>
                <c:pt idx="346">
                  <c:v>0.14000986516475677</c:v>
                </c:pt>
                <c:pt idx="347">
                  <c:v>0.15265510976314545</c:v>
                </c:pt>
                <c:pt idx="348">
                  <c:v>0.19310271739959717</c:v>
                </c:pt>
                <c:pt idx="349">
                  <c:v>0.21456813812255859</c:v>
                </c:pt>
                <c:pt idx="350">
                  <c:v>0.20269244909286499</c:v>
                </c:pt>
                <c:pt idx="351">
                  <c:v>0.2066066712141037</c:v>
                </c:pt>
                <c:pt idx="352">
                  <c:v>0.19310271739959717</c:v>
                </c:pt>
                <c:pt idx="353">
                  <c:v>0.20858046412467957</c:v>
                </c:pt>
                <c:pt idx="354">
                  <c:v>0.22270511090755463</c:v>
                </c:pt>
                <c:pt idx="355">
                  <c:v>0.19310271739959717</c:v>
                </c:pt>
                <c:pt idx="356">
                  <c:v>0.17124330997467041</c:v>
                </c:pt>
                <c:pt idx="357">
                  <c:v>0.1626216322183609</c:v>
                </c:pt>
                <c:pt idx="358">
                  <c:v>0.14782707393169403</c:v>
                </c:pt>
                <c:pt idx="359">
                  <c:v>0.17300209403038025</c:v>
                </c:pt>
                <c:pt idx="360">
                  <c:v>0.19499817490577698</c:v>
                </c:pt>
                <c:pt idx="361">
                  <c:v>0.19882287085056305</c:v>
                </c:pt>
                <c:pt idx="362">
                  <c:v>0.17300209403038025</c:v>
                </c:pt>
                <c:pt idx="363">
                  <c:v>0.16432297229766846</c:v>
                </c:pt>
                <c:pt idx="364">
                  <c:v>0.16603583097457886</c:v>
                </c:pt>
                <c:pt idx="365">
                  <c:v>0.17300209403038025</c:v>
                </c:pt>
                <c:pt idx="366">
                  <c:v>0.17655405402183533</c:v>
                </c:pt>
                <c:pt idx="367">
                  <c:v>0.18015179038047791</c:v>
                </c:pt>
                <c:pt idx="368">
                  <c:v>0.17477235198020935</c:v>
                </c:pt>
                <c:pt idx="369">
                  <c:v>0.16776016354560852</c:v>
                </c:pt>
                <c:pt idx="370">
                  <c:v>0.14466580748558044</c:v>
                </c:pt>
                <c:pt idx="371">
                  <c:v>0.10769719630479813</c:v>
                </c:pt>
                <c:pt idx="372">
                  <c:v>0.10267611593008041</c:v>
                </c:pt>
                <c:pt idx="373">
                  <c:v>0.10391514748334885</c:v>
                </c:pt>
                <c:pt idx="374">
                  <c:v>0.10642564296722412</c:v>
                </c:pt>
                <c:pt idx="375">
                  <c:v>0.12809595465660095</c:v>
                </c:pt>
                <c:pt idx="376">
                  <c:v>0.13396191596984863</c:v>
                </c:pt>
                <c:pt idx="377">
                  <c:v>0.11289279162883759</c:v>
                </c:pt>
                <c:pt idx="378">
                  <c:v>8.3229720592498779E-2</c:v>
                </c:pt>
                <c:pt idx="379">
                  <c:v>8.6443744599819183E-2</c:v>
                </c:pt>
                <c:pt idx="380">
                  <c:v>8.0106392502784729E-2</c:v>
                </c:pt>
                <c:pt idx="381">
                  <c:v>8.2178592681884766E-2</c:v>
                </c:pt>
                <c:pt idx="382">
                  <c:v>7.6080828905105591E-2</c:v>
                </c:pt>
                <c:pt idx="383">
                  <c:v>6.8494141101837158E-2</c:v>
                </c:pt>
                <c:pt idx="384">
                  <c:v>6.7588359117507935E-2</c:v>
                </c:pt>
                <c:pt idx="385">
                  <c:v>6.2346749007701874E-2</c:v>
                </c:pt>
                <c:pt idx="386">
                  <c:v>5.7427689433097839E-2</c:v>
                </c:pt>
                <c:pt idx="387">
                  <c:v>5.508539080619812E-2</c:v>
                </c:pt>
                <c:pt idx="388">
                  <c:v>5.2819229662418365E-2</c:v>
                </c:pt>
                <c:pt idx="389">
                  <c:v>6.4926497638225555E-2</c:v>
                </c:pt>
                <c:pt idx="390">
                  <c:v>7.3164127767086029E-2</c:v>
                </c:pt>
                <c:pt idx="391">
                  <c:v>7.3164127767086029E-2</c:v>
                </c:pt>
                <c:pt idx="392">
                  <c:v>7.5098916888237E-2</c:v>
                </c:pt>
                <c:pt idx="393">
                  <c:v>6.8494141101837158E-2</c:v>
                </c:pt>
                <c:pt idx="394">
                  <c:v>8.1137500703334808E-2</c:v>
                </c:pt>
                <c:pt idx="395">
                  <c:v>0.11690521240234375</c:v>
                </c:pt>
                <c:pt idx="396">
                  <c:v>0.13396191596984863</c:v>
                </c:pt>
              </c:numCache>
            </c:numRef>
          </c:val>
          <c:smooth val="0"/>
          <c:extLst>
            <c:ext xmlns:c16="http://schemas.microsoft.com/office/drawing/2014/chart" uri="{C3380CC4-5D6E-409C-BE32-E72D297353CC}">
              <c16:uniqueId val="{00000001-36E2-4900-9901-458A2A794684}"/>
            </c:ext>
          </c:extLst>
        </c:ser>
        <c:ser>
          <c:idx val="5"/>
          <c:order val="5"/>
          <c:tx>
            <c:strRef>
              <c:f>Sheet1!$G$1</c:f>
              <c:strCache>
                <c:ptCount val="1"/>
                <c:pt idx="0">
                  <c:v>10y-2y spread</c:v>
                </c:pt>
              </c:strCache>
            </c:strRef>
          </c:tx>
          <c:spPr>
            <a:ln w="12700" cap="rnd">
              <a:solidFill>
                <a:schemeClr val="accent6"/>
              </a:solidFill>
              <a:round/>
            </a:ln>
            <a:effectLst/>
          </c:spPr>
          <c:marker>
            <c:symbol val="none"/>
          </c:marker>
          <c:cat>
            <c:strRef>
              <c:f>Sheet1!$A$2:$A$398</c:f>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f>Sheet1!$G$2:$G$398</c:f>
              <c:numCache>
                <c:formatCode>0.0000</c:formatCode>
                <c:ptCount val="397"/>
                <c:pt idx="0">
                  <c:v>0.17442241311073303</c:v>
                </c:pt>
                <c:pt idx="1">
                  <c:v>0.24957597255706787</c:v>
                </c:pt>
                <c:pt idx="2">
                  <c:v>0.24957597255706787</c:v>
                </c:pt>
                <c:pt idx="3">
                  <c:v>0.22838263213634491</c:v>
                </c:pt>
                <c:pt idx="4">
                  <c:v>0.22093428671360016</c:v>
                </c:pt>
                <c:pt idx="5">
                  <c:v>0.20469377934932709</c:v>
                </c:pt>
                <c:pt idx="6">
                  <c:v>0.24957597255706787</c:v>
                </c:pt>
                <c:pt idx="7">
                  <c:v>0.27590948343276978</c:v>
                </c:pt>
                <c:pt idx="8">
                  <c:v>0.24760709702968597</c:v>
                </c:pt>
                <c:pt idx="9">
                  <c:v>0.19770987331867218</c:v>
                </c:pt>
                <c:pt idx="10">
                  <c:v>0.21182236075401306</c:v>
                </c:pt>
                <c:pt idx="11">
                  <c:v>0.21002674102783203</c:v>
                </c:pt>
                <c:pt idx="12">
                  <c:v>0.14715979993343353</c:v>
                </c:pt>
                <c:pt idx="13">
                  <c:v>0.14715979993343353</c:v>
                </c:pt>
                <c:pt idx="14">
                  <c:v>0.1306622177362442</c:v>
                </c:pt>
                <c:pt idx="15">
                  <c:v>0.17602565884590149</c:v>
                </c:pt>
                <c:pt idx="16">
                  <c:v>0.21909415721893311</c:v>
                </c:pt>
                <c:pt idx="17">
                  <c:v>0.19598665833473206</c:v>
                </c:pt>
                <c:pt idx="18">
                  <c:v>0.22093428671360016</c:v>
                </c:pt>
                <c:pt idx="19">
                  <c:v>0.20646241307258606</c:v>
                </c:pt>
                <c:pt idx="20">
                  <c:v>0.18750807642936707</c:v>
                </c:pt>
                <c:pt idx="21">
                  <c:v>0.17124389111995697</c:v>
                </c:pt>
                <c:pt idx="22">
                  <c:v>0.15442921221256256</c:v>
                </c:pt>
                <c:pt idx="23">
                  <c:v>0.17442241311073303</c:v>
                </c:pt>
                <c:pt idx="24">
                  <c:v>0.18583996593952179</c:v>
                </c:pt>
                <c:pt idx="25">
                  <c:v>0.18089109659194946</c:v>
                </c:pt>
                <c:pt idx="26">
                  <c:v>0.13601309061050415</c:v>
                </c:pt>
                <c:pt idx="27">
                  <c:v>0.14291004836559296</c:v>
                </c:pt>
                <c:pt idx="28">
                  <c:v>0.17124389111995697</c:v>
                </c:pt>
                <c:pt idx="29">
                  <c:v>0.19598665833473206</c:v>
                </c:pt>
                <c:pt idx="30">
                  <c:v>0.17602565884590149</c:v>
                </c:pt>
                <c:pt idx="31">
                  <c:v>0.23788838088512421</c:v>
                </c:pt>
                <c:pt idx="32">
                  <c:v>0.22650742530822754</c:v>
                </c:pt>
                <c:pt idx="33">
                  <c:v>0.22464095056056976</c:v>
                </c:pt>
                <c:pt idx="34">
                  <c:v>0.29920876026153564</c:v>
                </c:pt>
                <c:pt idx="35">
                  <c:v>0.32783854007720947</c:v>
                </c:pt>
                <c:pt idx="36">
                  <c:v>0.35983982682228088</c:v>
                </c:pt>
                <c:pt idx="37">
                  <c:v>0.458547443151474</c:v>
                </c:pt>
                <c:pt idx="38">
                  <c:v>0.48326960206031799</c:v>
                </c:pt>
                <c:pt idx="39">
                  <c:v>0.37387782335281372</c:v>
                </c:pt>
                <c:pt idx="40">
                  <c:v>0.39046823978424072</c:v>
                </c:pt>
                <c:pt idx="41">
                  <c:v>0.37859565019607544</c:v>
                </c:pt>
                <c:pt idx="42">
                  <c:v>0.36449927091598511</c:v>
                </c:pt>
                <c:pt idx="43">
                  <c:v>0.44378462433815002</c:v>
                </c:pt>
                <c:pt idx="44">
                  <c:v>0.40485039353370667</c:v>
                </c:pt>
                <c:pt idx="45">
                  <c:v>0.42179214954376221</c:v>
                </c:pt>
                <c:pt idx="46">
                  <c:v>0.54761064052581787</c:v>
                </c:pt>
                <c:pt idx="47">
                  <c:v>0.56234359741210938</c:v>
                </c:pt>
                <c:pt idx="48">
                  <c:v>0.48079290986061096</c:v>
                </c:pt>
                <c:pt idx="49">
                  <c:v>0.54268401861190796</c:v>
                </c:pt>
                <c:pt idx="50">
                  <c:v>0.55744117498397827</c:v>
                </c:pt>
                <c:pt idx="51">
                  <c:v>0.53034043312072754</c:v>
                </c:pt>
                <c:pt idx="52">
                  <c:v>0.51549059152603149</c:v>
                </c:pt>
                <c:pt idx="53">
                  <c:v>0.44624024629592896</c:v>
                </c:pt>
                <c:pt idx="54">
                  <c:v>0.45115759968757629</c:v>
                </c:pt>
                <c:pt idx="55">
                  <c:v>0.25954383611679077</c:v>
                </c:pt>
                <c:pt idx="56">
                  <c:v>0.19427259266376495</c:v>
                </c:pt>
                <c:pt idx="57">
                  <c:v>0.23981523513793945</c:v>
                </c:pt>
                <c:pt idx="58">
                  <c:v>0.22278322279453278</c:v>
                </c:pt>
                <c:pt idx="59">
                  <c:v>0.26971340179443359</c:v>
                </c:pt>
                <c:pt idx="60">
                  <c:v>0.22464095056056976</c:v>
                </c:pt>
                <c:pt idx="61">
                  <c:v>0.20118364691734314</c:v>
                </c:pt>
                <c:pt idx="62">
                  <c:v>0.19770987331867218</c:v>
                </c:pt>
                <c:pt idx="63">
                  <c:v>0.19256769120693207</c:v>
                </c:pt>
                <c:pt idx="64">
                  <c:v>0.16193214058876038</c:v>
                </c:pt>
                <c:pt idx="65">
                  <c:v>0.1319860965013504</c:v>
                </c:pt>
                <c:pt idx="66">
                  <c:v>0.14859502017498016</c:v>
                </c:pt>
                <c:pt idx="67">
                  <c:v>0.13466152548789978</c:v>
                </c:pt>
                <c:pt idx="68">
                  <c:v>0.1204015240073204</c:v>
                </c:pt>
                <c:pt idx="69">
                  <c:v>6.6503547132015228E-2</c:v>
                </c:pt>
                <c:pt idx="70">
                  <c:v>9.1010518372058868E-2</c:v>
                </c:pt>
                <c:pt idx="71">
                  <c:v>9.410133957862854E-2</c:v>
                </c:pt>
                <c:pt idx="72">
                  <c:v>9.2032313346862793E-2</c:v>
                </c:pt>
                <c:pt idx="73">
                  <c:v>9.6204489469528198E-2</c:v>
                </c:pt>
                <c:pt idx="74">
                  <c:v>0.1293475478887558</c:v>
                </c:pt>
                <c:pt idx="75">
                  <c:v>8.1251487135887146E-2</c:v>
                </c:pt>
                <c:pt idx="76">
                  <c:v>5.3918179124593735E-2</c:v>
                </c:pt>
                <c:pt idx="77">
                  <c:v>3.8920212537050247E-2</c:v>
                </c:pt>
                <c:pt idx="78">
                  <c:v>2.95367781072855E-2</c:v>
                </c:pt>
                <c:pt idx="79">
                  <c:v>2.7905825525522232E-2</c:v>
                </c:pt>
                <c:pt idx="80">
                  <c:v>0.11072194576263428</c:v>
                </c:pt>
                <c:pt idx="81">
                  <c:v>4.2167462408542633E-2</c:v>
                </c:pt>
                <c:pt idx="82">
                  <c:v>0.1204015240073204</c:v>
                </c:pt>
                <c:pt idx="83">
                  <c:v>0.10272093117237091</c:v>
                </c:pt>
                <c:pt idx="84">
                  <c:v>8.7995633482933044E-2</c:v>
                </c:pt>
                <c:pt idx="85">
                  <c:v>0.10723988711833954</c:v>
                </c:pt>
                <c:pt idx="86">
                  <c:v>8.4092482924461365E-2</c:v>
                </c:pt>
                <c:pt idx="87">
                  <c:v>9.1010518372058868E-2</c:v>
                </c:pt>
                <c:pt idx="88">
                  <c:v>7.4904844164848328E-2</c:v>
                </c:pt>
                <c:pt idx="89">
                  <c:v>5.5990561842918396E-2</c:v>
                </c:pt>
                <c:pt idx="90">
                  <c:v>3.5879582166671753E-2</c:v>
                </c:pt>
                <c:pt idx="91">
                  <c:v>5.1907002925872803E-2</c:v>
                </c:pt>
                <c:pt idx="92">
                  <c:v>6.4130909740924835E-2</c:v>
                </c:pt>
                <c:pt idx="93">
                  <c:v>3.8920212537050247E-2</c:v>
                </c:pt>
                <c:pt idx="94">
                  <c:v>3.0811257660388947E-2</c:v>
                </c:pt>
                <c:pt idx="95">
                  <c:v>2.830636128783226E-2</c:v>
                </c:pt>
                <c:pt idx="96">
                  <c:v>1.9620506092905998E-2</c:v>
                </c:pt>
                <c:pt idx="97">
                  <c:v>2.9956651851534843E-2</c:v>
                </c:pt>
                <c:pt idx="98">
                  <c:v>7.2303555905818939E-2</c:v>
                </c:pt>
                <c:pt idx="99">
                  <c:v>8.4092482924461365E-2</c:v>
                </c:pt>
                <c:pt idx="100">
                  <c:v>9.6204489469528198E-2</c:v>
                </c:pt>
                <c:pt idx="101">
                  <c:v>0.12418068945407867</c:v>
                </c:pt>
                <c:pt idx="102">
                  <c:v>8.6027495563030243E-2</c:v>
                </c:pt>
                <c:pt idx="103">
                  <c:v>8.1251487135887146E-2</c:v>
                </c:pt>
                <c:pt idx="104">
                  <c:v>5.8125272393226624E-2</c:v>
                </c:pt>
                <c:pt idx="105">
                  <c:v>5.2570667117834091E-2</c:v>
                </c:pt>
                <c:pt idx="106">
                  <c:v>8.0320768058300018E-2</c:v>
                </c:pt>
                <c:pt idx="107">
                  <c:v>0.20293417572975159</c:v>
                </c:pt>
                <c:pt idx="108">
                  <c:v>0.16810263693332672</c:v>
                </c:pt>
                <c:pt idx="109">
                  <c:v>0.1306622177362442</c:v>
                </c:pt>
                <c:pt idx="110">
                  <c:v>0.14431731402873993</c:v>
                </c:pt>
                <c:pt idx="111">
                  <c:v>0.13601309061050415</c:v>
                </c:pt>
                <c:pt idx="112">
                  <c:v>0.11308789253234863</c:v>
                </c:pt>
                <c:pt idx="113">
                  <c:v>8.7995633482933044E-2</c:v>
                </c:pt>
                <c:pt idx="114">
                  <c:v>8.8992215692996979E-2</c:v>
                </c:pt>
                <c:pt idx="115">
                  <c:v>0.10051406174898148</c:v>
                </c:pt>
                <c:pt idx="116">
                  <c:v>0.11308789253234863</c:v>
                </c:pt>
                <c:pt idx="117">
                  <c:v>0.10839168727397919</c:v>
                </c:pt>
                <c:pt idx="118">
                  <c:v>8.3137311041355133E-2</c:v>
                </c:pt>
                <c:pt idx="119">
                  <c:v>7.4029929935932159E-2</c:v>
                </c:pt>
                <c:pt idx="120">
                  <c:v>4.6229355037212372E-2</c:v>
                </c:pt>
                <c:pt idx="121">
                  <c:v>3.8920212537050247E-2</c:v>
                </c:pt>
                <c:pt idx="122">
                  <c:v>5.2570667117834091E-2</c:v>
                </c:pt>
                <c:pt idx="123">
                  <c:v>4.272940382361412E-2</c:v>
                </c:pt>
                <c:pt idx="124">
                  <c:v>4.272940382361412E-2</c:v>
                </c:pt>
                <c:pt idx="125">
                  <c:v>5.3918179124593735E-2</c:v>
                </c:pt>
                <c:pt idx="126">
                  <c:v>4.5630544424057007E-2</c:v>
                </c:pt>
                <c:pt idx="127">
                  <c:v>3.2581057399511337E-2</c:v>
                </c:pt>
                <c:pt idx="128">
                  <c:v>1.9620506092905998E-2</c:v>
                </c:pt>
                <c:pt idx="129">
                  <c:v>2.022022008895874E-2</c:v>
                </c:pt>
                <c:pt idx="130">
                  <c:v>1.5344503335654736E-2</c:v>
                </c:pt>
                <c:pt idx="131">
                  <c:v>1.6079101711511612E-2</c:v>
                </c:pt>
                <c:pt idx="132">
                  <c:v>1.9620506092905998E-2</c:v>
                </c:pt>
                <c:pt idx="133">
                  <c:v>2.3456934839487076E-2</c:v>
                </c:pt>
                <c:pt idx="134">
                  <c:v>2.8711671009659767E-2</c:v>
                </c:pt>
                <c:pt idx="135">
                  <c:v>3.1685948371887207E-2</c:v>
                </c:pt>
                <c:pt idx="136">
                  <c:v>2.7118910104036331E-2</c:v>
                </c:pt>
                <c:pt idx="137">
                  <c:v>3.2130930572748184E-2</c:v>
                </c:pt>
                <c:pt idx="138">
                  <c:v>6.6503547132015228E-2</c:v>
                </c:pt>
                <c:pt idx="139">
                  <c:v>3.5392254590988159E-2</c:v>
                </c:pt>
                <c:pt idx="140">
                  <c:v>7.3162846267223358E-2</c:v>
                </c:pt>
                <c:pt idx="141">
                  <c:v>8.4092482924461365E-2</c:v>
                </c:pt>
                <c:pt idx="142">
                  <c:v>0.10272093117237091</c:v>
                </c:pt>
                <c:pt idx="143">
                  <c:v>0.14859502017498016</c:v>
                </c:pt>
                <c:pt idx="144">
                  <c:v>0.1333191841840744</c:v>
                </c:pt>
                <c:pt idx="145">
                  <c:v>0.17124389111995697</c:v>
                </c:pt>
                <c:pt idx="146">
                  <c:v>0.16346074640750885</c:v>
                </c:pt>
                <c:pt idx="147">
                  <c:v>0.1792600005865097</c:v>
                </c:pt>
                <c:pt idx="148">
                  <c:v>0.19944220781326294</c:v>
                </c:pt>
                <c:pt idx="149">
                  <c:v>0.2172628790140152</c:v>
                </c:pt>
                <c:pt idx="150">
                  <c:v>0.20293417572975159</c:v>
                </c:pt>
                <c:pt idx="151">
                  <c:v>0.19770987331867218</c:v>
                </c:pt>
                <c:pt idx="152">
                  <c:v>0.19944220781326294</c:v>
                </c:pt>
                <c:pt idx="153">
                  <c:v>0.16041286289691925</c:v>
                </c:pt>
                <c:pt idx="154">
                  <c:v>0.20118364691734314</c:v>
                </c:pt>
                <c:pt idx="155">
                  <c:v>0.21362695097923279</c:v>
                </c:pt>
                <c:pt idx="156">
                  <c:v>0.21544046700000763</c:v>
                </c:pt>
                <c:pt idx="157">
                  <c:v>0.22838263213634491</c:v>
                </c:pt>
                <c:pt idx="158">
                  <c:v>0.20293417572975159</c:v>
                </c:pt>
                <c:pt idx="159">
                  <c:v>0.18089109659194946</c:v>
                </c:pt>
                <c:pt idx="160">
                  <c:v>0.19427259266376495</c:v>
                </c:pt>
                <c:pt idx="161">
                  <c:v>0.18089109659194946</c:v>
                </c:pt>
                <c:pt idx="162">
                  <c:v>0.19427259266376495</c:v>
                </c:pt>
                <c:pt idx="163">
                  <c:v>0.21182236075401306</c:v>
                </c:pt>
                <c:pt idx="164">
                  <c:v>0.1841810941696167</c:v>
                </c:pt>
                <c:pt idx="165">
                  <c:v>0.19598665833473206</c:v>
                </c:pt>
                <c:pt idx="166">
                  <c:v>0.19770987331867218</c:v>
                </c:pt>
                <c:pt idx="167">
                  <c:v>0.18583996593952179</c:v>
                </c:pt>
                <c:pt idx="168">
                  <c:v>0.1792600005865097</c:v>
                </c:pt>
                <c:pt idx="169">
                  <c:v>0.22464095056056976</c:v>
                </c:pt>
                <c:pt idx="170">
                  <c:v>0.241750568151474</c:v>
                </c:pt>
                <c:pt idx="171">
                  <c:v>0.2321590930223465</c:v>
                </c:pt>
                <c:pt idx="172">
                  <c:v>0.28427821397781372</c:v>
                </c:pt>
                <c:pt idx="173">
                  <c:v>0.26156178116798401</c:v>
                </c:pt>
                <c:pt idx="174">
                  <c:v>0.26358777284622192</c:v>
                </c:pt>
                <c:pt idx="175">
                  <c:v>0.2676636278629303</c:v>
                </c:pt>
                <c:pt idx="176">
                  <c:v>0.23406027257442474</c:v>
                </c:pt>
                <c:pt idx="177">
                  <c:v>0.23981523513793945</c:v>
                </c:pt>
                <c:pt idx="178">
                  <c:v>0.26562172174453735</c:v>
                </c:pt>
                <c:pt idx="179">
                  <c:v>0.23026652634143829</c:v>
                </c:pt>
                <c:pt idx="180">
                  <c:v>0.15740235149860382</c:v>
                </c:pt>
                <c:pt idx="181">
                  <c:v>0.15149344503879547</c:v>
                </c:pt>
                <c:pt idx="182">
                  <c:v>0.128042072057724</c:v>
                </c:pt>
                <c:pt idx="183">
                  <c:v>0.10609693080186844</c:v>
                </c:pt>
                <c:pt idx="184">
                  <c:v>9.8341986536979675E-2</c:v>
                </c:pt>
                <c:pt idx="185">
                  <c:v>0.11072194576263428</c:v>
                </c:pt>
                <c:pt idx="186">
                  <c:v>9.2032313346862793E-2</c:v>
                </c:pt>
                <c:pt idx="187">
                  <c:v>8.5055865347385406E-2</c:v>
                </c:pt>
                <c:pt idx="188">
                  <c:v>2.9121793806552887E-2</c:v>
                </c:pt>
                <c:pt idx="189">
                  <c:v>2.9121793806552887E-2</c:v>
                </c:pt>
                <c:pt idx="190">
                  <c:v>2.7118910104036331E-2</c:v>
                </c:pt>
                <c:pt idx="191">
                  <c:v>1.9035961478948593E-2</c:v>
                </c:pt>
                <c:pt idx="192">
                  <c:v>2.0835405215620995E-2</c:v>
                </c:pt>
                <c:pt idx="193">
                  <c:v>2.38033477216959E-2</c:v>
                </c:pt>
                <c:pt idx="194">
                  <c:v>6.8122677505016327E-2</c:v>
                </c:pt>
                <c:pt idx="195">
                  <c:v>5.74067123234272E-2</c:v>
                </c:pt>
                <c:pt idx="196">
                  <c:v>6.4130909740924835E-2</c:v>
                </c:pt>
                <c:pt idx="197">
                  <c:v>5.0599664449691772E-2</c:v>
                </c:pt>
                <c:pt idx="198">
                  <c:v>3.0381465330719948E-2</c:v>
                </c:pt>
                <c:pt idx="199">
                  <c:v>4.5630544424057007E-2</c:v>
                </c:pt>
                <c:pt idx="200">
                  <c:v>5.6695148348808289E-2</c:v>
                </c:pt>
                <c:pt idx="201">
                  <c:v>3.6870736628770828E-2</c:v>
                </c:pt>
                <c:pt idx="202">
                  <c:v>3.9979215711355209E-2</c:v>
                </c:pt>
                <c:pt idx="203">
                  <c:v>4.0517430752515793E-2</c:v>
                </c:pt>
                <c:pt idx="204">
                  <c:v>5.1907002925872803E-2</c:v>
                </c:pt>
                <c:pt idx="205">
                  <c:v>5.3918179124593735E-2</c:v>
                </c:pt>
                <c:pt idx="206">
                  <c:v>6.8122677505016327E-2</c:v>
                </c:pt>
                <c:pt idx="207">
                  <c:v>7.1452021598815918E-2</c:v>
                </c:pt>
                <c:pt idx="208">
                  <c:v>6.4914360642433167E-2</c:v>
                </c:pt>
                <c:pt idx="209">
                  <c:v>6.5705224871635437E-2</c:v>
                </c:pt>
                <c:pt idx="210">
                  <c:v>2.95367781072855E-2</c:v>
                </c:pt>
                <c:pt idx="211">
                  <c:v>3.6372397094964981E-2</c:v>
                </c:pt>
                <c:pt idx="212">
                  <c:v>4.5037984848022461E-2</c:v>
                </c:pt>
                <c:pt idx="213">
                  <c:v>3.9979215711355209E-2</c:v>
                </c:pt>
                <c:pt idx="214">
                  <c:v>4.5630544424057007E-2</c:v>
                </c:pt>
                <c:pt idx="215">
                  <c:v>4.0517430752515793E-2</c:v>
                </c:pt>
                <c:pt idx="216">
                  <c:v>2.7905825525522232E-2</c:v>
                </c:pt>
                <c:pt idx="217">
                  <c:v>2.597331628203392E-2</c:v>
                </c:pt>
                <c:pt idx="218">
                  <c:v>3.0811257660388947E-2</c:v>
                </c:pt>
                <c:pt idx="219">
                  <c:v>3.2130930572748184E-2</c:v>
                </c:pt>
                <c:pt idx="220">
                  <c:v>4.1061516851186752E-2</c:v>
                </c:pt>
                <c:pt idx="221">
                  <c:v>4.5630544424057007E-2</c:v>
                </c:pt>
                <c:pt idx="222">
                  <c:v>4.8063728958368301E-2</c:v>
                </c:pt>
                <c:pt idx="223">
                  <c:v>4.3297387659549713E-2</c:v>
                </c:pt>
                <c:pt idx="224">
                  <c:v>6.7309349775314331E-2</c:v>
                </c:pt>
                <c:pt idx="225">
                  <c:v>6.8122677505016327E-2</c:v>
                </c:pt>
                <c:pt idx="226">
                  <c:v>6.9772064685821533E-2</c:v>
                </c:pt>
                <c:pt idx="227">
                  <c:v>6.4130909740924835E-2</c:v>
                </c:pt>
                <c:pt idx="228">
                  <c:v>5.9583581984043121E-2</c:v>
                </c:pt>
                <c:pt idx="229">
                  <c:v>6.4130909740924835E-2</c:v>
                </c:pt>
                <c:pt idx="230">
                  <c:v>9.2032313346862793E-2</c:v>
                </c:pt>
                <c:pt idx="231">
                  <c:v>8.7995633482933044E-2</c:v>
                </c:pt>
                <c:pt idx="232">
                  <c:v>9.3062572181224823E-2</c:v>
                </c:pt>
                <c:pt idx="233">
                  <c:v>0.10051406174898148</c:v>
                </c:pt>
                <c:pt idx="234">
                  <c:v>0.10955236852169037</c:v>
                </c:pt>
                <c:pt idx="235">
                  <c:v>0.11670408397912979</c:v>
                </c:pt>
                <c:pt idx="236">
                  <c:v>0.1387440413236618</c:v>
                </c:pt>
                <c:pt idx="237">
                  <c:v>0.15003956854343414</c:v>
                </c:pt>
                <c:pt idx="238">
                  <c:v>0.19256769120693207</c:v>
                </c:pt>
                <c:pt idx="239">
                  <c:v>0.22093428671360016</c:v>
                </c:pt>
                <c:pt idx="240">
                  <c:v>0.19427259266376495</c:v>
                </c:pt>
                <c:pt idx="241">
                  <c:v>0.21002674102783203</c:v>
                </c:pt>
                <c:pt idx="242">
                  <c:v>0.19944220781326294</c:v>
                </c:pt>
                <c:pt idx="243">
                  <c:v>0.18583996593952179</c:v>
                </c:pt>
                <c:pt idx="244">
                  <c:v>0.19598665833473206</c:v>
                </c:pt>
                <c:pt idx="245">
                  <c:v>0.21182236075401306</c:v>
                </c:pt>
                <c:pt idx="246">
                  <c:v>0.20293417572975159</c:v>
                </c:pt>
                <c:pt idx="247">
                  <c:v>0.22650742530822754</c:v>
                </c:pt>
                <c:pt idx="248">
                  <c:v>0.22838263213634491</c:v>
                </c:pt>
                <c:pt idx="249">
                  <c:v>0.22838263213634491</c:v>
                </c:pt>
                <c:pt idx="250">
                  <c:v>0.23788838088512421</c:v>
                </c:pt>
                <c:pt idx="251">
                  <c:v>0.2321590930223465</c:v>
                </c:pt>
                <c:pt idx="252">
                  <c:v>0.2321590930223465</c:v>
                </c:pt>
                <c:pt idx="253">
                  <c:v>0.23406027257442474</c:v>
                </c:pt>
                <c:pt idx="254">
                  <c:v>0.21909415721893311</c:v>
                </c:pt>
                <c:pt idx="255">
                  <c:v>0.241750568151474</c:v>
                </c:pt>
                <c:pt idx="256">
                  <c:v>0.26156178116798401</c:v>
                </c:pt>
                <c:pt idx="257">
                  <c:v>0.24957597255706787</c:v>
                </c:pt>
                <c:pt idx="258">
                  <c:v>0.2676636278629303</c:v>
                </c:pt>
                <c:pt idx="259">
                  <c:v>0.2172628790140152</c:v>
                </c:pt>
                <c:pt idx="260">
                  <c:v>0.19944220781326294</c:v>
                </c:pt>
                <c:pt idx="261">
                  <c:v>0.21909415721893311</c:v>
                </c:pt>
                <c:pt idx="262">
                  <c:v>0.18918541073799133</c:v>
                </c:pt>
                <c:pt idx="263">
                  <c:v>0.20469377934932709</c:v>
                </c:pt>
                <c:pt idx="264">
                  <c:v>0.1293475478887558</c:v>
                </c:pt>
                <c:pt idx="265">
                  <c:v>0.12291185557842255</c:v>
                </c:pt>
                <c:pt idx="266">
                  <c:v>0.11072194576263428</c:v>
                </c:pt>
                <c:pt idx="267">
                  <c:v>0.1119004413485527</c:v>
                </c:pt>
                <c:pt idx="268">
                  <c:v>0.14573390781879425</c:v>
                </c:pt>
                <c:pt idx="269">
                  <c:v>0.16193214058876038</c:v>
                </c:pt>
                <c:pt idx="270">
                  <c:v>0.12291185557842255</c:v>
                </c:pt>
                <c:pt idx="271">
                  <c:v>0.12165214121341705</c:v>
                </c:pt>
                <c:pt idx="272">
                  <c:v>0.11670408397912979</c:v>
                </c:pt>
                <c:pt idx="273">
                  <c:v>4.2167462408542633E-2</c:v>
                </c:pt>
                <c:pt idx="274">
                  <c:v>4.4451631605625153E-2</c:v>
                </c:pt>
                <c:pt idx="275">
                  <c:v>4.6229355037212372E-2</c:v>
                </c:pt>
                <c:pt idx="276">
                  <c:v>4.6229355037212372E-2</c:v>
                </c:pt>
                <c:pt idx="277">
                  <c:v>4.0517430752515793E-2</c:v>
                </c:pt>
                <c:pt idx="278">
                  <c:v>3.34969162940979E-2</c:v>
                </c:pt>
                <c:pt idx="279">
                  <c:v>2.3114772513508797E-2</c:v>
                </c:pt>
                <c:pt idx="280">
                  <c:v>1.7105294391512871E-2</c:v>
                </c:pt>
                <c:pt idx="281">
                  <c:v>2.0525861531496048E-2</c:v>
                </c:pt>
                <c:pt idx="282">
                  <c:v>2.38033477216959E-2</c:v>
                </c:pt>
                <c:pt idx="283">
                  <c:v>2.3114772513508797E-2</c:v>
                </c:pt>
                <c:pt idx="284">
                  <c:v>2.4868490174412727E-2</c:v>
                </c:pt>
                <c:pt idx="285">
                  <c:v>2.597331628203392E-2</c:v>
                </c:pt>
                <c:pt idx="286">
                  <c:v>2.3114772513508797E-2</c:v>
                </c:pt>
                <c:pt idx="287">
                  <c:v>2.0835405215620995E-2</c:v>
                </c:pt>
                <c:pt idx="288">
                  <c:v>2.2113397717475891E-2</c:v>
                </c:pt>
                <c:pt idx="289">
                  <c:v>2.2776823490858078E-2</c:v>
                </c:pt>
                <c:pt idx="290">
                  <c:v>3.3962737768888474E-2</c:v>
                </c:pt>
                <c:pt idx="291">
                  <c:v>4.1061516851186752E-2</c:v>
                </c:pt>
                <c:pt idx="292">
                  <c:v>4.4451631605625153E-2</c:v>
                </c:pt>
                <c:pt idx="293">
                  <c:v>4.1061516851186752E-2</c:v>
                </c:pt>
                <c:pt idx="294">
                  <c:v>4.5037984848022461E-2</c:v>
                </c:pt>
                <c:pt idx="295">
                  <c:v>4.6229355037212372E-2</c:v>
                </c:pt>
                <c:pt idx="296">
                  <c:v>6.3354827463626862E-2</c:v>
                </c:pt>
                <c:pt idx="297">
                  <c:v>5.6695148348808289E-2</c:v>
                </c:pt>
                <c:pt idx="298">
                  <c:v>5.5990561842918396E-2</c:v>
                </c:pt>
                <c:pt idx="299">
                  <c:v>5.4602116346359253E-2</c:v>
                </c:pt>
                <c:pt idx="300">
                  <c:v>4.3871447443962097E-2</c:v>
                </c:pt>
                <c:pt idx="301">
                  <c:v>5.0599664449691772E-2</c:v>
                </c:pt>
                <c:pt idx="302">
                  <c:v>5.1250018179416656E-2</c:v>
                </c:pt>
                <c:pt idx="303">
                  <c:v>5.3241044282913208E-2</c:v>
                </c:pt>
                <c:pt idx="304">
                  <c:v>5.3241044282913208E-2</c:v>
                </c:pt>
                <c:pt idx="305">
                  <c:v>5.0599664449691772E-2</c:v>
                </c:pt>
                <c:pt idx="306">
                  <c:v>5.8850880712270737E-2</c:v>
                </c:pt>
                <c:pt idx="307">
                  <c:v>5.8850880712270737E-2</c:v>
                </c:pt>
                <c:pt idx="308">
                  <c:v>6.9772064685821533E-2</c:v>
                </c:pt>
                <c:pt idx="309">
                  <c:v>6.7309349775314331E-2</c:v>
                </c:pt>
                <c:pt idx="310">
                  <c:v>8.1251487135887146E-2</c:v>
                </c:pt>
                <c:pt idx="311">
                  <c:v>9.2032313346862793E-2</c:v>
                </c:pt>
                <c:pt idx="312">
                  <c:v>9.3062572181224823E-2</c:v>
                </c:pt>
                <c:pt idx="313">
                  <c:v>0.10839168727397919</c:v>
                </c:pt>
                <c:pt idx="314">
                  <c:v>0.10272093117237091</c:v>
                </c:pt>
                <c:pt idx="315">
                  <c:v>0.13466152548789978</c:v>
                </c:pt>
                <c:pt idx="316">
                  <c:v>0.1333191841840744</c:v>
                </c:pt>
                <c:pt idx="317">
                  <c:v>0.1267457902431488</c:v>
                </c:pt>
                <c:pt idx="318">
                  <c:v>0.1387440413236618</c:v>
                </c:pt>
                <c:pt idx="319">
                  <c:v>0.13737393915653229</c:v>
                </c:pt>
                <c:pt idx="320">
                  <c:v>0.13601309061050415</c:v>
                </c:pt>
                <c:pt idx="321">
                  <c:v>0.1293475478887558</c:v>
                </c:pt>
                <c:pt idx="322">
                  <c:v>0.14012342691421509</c:v>
                </c:pt>
                <c:pt idx="323">
                  <c:v>0.1306622177362442</c:v>
                </c:pt>
                <c:pt idx="324">
                  <c:v>0.11428429931402206</c:v>
                </c:pt>
                <c:pt idx="325">
                  <c:v>0.11072194576263428</c:v>
                </c:pt>
                <c:pt idx="326">
                  <c:v>0.12291185557842255</c:v>
                </c:pt>
                <c:pt idx="327">
                  <c:v>0.1204015240073204</c:v>
                </c:pt>
                <c:pt idx="328">
                  <c:v>9.5148630440235138E-2</c:v>
                </c:pt>
                <c:pt idx="329">
                  <c:v>6.9772064685821533E-2</c:v>
                </c:pt>
                <c:pt idx="330">
                  <c:v>6.7309349775314331E-2</c:v>
                </c:pt>
                <c:pt idx="331">
                  <c:v>5.74067123234272E-2</c:v>
                </c:pt>
                <c:pt idx="332">
                  <c:v>6.2586076557636261E-2</c:v>
                </c:pt>
                <c:pt idx="333">
                  <c:v>6.5705224871635437E-2</c:v>
                </c:pt>
                <c:pt idx="334">
                  <c:v>5.6695148348808289E-2</c:v>
                </c:pt>
                <c:pt idx="335">
                  <c:v>4.6834461390972137E-2</c:v>
                </c:pt>
                <c:pt idx="336">
                  <c:v>5.9583581984043121E-2</c:v>
                </c:pt>
                <c:pt idx="337">
                  <c:v>5.6695148348808289E-2</c:v>
                </c:pt>
                <c:pt idx="338">
                  <c:v>6.0323409736156464E-2</c:v>
                </c:pt>
                <c:pt idx="339">
                  <c:v>6.4130909740924835E-2</c:v>
                </c:pt>
                <c:pt idx="340">
                  <c:v>7.7576927840709686E-2</c:v>
                </c:pt>
                <c:pt idx="341">
                  <c:v>8.0320768058300018E-2</c:v>
                </c:pt>
                <c:pt idx="342">
                  <c:v>8.8992215692996979E-2</c:v>
                </c:pt>
                <c:pt idx="343">
                  <c:v>0.10609693080186844</c:v>
                </c:pt>
                <c:pt idx="344">
                  <c:v>8.8992215692996979E-2</c:v>
                </c:pt>
                <c:pt idx="345">
                  <c:v>9.410133957862854E-2</c:v>
                </c:pt>
                <c:pt idx="346">
                  <c:v>0.10272093117237091</c:v>
                </c:pt>
                <c:pt idx="347">
                  <c:v>0.1204015240073204</c:v>
                </c:pt>
                <c:pt idx="348">
                  <c:v>0.1049627959728241</c:v>
                </c:pt>
                <c:pt idx="349">
                  <c:v>0.1119004413485527</c:v>
                </c:pt>
                <c:pt idx="350">
                  <c:v>0.11308789253234863</c:v>
                </c:pt>
                <c:pt idx="351">
                  <c:v>0.1049627959728241</c:v>
                </c:pt>
                <c:pt idx="352">
                  <c:v>9.1010518372058868E-2</c:v>
                </c:pt>
                <c:pt idx="353">
                  <c:v>7.8483521938323975E-2</c:v>
                </c:pt>
                <c:pt idx="354">
                  <c:v>8.8992215692996979E-2</c:v>
                </c:pt>
                <c:pt idx="355">
                  <c:v>8.8992215692996979E-2</c:v>
                </c:pt>
                <c:pt idx="356">
                  <c:v>0.10383747518062592</c:v>
                </c:pt>
                <c:pt idx="357">
                  <c:v>0.10272093117237091</c:v>
                </c:pt>
                <c:pt idx="358">
                  <c:v>9.9423691630363464E-2</c:v>
                </c:pt>
                <c:pt idx="359">
                  <c:v>0.10383747518062592</c:v>
                </c:pt>
                <c:pt idx="360">
                  <c:v>0.11548969149589539</c:v>
                </c:pt>
                <c:pt idx="361">
                  <c:v>0.13601309061050415</c:v>
                </c:pt>
                <c:pt idx="362">
                  <c:v>0.1319860965013504</c:v>
                </c:pt>
                <c:pt idx="363">
                  <c:v>0.11548969149589539</c:v>
                </c:pt>
                <c:pt idx="364">
                  <c:v>0.12418068945407867</c:v>
                </c:pt>
                <c:pt idx="365">
                  <c:v>0.14715979993343353</c:v>
                </c:pt>
                <c:pt idx="366">
                  <c:v>0.16041286289691925</c:v>
                </c:pt>
                <c:pt idx="367">
                  <c:v>0.16810263693332672</c:v>
                </c:pt>
                <c:pt idx="368">
                  <c:v>0.16346074640750885</c:v>
                </c:pt>
                <c:pt idx="369">
                  <c:v>0.14573390781879425</c:v>
                </c:pt>
                <c:pt idx="370">
                  <c:v>0.10839168727397919</c:v>
                </c:pt>
                <c:pt idx="371">
                  <c:v>0.10051406174898148</c:v>
                </c:pt>
                <c:pt idx="372">
                  <c:v>9.5148630440235138E-2</c:v>
                </c:pt>
                <c:pt idx="373">
                  <c:v>0.10272093117237091</c:v>
                </c:pt>
                <c:pt idx="374">
                  <c:v>0.10955236852169037</c:v>
                </c:pt>
                <c:pt idx="375">
                  <c:v>0.12545865774154663</c:v>
                </c:pt>
                <c:pt idx="376">
                  <c:v>0.128042072057724</c:v>
                </c:pt>
                <c:pt idx="377">
                  <c:v>0.14859502017498016</c:v>
                </c:pt>
                <c:pt idx="378">
                  <c:v>0.1333191841840744</c:v>
                </c:pt>
                <c:pt idx="379">
                  <c:v>0.14431731402873993</c:v>
                </c:pt>
                <c:pt idx="380">
                  <c:v>0.15149344503879547</c:v>
                </c:pt>
                <c:pt idx="381">
                  <c:v>0.14715979993343353</c:v>
                </c:pt>
                <c:pt idx="382">
                  <c:v>0.16654601693153381</c:v>
                </c:pt>
                <c:pt idx="383">
                  <c:v>0.18750807642936707</c:v>
                </c:pt>
                <c:pt idx="384">
                  <c:v>0.16654601693153381</c:v>
                </c:pt>
                <c:pt idx="385">
                  <c:v>0.16654601693153381</c:v>
                </c:pt>
                <c:pt idx="386">
                  <c:v>0.18918541073799133</c:v>
                </c:pt>
                <c:pt idx="387">
                  <c:v>0.16810263693332672</c:v>
                </c:pt>
                <c:pt idx="388">
                  <c:v>0.18583996593952179</c:v>
                </c:pt>
                <c:pt idx="389">
                  <c:v>0.19256769120693207</c:v>
                </c:pt>
                <c:pt idx="390">
                  <c:v>0.20293417572975159</c:v>
                </c:pt>
                <c:pt idx="391">
                  <c:v>0.21182236075401306</c:v>
                </c:pt>
                <c:pt idx="392">
                  <c:v>0.20293417572975159</c:v>
                </c:pt>
                <c:pt idx="393">
                  <c:v>0.21544046700000763</c:v>
                </c:pt>
                <c:pt idx="394">
                  <c:v>0.22278322279453278</c:v>
                </c:pt>
                <c:pt idx="395">
                  <c:v>0.2321590930223465</c:v>
                </c:pt>
                <c:pt idx="396">
                  <c:v>0.22650742530822754</c:v>
                </c:pt>
              </c:numCache>
            </c:numRef>
          </c:val>
          <c:smooth val="0"/>
          <c:extLst>
            <c:ext xmlns:c16="http://schemas.microsoft.com/office/drawing/2014/chart" uri="{C3380CC4-5D6E-409C-BE32-E72D297353CC}">
              <c16:uniqueId val="{00000002-36E2-4900-9901-458A2A794684}"/>
            </c:ext>
          </c:extLst>
        </c:ser>
        <c:ser>
          <c:idx val="6"/>
          <c:order val="6"/>
          <c:tx>
            <c:strRef>
              <c:f>Sheet1!$H$1</c:f>
              <c:strCache>
                <c:ptCount val="1"/>
                <c:pt idx="0">
                  <c:v>10y-3m spread</c:v>
                </c:pt>
              </c:strCache>
            </c:strRef>
          </c:tx>
          <c:spPr>
            <a:ln w="12700" cap="rnd">
              <a:solidFill>
                <a:schemeClr val="accent4">
                  <a:lumMod val="50000"/>
                </a:schemeClr>
              </a:solidFill>
              <a:round/>
            </a:ln>
            <a:effectLst/>
          </c:spPr>
          <c:marker>
            <c:symbol val="none"/>
          </c:marker>
          <c:cat>
            <c:strRef>
              <c:f>Sheet1!$A$2:$A$398</c:f>
              <c:strCache>
                <c:ptCount val="397"/>
                <c:pt idx="0">
                  <c:v>Jan-86</c:v>
                </c:pt>
                <c:pt idx="1">
                  <c:v>Feb-86</c:v>
                </c:pt>
                <c:pt idx="2">
                  <c:v>Mar-86</c:v>
                </c:pt>
                <c:pt idx="3">
                  <c:v>Apr-86</c:v>
                </c:pt>
                <c:pt idx="4">
                  <c:v>May-86</c:v>
                </c:pt>
                <c:pt idx="5">
                  <c:v>Jun-86</c:v>
                </c:pt>
                <c:pt idx="6">
                  <c:v>Jul-86</c:v>
                </c:pt>
                <c:pt idx="7">
                  <c:v>Aug-86</c:v>
                </c:pt>
                <c:pt idx="8">
                  <c:v>Sep-86</c:v>
                </c:pt>
                <c:pt idx="9">
                  <c:v>Oct-86</c:v>
                </c:pt>
                <c:pt idx="10">
                  <c:v>Nov-86</c:v>
                </c:pt>
                <c:pt idx="11">
                  <c:v>Dec-86</c:v>
                </c:pt>
                <c:pt idx="12">
                  <c:v>Jan-87</c:v>
                </c:pt>
                <c:pt idx="13">
                  <c:v>Feb-87</c:v>
                </c:pt>
                <c:pt idx="14">
                  <c:v>Mar-87</c:v>
                </c:pt>
                <c:pt idx="15">
                  <c:v>Apr-87</c:v>
                </c:pt>
                <c:pt idx="16">
                  <c:v>May-87</c:v>
                </c:pt>
                <c:pt idx="17">
                  <c:v>Jun-87</c:v>
                </c:pt>
                <c:pt idx="18">
                  <c:v>Jul-87</c:v>
                </c:pt>
                <c:pt idx="19">
                  <c:v>Aug-87</c:v>
                </c:pt>
                <c:pt idx="20">
                  <c:v>Sep-87</c:v>
                </c:pt>
                <c:pt idx="21">
                  <c:v>Oct-87</c:v>
                </c:pt>
                <c:pt idx="22">
                  <c:v>Nov-87</c:v>
                </c:pt>
                <c:pt idx="23">
                  <c:v>Dec-87</c:v>
                </c:pt>
                <c:pt idx="24">
                  <c:v>Jan-88</c:v>
                </c:pt>
                <c:pt idx="25">
                  <c:v>Feb-88</c:v>
                </c:pt>
                <c:pt idx="26">
                  <c:v>Mar-88</c:v>
                </c:pt>
                <c:pt idx="27">
                  <c:v>Apr-88</c:v>
                </c:pt>
                <c:pt idx="28">
                  <c:v>May-88</c:v>
                </c:pt>
                <c:pt idx="29">
                  <c:v>Jun-88</c:v>
                </c:pt>
                <c:pt idx="30">
                  <c:v>Jul-88</c:v>
                </c:pt>
                <c:pt idx="31">
                  <c:v>Aug-88</c:v>
                </c:pt>
                <c:pt idx="32">
                  <c:v>Sep-88</c:v>
                </c:pt>
                <c:pt idx="33">
                  <c:v>Oct-88</c:v>
                </c:pt>
                <c:pt idx="34">
                  <c:v>Nov-88</c:v>
                </c:pt>
                <c:pt idx="35">
                  <c:v>Dec-88</c:v>
                </c:pt>
                <c:pt idx="36">
                  <c:v>Jan-89</c:v>
                </c:pt>
                <c:pt idx="37">
                  <c:v>Feb-89</c:v>
                </c:pt>
                <c:pt idx="38">
                  <c:v>Mar-89</c:v>
                </c:pt>
                <c:pt idx="39">
                  <c:v>Apr-89</c:v>
                </c:pt>
                <c:pt idx="40">
                  <c:v>May-89</c:v>
                </c:pt>
                <c:pt idx="41">
                  <c:v>Jun-89</c:v>
                </c:pt>
                <c:pt idx="42">
                  <c:v>Jul-89</c:v>
                </c:pt>
                <c:pt idx="43">
                  <c:v>Aug-89</c:v>
                </c:pt>
                <c:pt idx="44">
                  <c:v>Sep-89</c:v>
                </c:pt>
                <c:pt idx="45">
                  <c:v>Oct-89</c:v>
                </c:pt>
                <c:pt idx="46">
                  <c:v>Nov-89</c:v>
                </c:pt>
                <c:pt idx="47">
                  <c:v>Dec-89</c:v>
                </c:pt>
                <c:pt idx="48">
                  <c:v>Jan-90</c:v>
                </c:pt>
                <c:pt idx="49">
                  <c:v>Feb-90</c:v>
                </c:pt>
                <c:pt idx="50">
                  <c:v>Mar-90</c:v>
                </c:pt>
                <c:pt idx="51">
                  <c:v>Apr-90</c:v>
                </c:pt>
                <c:pt idx="52">
                  <c:v>May-90</c:v>
                </c:pt>
                <c:pt idx="53">
                  <c:v>Jun-90</c:v>
                </c:pt>
                <c:pt idx="54">
                  <c:v>Jul-90</c:v>
                </c:pt>
                <c:pt idx="55">
                  <c:v>Aug-90</c:v>
                </c:pt>
                <c:pt idx="56">
                  <c:v>Sep-90</c:v>
                </c:pt>
                <c:pt idx="57">
                  <c:v>Oct-90</c:v>
                </c:pt>
                <c:pt idx="58">
                  <c:v>Nov-90</c:v>
                </c:pt>
                <c:pt idx="59">
                  <c:v>Dec-90</c:v>
                </c:pt>
                <c:pt idx="60">
                  <c:v>Jan-91</c:v>
                </c:pt>
                <c:pt idx="61">
                  <c:v>Feb-91</c:v>
                </c:pt>
                <c:pt idx="62">
                  <c:v>Mar-91</c:v>
                </c:pt>
                <c:pt idx="63">
                  <c:v>Apr-91</c:v>
                </c:pt>
                <c:pt idx="64">
                  <c:v>May-91</c:v>
                </c:pt>
                <c:pt idx="65">
                  <c:v>Jun-91</c:v>
                </c:pt>
                <c:pt idx="66">
                  <c:v>Jul-91</c:v>
                </c:pt>
                <c:pt idx="67">
                  <c:v>Aug-91</c:v>
                </c:pt>
                <c:pt idx="68">
                  <c:v>Sep-91</c:v>
                </c:pt>
                <c:pt idx="69">
                  <c:v>Oct-91</c:v>
                </c:pt>
                <c:pt idx="70">
                  <c:v>Nov-91</c:v>
                </c:pt>
                <c:pt idx="71">
                  <c:v>Dec-91</c:v>
                </c:pt>
                <c:pt idx="72">
                  <c:v>Jan-92</c:v>
                </c:pt>
                <c:pt idx="73">
                  <c:v>Feb-92</c:v>
                </c:pt>
                <c:pt idx="74">
                  <c:v>Mar-92</c:v>
                </c:pt>
                <c:pt idx="75">
                  <c:v>Apr-92</c:v>
                </c:pt>
                <c:pt idx="76">
                  <c:v>May-92</c:v>
                </c:pt>
                <c:pt idx="77">
                  <c:v>Jun-92</c:v>
                </c:pt>
                <c:pt idx="78">
                  <c:v>Jul-92</c:v>
                </c:pt>
                <c:pt idx="79">
                  <c:v>Aug-92</c:v>
                </c:pt>
                <c:pt idx="80">
                  <c:v>Sep-92</c:v>
                </c:pt>
                <c:pt idx="81">
                  <c:v>Oct-92</c:v>
                </c:pt>
                <c:pt idx="82">
                  <c:v>Nov-92</c:v>
                </c:pt>
                <c:pt idx="83">
                  <c:v>Dec-92</c:v>
                </c:pt>
                <c:pt idx="84">
                  <c:v>Jan-93</c:v>
                </c:pt>
                <c:pt idx="85">
                  <c:v>Feb-93</c:v>
                </c:pt>
                <c:pt idx="86">
                  <c:v>Mar-93</c:v>
                </c:pt>
                <c:pt idx="87">
                  <c:v>Apr-93</c:v>
                </c:pt>
                <c:pt idx="88">
                  <c:v>May-93</c:v>
                </c:pt>
                <c:pt idx="89">
                  <c:v>Jun-93</c:v>
                </c:pt>
                <c:pt idx="90">
                  <c:v>Jul-93</c:v>
                </c:pt>
                <c:pt idx="91">
                  <c:v>Aug-93</c:v>
                </c:pt>
                <c:pt idx="92">
                  <c:v>Sep-93</c:v>
                </c:pt>
                <c:pt idx="93">
                  <c:v>Oct-93</c:v>
                </c:pt>
                <c:pt idx="94">
                  <c:v>Nov-93</c:v>
                </c:pt>
                <c:pt idx="95">
                  <c:v>Dec-93</c:v>
                </c:pt>
                <c:pt idx="96">
                  <c:v>Jan-94</c:v>
                </c:pt>
                <c:pt idx="97">
                  <c:v>Feb-94</c:v>
                </c:pt>
                <c:pt idx="98">
                  <c:v>Mar-94</c:v>
                </c:pt>
                <c:pt idx="99">
                  <c:v>Apr-94</c:v>
                </c:pt>
                <c:pt idx="100">
                  <c:v>May-94</c:v>
                </c:pt>
                <c:pt idx="101">
                  <c:v>Jun-94</c:v>
                </c:pt>
                <c:pt idx="102">
                  <c:v>Jul-94</c:v>
                </c:pt>
                <c:pt idx="103">
                  <c:v>Aug-94</c:v>
                </c:pt>
                <c:pt idx="104">
                  <c:v>Sep-94</c:v>
                </c:pt>
                <c:pt idx="105">
                  <c:v>Oct-94</c:v>
                </c:pt>
                <c:pt idx="106">
                  <c:v>Nov-94</c:v>
                </c:pt>
                <c:pt idx="107">
                  <c:v>Dec-94</c:v>
                </c:pt>
                <c:pt idx="108">
                  <c:v>Jan-95</c:v>
                </c:pt>
                <c:pt idx="109">
                  <c:v>Feb-95</c:v>
                </c:pt>
                <c:pt idx="110">
                  <c:v>Mar-95</c:v>
                </c:pt>
                <c:pt idx="111">
                  <c:v>Apr-95</c:v>
                </c:pt>
                <c:pt idx="112">
                  <c:v>May-95</c:v>
                </c:pt>
                <c:pt idx="113">
                  <c:v>Jun-95</c:v>
                </c:pt>
                <c:pt idx="114">
                  <c:v>Jul-95</c:v>
                </c:pt>
                <c:pt idx="115">
                  <c:v>Aug-95</c:v>
                </c:pt>
                <c:pt idx="116">
                  <c:v>Sep-95</c:v>
                </c:pt>
                <c:pt idx="117">
                  <c:v>Oct-95</c:v>
                </c:pt>
                <c:pt idx="118">
                  <c:v>Nov-95</c:v>
                </c:pt>
                <c:pt idx="119">
                  <c:v>Dec-95</c:v>
                </c:pt>
                <c:pt idx="120">
                  <c:v>Jan-96</c:v>
                </c:pt>
                <c:pt idx="121">
                  <c:v>Feb-96</c:v>
                </c:pt>
                <c:pt idx="122">
                  <c:v>Mar-96</c:v>
                </c:pt>
                <c:pt idx="123">
                  <c:v>Apr-96</c:v>
                </c:pt>
                <c:pt idx="124">
                  <c:v>May-96</c:v>
                </c:pt>
                <c:pt idx="125">
                  <c:v>Jun-96</c:v>
                </c:pt>
                <c:pt idx="126">
                  <c:v>Jul-96</c:v>
                </c:pt>
                <c:pt idx="127">
                  <c:v>Aug-96</c:v>
                </c:pt>
                <c:pt idx="128">
                  <c:v>Sep-96</c:v>
                </c:pt>
                <c:pt idx="129">
                  <c:v>Oct-96</c:v>
                </c:pt>
                <c:pt idx="130">
                  <c:v>Nov-96</c:v>
                </c:pt>
                <c:pt idx="131">
                  <c:v>Dec-96</c:v>
                </c:pt>
                <c:pt idx="132">
                  <c:v>Jan-97</c:v>
                </c:pt>
                <c:pt idx="133">
                  <c:v>Feb-97</c:v>
                </c:pt>
                <c:pt idx="134">
                  <c:v>Mar-97</c:v>
                </c:pt>
                <c:pt idx="135">
                  <c:v>Apr-97</c:v>
                </c:pt>
                <c:pt idx="136">
                  <c:v>May-97</c:v>
                </c:pt>
                <c:pt idx="137">
                  <c:v>Jun-97</c:v>
                </c:pt>
                <c:pt idx="138">
                  <c:v>Jul-97</c:v>
                </c:pt>
                <c:pt idx="139">
                  <c:v>Aug-97</c:v>
                </c:pt>
                <c:pt idx="140">
                  <c:v>Sep-97</c:v>
                </c:pt>
                <c:pt idx="141">
                  <c:v>Oct-97</c:v>
                </c:pt>
                <c:pt idx="142">
                  <c:v>Nov-97</c:v>
                </c:pt>
                <c:pt idx="143">
                  <c:v>Dec-97</c:v>
                </c:pt>
                <c:pt idx="144">
                  <c:v>Jan-98</c:v>
                </c:pt>
                <c:pt idx="145">
                  <c:v>Feb-98</c:v>
                </c:pt>
                <c:pt idx="146">
                  <c:v>Mar-98</c:v>
                </c:pt>
                <c:pt idx="147">
                  <c:v>Apr-98</c:v>
                </c:pt>
                <c:pt idx="148">
                  <c:v>May-98</c:v>
                </c:pt>
                <c:pt idx="149">
                  <c:v>Jun-98</c:v>
                </c:pt>
                <c:pt idx="150">
                  <c:v>Jul-98</c:v>
                </c:pt>
                <c:pt idx="151">
                  <c:v>Aug-98</c:v>
                </c:pt>
                <c:pt idx="152">
                  <c:v>Sep-98</c:v>
                </c:pt>
                <c:pt idx="153">
                  <c:v>Oct-98</c:v>
                </c:pt>
                <c:pt idx="154">
                  <c:v>Nov-98</c:v>
                </c:pt>
                <c:pt idx="155">
                  <c:v>Dec-98</c:v>
                </c:pt>
                <c:pt idx="156">
                  <c:v>Jan-99</c:v>
                </c:pt>
                <c:pt idx="157">
                  <c:v>Feb-99</c:v>
                </c:pt>
                <c:pt idx="158">
                  <c:v>Mar-99</c:v>
                </c:pt>
                <c:pt idx="159">
                  <c:v>Apr-99</c:v>
                </c:pt>
                <c:pt idx="160">
                  <c:v>May-99</c:v>
                </c:pt>
                <c:pt idx="161">
                  <c:v>Jun-99</c:v>
                </c:pt>
                <c:pt idx="162">
                  <c:v>Jul-99</c:v>
                </c:pt>
                <c:pt idx="163">
                  <c:v>Aug-99</c:v>
                </c:pt>
                <c:pt idx="164">
                  <c:v>Sep-99</c:v>
                </c:pt>
                <c:pt idx="165">
                  <c:v>Oct-99</c:v>
                </c:pt>
                <c:pt idx="166">
                  <c:v>Nov-99</c:v>
                </c:pt>
                <c:pt idx="167">
                  <c:v>Dec-99</c:v>
                </c:pt>
                <c:pt idx="168">
                  <c:v>Jan-00</c:v>
                </c:pt>
                <c:pt idx="169">
                  <c:v>Feb-00</c:v>
                </c:pt>
                <c:pt idx="170">
                  <c:v>Mar-00</c:v>
                </c:pt>
                <c:pt idx="171">
                  <c:v>Apr-00</c:v>
                </c:pt>
                <c:pt idx="172">
                  <c:v>May-00</c:v>
                </c:pt>
                <c:pt idx="173">
                  <c:v>Jun-00</c:v>
                </c:pt>
                <c:pt idx="174">
                  <c:v>Jul-00</c:v>
                </c:pt>
                <c:pt idx="175">
                  <c:v>Aug-00</c:v>
                </c:pt>
                <c:pt idx="176">
                  <c:v>Sep-00</c:v>
                </c:pt>
                <c:pt idx="177">
                  <c:v>Oct-00</c:v>
                </c:pt>
                <c:pt idx="178">
                  <c:v>Nov-00</c:v>
                </c:pt>
                <c:pt idx="179">
                  <c:v>Dec-00</c:v>
                </c:pt>
                <c:pt idx="180">
                  <c:v>Jan-01</c:v>
                </c:pt>
                <c:pt idx="181">
                  <c:v>Feb-01</c:v>
                </c:pt>
                <c:pt idx="182">
                  <c:v>Mar-01</c:v>
                </c:pt>
                <c:pt idx="183">
                  <c:v>Apr-01</c:v>
                </c:pt>
                <c:pt idx="184">
                  <c:v>May-01</c:v>
                </c:pt>
                <c:pt idx="185">
                  <c:v>Jun-01</c:v>
                </c:pt>
                <c:pt idx="186">
                  <c:v>Jul-01</c:v>
                </c:pt>
                <c:pt idx="187">
                  <c:v>Aug-01</c:v>
                </c:pt>
                <c:pt idx="188">
                  <c:v>Sep-01</c:v>
                </c:pt>
                <c:pt idx="189">
                  <c:v>Oct-01</c:v>
                </c:pt>
                <c:pt idx="190">
                  <c:v>Nov-01</c:v>
                </c:pt>
                <c:pt idx="191">
                  <c:v>Dec-01</c:v>
                </c:pt>
                <c:pt idx="192">
                  <c:v>Jan-02</c:v>
                </c:pt>
                <c:pt idx="193">
                  <c:v>Feb-02</c:v>
                </c:pt>
                <c:pt idx="194">
                  <c:v>Mar-02</c:v>
                </c:pt>
                <c:pt idx="195">
                  <c:v>Apr-02</c:v>
                </c:pt>
                <c:pt idx="196">
                  <c:v>May-02</c:v>
                </c:pt>
                <c:pt idx="197">
                  <c:v>Jun-02</c:v>
                </c:pt>
                <c:pt idx="198">
                  <c:v>Jul-02</c:v>
                </c:pt>
                <c:pt idx="199">
                  <c:v>Aug-02</c:v>
                </c:pt>
                <c:pt idx="200">
                  <c:v>Sep-02</c:v>
                </c:pt>
                <c:pt idx="201">
                  <c:v>Oct-02</c:v>
                </c:pt>
                <c:pt idx="202">
                  <c:v>Nov-02</c:v>
                </c:pt>
                <c:pt idx="203">
                  <c:v>Dec-02</c:v>
                </c:pt>
                <c:pt idx="204">
                  <c:v>Jan-03</c:v>
                </c:pt>
                <c:pt idx="205">
                  <c:v>Feb-03</c:v>
                </c:pt>
                <c:pt idx="206">
                  <c:v>Mar-03</c:v>
                </c:pt>
                <c:pt idx="207">
                  <c:v>Apr-03</c:v>
                </c:pt>
                <c:pt idx="208">
                  <c:v>May-03</c:v>
                </c:pt>
                <c:pt idx="209">
                  <c:v>Jun-03</c:v>
                </c:pt>
                <c:pt idx="210">
                  <c:v>Jul-03</c:v>
                </c:pt>
                <c:pt idx="211">
                  <c:v>Aug-03</c:v>
                </c:pt>
                <c:pt idx="212">
                  <c:v>Sep-03</c:v>
                </c:pt>
                <c:pt idx="213">
                  <c:v>Oct-03</c:v>
                </c:pt>
                <c:pt idx="214">
                  <c:v>Nov-03</c:v>
                </c:pt>
                <c:pt idx="215">
                  <c:v>Dec-03</c:v>
                </c:pt>
                <c:pt idx="216">
                  <c:v>Jan-04</c:v>
                </c:pt>
                <c:pt idx="217">
                  <c:v>Feb-04</c:v>
                </c:pt>
                <c:pt idx="218">
                  <c:v>Mar-04</c:v>
                </c:pt>
                <c:pt idx="219">
                  <c:v>Apr-04</c:v>
                </c:pt>
                <c:pt idx="220">
                  <c:v>May-04</c:v>
                </c:pt>
                <c:pt idx="221">
                  <c:v>Jun-04</c:v>
                </c:pt>
                <c:pt idx="222">
                  <c:v>Jul-04</c:v>
                </c:pt>
                <c:pt idx="223">
                  <c:v>Aug-04</c:v>
                </c:pt>
                <c:pt idx="224">
                  <c:v>Sep-04</c:v>
                </c:pt>
                <c:pt idx="225">
                  <c:v>Oct-04</c:v>
                </c:pt>
                <c:pt idx="226">
                  <c:v>Nov-04</c:v>
                </c:pt>
                <c:pt idx="227">
                  <c:v>Dec-04</c:v>
                </c:pt>
                <c:pt idx="228">
                  <c:v>Jan-05</c:v>
                </c:pt>
                <c:pt idx="229">
                  <c:v>Feb-05</c:v>
                </c:pt>
                <c:pt idx="230">
                  <c:v>Mar-05</c:v>
                </c:pt>
                <c:pt idx="231">
                  <c:v>Apr-05</c:v>
                </c:pt>
                <c:pt idx="232">
                  <c:v>May-05</c:v>
                </c:pt>
                <c:pt idx="233">
                  <c:v>Jun-05</c:v>
                </c:pt>
                <c:pt idx="234">
                  <c:v>Jul-05</c:v>
                </c:pt>
                <c:pt idx="235">
                  <c:v>Aug-05</c:v>
                </c:pt>
                <c:pt idx="236">
                  <c:v>Sep-05</c:v>
                </c:pt>
                <c:pt idx="237">
                  <c:v>Oct-05</c:v>
                </c:pt>
                <c:pt idx="238">
                  <c:v>Nov-05</c:v>
                </c:pt>
                <c:pt idx="239">
                  <c:v>Dec-05</c:v>
                </c:pt>
                <c:pt idx="240">
                  <c:v>Jan-06</c:v>
                </c:pt>
                <c:pt idx="241">
                  <c:v>Feb-06</c:v>
                </c:pt>
                <c:pt idx="242">
                  <c:v>Mar-06</c:v>
                </c:pt>
                <c:pt idx="243">
                  <c:v>Apr-06</c:v>
                </c:pt>
                <c:pt idx="244">
                  <c:v>May-06</c:v>
                </c:pt>
                <c:pt idx="245">
                  <c:v>Jun-06</c:v>
                </c:pt>
                <c:pt idx="246">
                  <c:v>Jul-06</c:v>
                </c:pt>
                <c:pt idx="247">
                  <c:v>Aug-06</c:v>
                </c:pt>
                <c:pt idx="248">
                  <c:v>Sep-06</c:v>
                </c:pt>
                <c:pt idx="249">
                  <c:v>Oct-06</c:v>
                </c:pt>
                <c:pt idx="250">
                  <c:v>Nov-06</c:v>
                </c:pt>
                <c:pt idx="251">
                  <c:v>Dec-06</c:v>
                </c:pt>
                <c:pt idx="252">
                  <c:v>Jan-07</c:v>
                </c:pt>
                <c:pt idx="253">
                  <c:v>Feb-07</c:v>
                </c:pt>
                <c:pt idx="254">
                  <c:v>Mar-07</c:v>
                </c:pt>
                <c:pt idx="255">
                  <c:v>Apr-07</c:v>
                </c:pt>
                <c:pt idx="256">
                  <c:v>May-07</c:v>
                </c:pt>
                <c:pt idx="257">
                  <c:v>Jun-07</c:v>
                </c:pt>
                <c:pt idx="258">
                  <c:v>Jul-07</c:v>
                </c:pt>
                <c:pt idx="259">
                  <c:v>Aug-07</c:v>
                </c:pt>
                <c:pt idx="260">
                  <c:v>Sep-07</c:v>
                </c:pt>
                <c:pt idx="261">
                  <c:v>Oct-07</c:v>
                </c:pt>
                <c:pt idx="262">
                  <c:v>Nov-07</c:v>
                </c:pt>
                <c:pt idx="263">
                  <c:v>Dec-07</c:v>
                </c:pt>
                <c:pt idx="264">
                  <c:v>Jan-08</c:v>
                </c:pt>
                <c:pt idx="265">
                  <c:v>Feb-08</c:v>
                </c:pt>
                <c:pt idx="266">
                  <c:v>Mar-08</c:v>
                </c:pt>
                <c:pt idx="267">
                  <c:v>Apr-08</c:v>
                </c:pt>
                <c:pt idx="268">
                  <c:v>May-08</c:v>
                </c:pt>
                <c:pt idx="269">
                  <c:v>Jun-08</c:v>
                </c:pt>
                <c:pt idx="270">
                  <c:v>Jul-08</c:v>
                </c:pt>
                <c:pt idx="271">
                  <c:v>Aug-08</c:v>
                </c:pt>
                <c:pt idx="272">
                  <c:v>Sep-08</c:v>
                </c:pt>
                <c:pt idx="273">
                  <c:v>Oct-08</c:v>
                </c:pt>
                <c:pt idx="274">
                  <c:v>Nov-08</c:v>
                </c:pt>
                <c:pt idx="275">
                  <c:v>Dec-08</c:v>
                </c:pt>
                <c:pt idx="276">
                  <c:v>Jan-09</c:v>
                </c:pt>
                <c:pt idx="277">
                  <c:v>Feb-09</c:v>
                </c:pt>
                <c:pt idx="278">
                  <c:v>Mar-09</c:v>
                </c:pt>
                <c:pt idx="279">
                  <c:v>Apr-09</c:v>
                </c:pt>
                <c:pt idx="280">
                  <c:v>May-09</c:v>
                </c:pt>
                <c:pt idx="281">
                  <c:v>Jun-09</c:v>
                </c:pt>
                <c:pt idx="282">
                  <c:v>Jul-09</c:v>
                </c:pt>
                <c:pt idx="283">
                  <c:v>Aug-09</c:v>
                </c:pt>
                <c:pt idx="284">
                  <c:v>Sep-09</c:v>
                </c:pt>
                <c:pt idx="285">
                  <c:v>Oct-09</c:v>
                </c:pt>
                <c:pt idx="286">
                  <c:v>Nov-09</c:v>
                </c:pt>
                <c:pt idx="287">
                  <c:v>Dec-09</c:v>
                </c:pt>
                <c:pt idx="288">
                  <c:v>Jan-10</c:v>
                </c:pt>
                <c:pt idx="289">
                  <c:v>Feb-10</c:v>
                </c:pt>
                <c:pt idx="290">
                  <c:v>Mar-10</c:v>
                </c:pt>
                <c:pt idx="291">
                  <c:v>Apr-10</c:v>
                </c:pt>
                <c:pt idx="292">
                  <c:v>May-10</c:v>
                </c:pt>
                <c:pt idx="293">
                  <c:v>Jun-10</c:v>
                </c:pt>
                <c:pt idx="294">
                  <c:v>Jul-10</c:v>
                </c:pt>
                <c:pt idx="295">
                  <c:v>Aug-10</c:v>
                </c:pt>
                <c:pt idx="296">
                  <c:v>Sep-10</c:v>
                </c:pt>
                <c:pt idx="297">
                  <c:v>Oct-10</c:v>
                </c:pt>
                <c:pt idx="298">
                  <c:v>Nov-10</c:v>
                </c:pt>
                <c:pt idx="299">
                  <c:v>Dec-10</c:v>
                </c:pt>
                <c:pt idx="300">
                  <c:v>Jan-11</c:v>
                </c:pt>
                <c:pt idx="301">
                  <c:v>Feb-11</c:v>
                </c:pt>
                <c:pt idx="302">
                  <c:v>Mar-11</c:v>
                </c:pt>
                <c:pt idx="303">
                  <c:v>Apr-11</c:v>
                </c:pt>
                <c:pt idx="304">
                  <c:v>May-11</c:v>
                </c:pt>
                <c:pt idx="305">
                  <c:v>Jun-11</c:v>
                </c:pt>
                <c:pt idx="306">
                  <c:v>Jul-11</c:v>
                </c:pt>
                <c:pt idx="307">
                  <c:v>Aug-11</c:v>
                </c:pt>
                <c:pt idx="308">
                  <c:v>Sep-11</c:v>
                </c:pt>
                <c:pt idx="309">
                  <c:v>Oct-11</c:v>
                </c:pt>
                <c:pt idx="310">
                  <c:v>Nov-11</c:v>
                </c:pt>
                <c:pt idx="311">
                  <c:v>Dec-11</c:v>
                </c:pt>
                <c:pt idx="312">
                  <c:v>Jan-12</c:v>
                </c:pt>
                <c:pt idx="313">
                  <c:v>Feb-12</c:v>
                </c:pt>
                <c:pt idx="314">
                  <c:v>Mar-12</c:v>
                </c:pt>
                <c:pt idx="315">
                  <c:v>Apr-12</c:v>
                </c:pt>
                <c:pt idx="316">
                  <c:v>May-12</c:v>
                </c:pt>
                <c:pt idx="317">
                  <c:v>Jun-12</c:v>
                </c:pt>
                <c:pt idx="318">
                  <c:v>Jul-12</c:v>
                </c:pt>
                <c:pt idx="319">
                  <c:v>Aug-12</c:v>
                </c:pt>
                <c:pt idx="320">
                  <c:v>Sep-12</c:v>
                </c:pt>
                <c:pt idx="321">
                  <c:v>Oct-12</c:v>
                </c:pt>
                <c:pt idx="322">
                  <c:v>Nov-12</c:v>
                </c:pt>
                <c:pt idx="323">
                  <c:v>Dec-12</c:v>
                </c:pt>
                <c:pt idx="324">
                  <c:v>Jan-13</c:v>
                </c:pt>
                <c:pt idx="325">
                  <c:v>Feb-13</c:v>
                </c:pt>
                <c:pt idx="326">
                  <c:v>Mar-13</c:v>
                </c:pt>
                <c:pt idx="327">
                  <c:v>Apr-13</c:v>
                </c:pt>
                <c:pt idx="328">
                  <c:v>May-13</c:v>
                </c:pt>
                <c:pt idx="329">
                  <c:v>Jun-13</c:v>
                </c:pt>
                <c:pt idx="330">
                  <c:v>Jul-13</c:v>
                </c:pt>
                <c:pt idx="331">
                  <c:v>Aug-13</c:v>
                </c:pt>
                <c:pt idx="332">
                  <c:v>Sep-13</c:v>
                </c:pt>
                <c:pt idx="333">
                  <c:v>Oct-13</c:v>
                </c:pt>
                <c:pt idx="334">
                  <c:v>Nov-13</c:v>
                </c:pt>
                <c:pt idx="335">
                  <c:v>Dec-13</c:v>
                </c:pt>
                <c:pt idx="336">
                  <c:v>Jan-14</c:v>
                </c:pt>
                <c:pt idx="337">
                  <c:v>Feb-14</c:v>
                </c:pt>
                <c:pt idx="338">
                  <c:v>Mar-14</c:v>
                </c:pt>
                <c:pt idx="339">
                  <c:v>Apr-14</c:v>
                </c:pt>
                <c:pt idx="340">
                  <c:v>May-14</c:v>
                </c:pt>
                <c:pt idx="341">
                  <c:v>Jun-14</c:v>
                </c:pt>
                <c:pt idx="342">
                  <c:v>Jul-14</c:v>
                </c:pt>
                <c:pt idx="343">
                  <c:v>Aug-14</c:v>
                </c:pt>
                <c:pt idx="344">
                  <c:v>Sep-14</c:v>
                </c:pt>
                <c:pt idx="345">
                  <c:v>Oct-14</c:v>
                </c:pt>
                <c:pt idx="346">
                  <c:v>Nov-14</c:v>
                </c:pt>
                <c:pt idx="347">
                  <c:v>Dec-14</c:v>
                </c:pt>
                <c:pt idx="348">
                  <c:v>Jan-15</c:v>
                </c:pt>
                <c:pt idx="349">
                  <c:v>Feb-15</c:v>
                </c:pt>
                <c:pt idx="350">
                  <c:v>Mar-15</c:v>
                </c:pt>
                <c:pt idx="351">
                  <c:v>Apr-15</c:v>
                </c:pt>
                <c:pt idx="352">
                  <c:v>May-15</c:v>
                </c:pt>
                <c:pt idx="353">
                  <c:v>Jun-15</c:v>
                </c:pt>
                <c:pt idx="354">
                  <c:v>Jul-15</c:v>
                </c:pt>
                <c:pt idx="355">
                  <c:v>Aug-15</c:v>
                </c:pt>
                <c:pt idx="356">
                  <c:v>Sep-15</c:v>
                </c:pt>
                <c:pt idx="357">
                  <c:v>Oct-15</c:v>
                </c:pt>
                <c:pt idx="358">
                  <c:v>Nov-15</c:v>
                </c:pt>
                <c:pt idx="359">
                  <c:v>Dec-15</c:v>
                </c:pt>
                <c:pt idx="360">
                  <c:v>Jan-16</c:v>
                </c:pt>
                <c:pt idx="361">
                  <c:v>Feb-16</c:v>
                </c:pt>
                <c:pt idx="362">
                  <c:v>Mar-16</c:v>
                </c:pt>
                <c:pt idx="363">
                  <c:v>Apr-16</c:v>
                </c:pt>
                <c:pt idx="364">
                  <c:v>May-16</c:v>
                </c:pt>
                <c:pt idx="365">
                  <c:v>Jun-16</c:v>
                </c:pt>
                <c:pt idx="366">
                  <c:v>Jul-16</c:v>
                </c:pt>
                <c:pt idx="367">
                  <c:v>Aug-16</c:v>
                </c:pt>
                <c:pt idx="368">
                  <c:v>Sep-16</c:v>
                </c:pt>
                <c:pt idx="369">
                  <c:v>Oct-16</c:v>
                </c:pt>
                <c:pt idx="370">
                  <c:v>Nov-16</c:v>
                </c:pt>
                <c:pt idx="371">
                  <c:v>Dec-16</c:v>
                </c:pt>
                <c:pt idx="372">
                  <c:v>Jan-17</c:v>
                </c:pt>
                <c:pt idx="373">
                  <c:v>Feb-17</c:v>
                </c:pt>
                <c:pt idx="374">
                  <c:v>Mar-17</c:v>
                </c:pt>
                <c:pt idx="375">
                  <c:v>Apr-17</c:v>
                </c:pt>
                <c:pt idx="376">
                  <c:v>May-17</c:v>
                </c:pt>
                <c:pt idx="377">
                  <c:v>Jun-17</c:v>
                </c:pt>
                <c:pt idx="378">
                  <c:v>Jul-17</c:v>
                </c:pt>
                <c:pt idx="379">
                  <c:v>Aug-17</c:v>
                </c:pt>
                <c:pt idx="380">
                  <c:v>Sep-17</c:v>
                </c:pt>
                <c:pt idx="381">
                  <c:v>Oct-17</c:v>
                </c:pt>
                <c:pt idx="382">
                  <c:v>Nov-17</c:v>
                </c:pt>
                <c:pt idx="383">
                  <c:v>Dec-17</c:v>
                </c:pt>
                <c:pt idx="384">
                  <c:v>Jan-18</c:v>
                </c:pt>
                <c:pt idx="385">
                  <c:v>Feb-18</c:v>
                </c:pt>
                <c:pt idx="386">
                  <c:v>Mar-18</c:v>
                </c:pt>
                <c:pt idx="387">
                  <c:v>Apr-18</c:v>
                </c:pt>
                <c:pt idx="388">
                  <c:v>May-18</c:v>
                </c:pt>
                <c:pt idx="389">
                  <c:v>Jun-18</c:v>
                </c:pt>
                <c:pt idx="390">
                  <c:v>Jul-18</c:v>
                </c:pt>
                <c:pt idx="391">
                  <c:v>Aug-18</c:v>
                </c:pt>
                <c:pt idx="392">
                  <c:v>Sep-18</c:v>
                </c:pt>
                <c:pt idx="393">
                  <c:v>Oct-18</c:v>
                </c:pt>
                <c:pt idx="394">
                  <c:v>Nov-18</c:v>
                </c:pt>
                <c:pt idx="395">
                  <c:v>Dec-18</c:v>
                </c:pt>
                <c:pt idx="396">
                  <c:v>Jan-19</c:v>
                </c:pt>
              </c:strCache>
            </c:strRef>
          </c:cat>
          <c:val>
            <c:numRef>
              <c:f>Sheet1!$H$2:$H$398</c:f>
              <c:numCache>
                <c:formatCode>0.0000</c:formatCode>
                <c:ptCount val="397"/>
                <c:pt idx="0">
                  <c:v>0.24003712832927704</c:v>
                </c:pt>
                <c:pt idx="1">
                  <c:v>0.59827476739883423</c:v>
                </c:pt>
                <c:pt idx="2">
                  <c:v>0.52349448204040527</c:v>
                </c:pt>
                <c:pt idx="3">
                  <c:v>0.3234107494354248</c:v>
                </c:pt>
                <c:pt idx="4">
                  <c:v>0.15825064480304718</c:v>
                </c:pt>
                <c:pt idx="5">
                  <c:v>0.20247259736061096</c:v>
                </c:pt>
                <c:pt idx="6">
                  <c:v>0.15571482479572296</c:v>
                </c:pt>
                <c:pt idx="7">
                  <c:v>0.1865009069442749</c:v>
                </c:pt>
                <c:pt idx="8">
                  <c:v>0.14106515049934387</c:v>
                </c:pt>
                <c:pt idx="9">
                  <c:v>0.14224900305271149</c:v>
                </c:pt>
                <c:pt idx="10">
                  <c:v>0.17675542831420898</c:v>
                </c:pt>
                <c:pt idx="11">
                  <c:v>0.17675542831420898</c:v>
                </c:pt>
                <c:pt idx="12">
                  <c:v>0.18368309736251831</c:v>
                </c:pt>
                <c:pt idx="13">
                  <c:v>0.11261498928070068</c:v>
                </c:pt>
                <c:pt idx="14">
                  <c:v>9.7287386655807495E-2</c:v>
                </c:pt>
                <c:pt idx="15">
                  <c:v>4.8331588506698608E-2</c:v>
                </c:pt>
                <c:pt idx="16">
                  <c:v>7.6490715146064758E-2</c:v>
                </c:pt>
                <c:pt idx="17">
                  <c:v>0.1167028546333313</c:v>
                </c:pt>
                <c:pt idx="18">
                  <c:v>8.2741253077983856E-2</c:v>
                </c:pt>
                <c:pt idx="19">
                  <c:v>0.10096760094165802</c:v>
                </c:pt>
                <c:pt idx="20">
                  <c:v>5.9262502938508987E-2</c:v>
                </c:pt>
                <c:pt idx="21">
                  <c:v>0.12303011119365692</c:v>
                </c:pt>
                <c:pt idx="22">
                  <c:v>5.048762634396553E-2</c:v>
                </c:pt>
                <c:pt idx="23">
                  <c:v>6.6425718367099762E-2</c:v>
                </c:pt>
                <c:pt idx="24">
                  <c:v>0.13071116805076599</c:v>
                </c:pt>
                <c:pt idx="25">
                  <c:v>0.13871751725673676</c:v>
                </c:pt>
                <c:pt idx="26">
                  <c:v>9.9115006625652313E-2</c:v>
                </c:pt>
                <c:pt idx="27">
                  <c:v>0.10667659342288971</c:v>
                </c:pt>
                <c:pt idx="28">
                  <c:v>0.11878578364849091</c:v>
                </c:pt>
                <c:pt idx="29">
                  <c:v>0.17403122782707214</c:v>
                </c:pt>
                <c:pt idx="30">
                  <c:v>0.14949311316013336</c:v>
                </c:pt>
                <c:pt idx="31">
                  <c:v>0.1341024786233902</c:v>
                </c:pt>
                <c:pt idx="32">
                  <c:v>0.25504627823829651</c:v>
                </c:pt>
                <c:pt idx="33">
                  <c:v>0.3503744900226593</c:v>
                </c:pt>
                <c:pt idx="34">
                  <c:v>0.35233166813850403</c:v>
                </c:pt>
                <c:pt idx="35">
                  <c:v>0.39020785689353943</c:v>
                </c:pt>
                <c:pt idx="36">
                  <c:v>0.4709073007106781</c:v>
                </c:pt>
                <c:pt idx="37">
                  <c:v>0.45205187797546387</c:v>
                </c:pt>
                <c:pt idx="38">
                  <c:v>0.52559554576873779</c:v>
                </c:pt>
                <c:pt idx="39">
                  <c:v>0.66769802570343018</c:v>
                </c:pt>
                <c:pt idx="40">
                  <c:v>0.74552065134048462</c:v>
                </c:pt>
                <c:pt idx="41">
                  <c:v>0.77972626686096191</c:v>
                </c:pt>
                <c:pt idx="42">
                  <c:v>0.78899198770523071</c:v>
                </c:pt>
                <c:pt idx="43">
                  <c:v>0.76862698793411255</c:v>
                </c:pt>
                <c:pt idx="44">
                  <c:v>0.7369847297668457</c:v>
                </c:pt>
                <c:pt idx="45">
                  <c:v>0.79202908277511597</c:v>
                </c:pt>
                <c:pt idx="46">
                  <c:v>0.74212378263473511</c:v>
                </c:pt>
                <c:pt idx="47">
                  <c:v>0.77023148536682129</c:v>
                </c:pt>
                <c:pt idx="48">
                  <c:v>0.68663406372070313</c:v>
                </c:pt>
                <c:pt idx="49">
                  <c:v>0.6791149377822876</c:v>
                </c:pt>
                <c:pt idx="50">
                  <c:v>0.6940762996673584</c:v>
                </c:pt>
                <c:pt idx="51">
                  <c:v>0.63253939151763916</c:v>
                </c:pt>
                <c:pt idx="52">
                  <c:v>0.78438800573348999</c:v>
                </c:pt>
                <c:pt idx="53">
                  <c:v>0.81113266944885254</c:v>
                </c:pt>
                <c:pt idx="54">
                  <c:v>0.78284049034118652</c:v>
                </c:pt>
                <c:pt idx="55">
                  <c:v>0.6940762996673584</c:v>
                </c:pt>
                <c:pt idx="56">
                  <c:v>0.4562341570854187</c:v>
                </c:pt>
                <c:pt idx="57">
                  <c:v>0.52349448204040527</c:v>
                </c:pt>
                <c:pt idx="58">
                  <c:v>0.57360696792602539</c:v>
                </c:pt>
                <c:pt idx="59">
                  <c:v>0.52349448204040527</c:v>
                </c:pt>
                <c:pt idx="60">
                  <c:v>0.4167630672454834</c:v>
                </c:pt>
                <c:pt idx="61">
                  <c:v>0.34064894914627075</c:v>
                </c:pt>
                <c:pt idx="62">
                  <c:v>0.27933403849601746</c:v>
                </c:pt>
                <c:pt idx="63">
                  <c:v>0.23030498623847961</c:v>
                </c:pt>
                <c:pt idx="64">
                  <c:v>0.15697936713695526</c:v>
                </c:pt>
                <c:pt idx="65">
                  <c:v>7.9569555819034576E-2</c:v>
                </c:pt>
                <c:pt idx="66">
                  <c:v>9.7287386655807495E-2</c:v>
                </c:pt>
                <c:pt idx="67">
                  <c:v>0.10961691290140152</c:v>
                </c:pt>
                <c:pt idx="68">
                  <c:v>0.13755373656749725</c:v>
                </c:pt>
                <c:pt idx="69">
                  <c:v>0.15571482479572296</c:v>
                </c:pt>
                <c:pt idx="70">
                  <c:v>0.10474827140569687</c:v>
                </c:pt>
                <c:pt idx="71">
                  <c:v>0.11774105578660965</c:v>
                </c:pt>
                <c:pt idx="72">
                  <c:v>9.1953083872795105E-2</c:v>
                </c:pt>
                <c:pt idx="73">
                  <c:v>0.10765030980110168</c:v>
                </c:pt>
                <c:pt idx="74">
                  <c:v>9.1085508465766907E-2</c:v>
                </c:pt>
                <c:pt idx="75">
                  <c:v>4.1828867048025131E-2</c:v>
                </c:pt>
                <c:pt idx="76">
                  <c:v>3.5637687891721725E-2</c:v>
                </c:pt>
                <c:pt idx="77">
                  <c:v>2.7776377275586128E-2</c:v>
                </c:pt>
                <c:pt idx="78">
                  <c:v>3.863232210278511E-2</c:v>
                </c:pt>
                <c:pt idx="79">
                  <c:v>2.5500927120447159E-2</c:v>
                </c:pt>
                <c:pt idx="80">
                  <c:v>2.3676799610257149E-2</c:v>
                </c:pt>
                <c:pt idx="81">
                  <c:v>0.1907774955034256</c:v>
                </c:pt>
                <c:pt idx="82">
                  <c:v>0.16733822226524353</c:v>
                </c:pt>
                <c:pt idx="83">
                  <c:v>0.18791979551315308</c:v>
                </c:pt>
                <c:pt idx="84">
                  <c:v>8.9368589222431183E-2</c:v>
                </c:pt>
                <c:pt idx="85">
                  <c:v>8.0353721976280212E-2</c:v>
                </c:pt>
                <c:pt idx="86">
                  <c:v>3.4013688564300537E-2</c:v>
                </c:pt>
                <c:pt idx="87">
                  <c:v>2.8114849701523781E-2</c:v>
                </c:pt>
                <c:pt idx="88">
                  <c:v>2.3676799610257149E-2</c:v>
                </c:pt>
                <c:pt idx="89">
                  <c:v>2.0098445937037468E-2</c:v>
                </c:pt>
                <c:pt idx="90">
                  <c:v>1.4301623217761517E-2</c:v>
                </c:pt>
                <c:pt idx="91">
                  <c:v>2.7441298589110374E-2</c:v>
                </c:pt>
                <c:pt idx="92">
                  <c:v>3.0218534171581268E-2</c:v>
                </c:pt>
                <c:pt idx="93">
                  <c:v>3.2451048493385315E-2</c:v>
                </c:pt>
                <c:pt idx="94">
                  <c:v>1.6768606379628181E-2</c:v>
                </c:pt>
                <c:pt idx="95">
                  <c:v>1.9590871408581734E-2</c:v>
                </c:pt>
                <c:pt idx="96">
                  <c:v>1.8608320504426956E-2</c:v>
                </c:pt>
                <c:pt idx="97">
                  <c:v>9.7285117954015732E-3</c:v>
                </c:pt>
                <c:pt idx="98">
                  <c:v>5.421448964625597E-3</c:v>
                </c:pt>
                <c:pt idx="99">
                  <c:v>3.605346754193306E-2</c:v>
                </c:pt>
                <c:pt idx="100">
                  <c:v>3.361734002828598E-2</c:v>
                </c:pt>
                <c:pt idx="101">
                  <c:v>1.5908632427453995E-2</c:v>
                </c:pt>
                <c:pt idx="102">
                  <c:v>7.2992462664842606E-3</c:v>
                </c:pt>
                <c:pt idx="103">
                  <c:v>8.3169899880886078E-3</c:v>
                </c:pt>
                <c:pt idx="104">
                  <c:v>6.2055988237261772E-3</c:v>
                </c:pt>
                <c:pt idx="105">
                  <c:v>4.0487484075129032E-3</c:v>
                </c:pt>
                <c:pt idx="106">
                  <c:v>5.5039972066879272E-3</c:v>
                </c:pt>
                <c:pt idx="107">
                  <c:v>2.3383710533380508E-2</c:v>
                </c:pt>
                <c:pt idx="108">
                  <c:v>5.386459082365036E-2</c:v>
                </c:pt>
                <c:pt idx="109">
                  <c:v>0.13755373656749725</c:v>
                </c:pt>
                <c:pt idx="110">
                  <c:v>0.19221629202365875</c:v>
                </c:pt>
                <c:pt idx="111">
                  <c:v>0.20696648955345154</c:v>
                </c:pt>
                <c:pt idx="112">
                  <c:v>0.18228419125080109</c:v>
                </c:pt>
                <c:pt idx="113">
                  <c:v>0.12959402799606323</c:v>
                </c:pt>
                <c:pt idx="114">
                  <c:v>5.8642558753490448E-2</c:v>
                </c:pt>
                <c:pt idx="115">
                  <c:v>7.1322016417980194E-2</c:v>
                </c:pt>
                <c:pt idx="116">
                  <c:v>8.5181780159473419E-2</c:v>
                </c:pt>
                <c:pt idx="117">
                  <c:v>8.7675862014293671E-2</c:v>
                </c:pt>
                <c:pt idx="118">
                  <c:v>8.6007162928581238E-2</c:v>
                </c:pt>
                <c:pt idx="119">
                  <c:v>8.4362350404262543E-2</c:v>
                </c:pt>
                <c:pt idx="120">
                  <c:v>6.7108817398548126E-2</c:v>
                </c:pt>
                <c:pt idx="121">
                  <c:v>2.6134539395570755E-2</c:v>
                </c:pt>
                <c:pt idx="122">
                  <c:v>2.2241702303290367E-2</c:v>
                </c:pt>
                <c:pt idx="123">
                  <c:v>1.5086752362549305E-2</c:v>
                </c:pt>
                <c:pt idx="124">
                  <c:v>1.1824492365121841E-2</c:v>
                </c:pt>
                <c:pt idx="125">
                  <c:v>1.1345003731548786E-2</c:v>
                </c:pt>
                <c:pt idx="126">
                  <c:v>1.1502921581268311E-2</c:v>
                </c:pt>
                <c:pt idx="127">
                  <c:v>9.1927014291286469E-3</c:v>
                </c:pt>
                <c:pt idx="128">
                  <c:v>8.3169899880886078E-3</c:v>
                </c:pt>
                <c:pt idx="129">
                  <c:v>1.0291408747434616E-2</c:v>
                </c:pt>
                <c:pt idx="130">
                  <c:v>9.3241743743419647E-3</c:v>
                </c:pt>
                <c:pt idx="131">
                  <c:v>6.1137699522078037E-3</c:v>
                </c:pt>
                <c:pt idx="132">
                  <c:v>3.8029246497899294E-3</c:v>
                </c:pt>
                <c:pt idx="133">
                  <c:v>5.8454661630094051E-3</c:v>
                </c:pt>
                <c:pt idx="134">
                  <c:v>5.7583819143474102E-3</c:v>
                </c:pt>
                <c:pt idx="135">
                  <c:v>5.933716893196106E-3</c:v>
                </c:pt>
                <c:pt idx="136">
                  <c:v>4.7997091896831989E-3</c:v>
                </c:pt>
                <c:pt idx="137">
                  <c:v>8.8079702109098434E-3</c:v>
                </c:pt>
                <c:pt idx="138">
                  <c:v>2.1416401490569115E-2</c:v>
                </c:pt>
                <c:pt idx="139">
                  <c:v>1.2836433947086334E-2</c:v>
                </c:pt>
                <c:pt idx="140">
                  <c:v>1.6768606379628181E-2</c:v>
                </c:pt>
                <c:pt idx="141">
                  <c:v>3.605346754193306E-2</c:v>
                </c:pt>
                <c:pt idx="142">
                  <c:v>4.2780507355928421E-2</c:v>
                </c:pt>
                <c:pt idx="143">
                  <c:v>6.6425718367099762E-2</c:v>
                </c:pt>
                <c:pt idx="144">
                  <c:v>9.1953083872795105E-2</c:v>
                </c:pt>
                <c:pt idx="145">
                  <c:v>0.12195919454097748</c:v>
                </c:pt>
                <c:pt idx="146">
                  <c:v>0.1446368396282196</c:v>
                </c:pt>
                <c:pt idx="147">
                  <c:v>0.13296538591384888</c:v>
                </c:pt>
                <c:pt idx="148">
                  <c:v>0.16340313851833344</c:v>
                </c:pt>
                <c:pt idx="149">
                  <c:v>0.16340313851833344</c:v>
                </c:pt>
                <c:pt idx="150">
                  <c:v>0.16210490465164185</c:v>
                </c:pt>
                <c:pt idx="151">
                  <c:v>0.15571482479572296</c:v>
                </c:pt>
                <c:pt idx="152">
                  <c:v>0.29917380213737488</c:v>
                </c:pt>
                <c:pt idx="153">
                  <c:v>0.19657234847545624</c:v>
                </c:pt>
                <c:pt idx="154">
                  <c:v>0.19511373341083527</c:v>
                </c:pt>
                <c:pt idx="155">
                  <c:v>0.21767903864383698</c:v>
                </c:pt>
                <c:pt idx="156">
                  <c:v>0.21151888370513916</c:v>
                </c:pt>
                <c:pt idx="157">
                  <c:v>0.1808919757604599</c:v>
                </c:pt>
                <c:pt idx="158">
                  <c:v>0.22079753875732422</c:v>
                </c:pt>
                <c:pt idx="159">
                  <c:v>0.16081342101097107</c:v>
                </c:pt>
                <c:pt idx="160">
                  <c:v>0.11464595794677734</c:v>
                </c:pt>
                <c:pt idx="161">
                  <c:v>0.12737962603569031</c:v>
                </c:pt>
                <c:pt idx="162">
                  <c:v>0.11774105578660965</c:v>
                </c:pt>
                <c:pt idx="163">
                  <c:v>0.14106515049934387</c:v>
                </c:pt>
                <c:pt idx="164">
                  <c:v>0.10667659342288971</c:v>
                </c:pt>
                <c:pt idx="165">
                  <c:v>6.9895625114440918E-2</c:v>
                </c:pt>
                <c:pt idx="166">
                  <c:v>9.4592519104480743E-2</c:v>
                </c:pt>
                <c:pt idx="167">
                  <c:v>8.0353721976280212E-2</c:v>
                </c:pt>
                <c:pt idx="168">
                  <c:v>7.8791193664073944E-2</c:v>
                </c:pt>
                <c:pt idx="169">
                  <c:v>9.9115006625652313E-2</c:v>
                </c:pt>
                <c:pt idx="170">
                  <c:v>0.12628234922885895</c:v>
                </c:pt>
                <c:pt idx="171">
                  <c:v>0.1446368396282196</c:v>
                </c:pt>
                <c:pt idx="172">
                  <c:v>0.19803756475448608</c:v>
                </c:pt>
                <c:pt idx="173">
                  <c:v>0.19511373341083527</c:v>
                </c:pt>
                <c:pt idx="174">
                  <c:v>0.21151888370513916</c:v>
                </c:pt>
                <c:pt idx="175">
                  <c:v>0.22870469093322754</c:v>
                </c:pt>
                <c:pt idx="176">
                  <c:v>0.22552290558815002</c:v>
                </c:pt>
                <c:pt idx="177">
                  <c:v>0.2351432591676712</c:v>
                </c:pt>
                <c:pt idx="178">
                  <c:v>0.27756261825561523</c:v>
                </c:pt>
                <c:pt idx="179">
                  <c:v>0.28468108177185059</c:v>
                </c:pt>
                <c:pt idx="180">
                  <c:v>0.22711065411567688</c:v>
                </c:pt>
                <c:pt idx="181">
                  <c:v>0.20696648955345154</c:v>
                </c:pt>
                <c:pt idx="182">
                  <c:v>0.14106515049934387</c:v>
                </c:pt>
                <c:pt idx="183">
                  <c:v>0.10096760094165802</c:v>
                </c:pt>
                <c:pt idx="184">
                  <c:v>6.5075695514678955E-2</c:v>
                </c:pt>
                <c:pt idx="185">
                  <c:v>7.4985690414905548E-2</c:v>
                </c:pt>
                <c:pt idx="186">
                  <c:v>6.5748021006584167E-2</c:v>
                </c:pt>
                <c:pt idx="187">
                  <c:v>7.8018620610237122E-2</c:v>
                </c:pt>
                <c:pt idx="188">
                  <c:v>4.4240701943635941E-2</c:v>
                </c:pt>
                <c:pt idx="189">
                  <c:v>3.863232210278511E-2</c:v>
                </c:pt>
                <c:pt idx="190">
                  <c:v>9.7285117954015732E-3</c:v>
                </c:pt>
                <c:pt idx="191">
                  <c:v>6.5852454863488674E-3</c:v>
                </c:pt>
                <c:pt idx="192">
                  <c:v>5.8454661630094051E-3</c:v>
                </c:pt>
                <c:pt idx="193">
                  <c:v>8.0806370824575424E-3</c:v>
                </c:pt>
                <c:pt idx="194">
                  <c:v>4.8737823963165283E-3</c:v>
                </c:pt>
                <c:pt idx="195">
                  <c:v>7.8502083197236061E-3</c:v>
                </c:pt>
                <c:pt idx="196">
                  <c:v>1.2836433947086334E-2</c:v>
                </c:pt>
                <c:pt idx="197">
                  <c:v>1.8849939107894897E-2</c:v>
                </c:pt>
                <c:pt idx="198">
                  <c:v>2.5188976898789406E-2</c:v>
                </c:pt>
                <c:pt idx="199">
                  <c:v>2.9859120026230812E-2</c:v>
                </c:pt>
                <c:pt idx="200">
                  <c:v>3.7756502628326416E-2</c:v>
                </c:pt>
                <c:pt idx="201">
                  <c:v>2.7109604328870773E-2</c:v>
                </c:pt>
                <c:pt idx="202">
                  <c:v>2.427225187420845E-2</c:v>
                </c:pt>
                <c:pt idx="203">
                  <c:v>3.361734002828598E-2</c:v>
                </c:pt>
                <c:pt idx="204">
                  <c:v>3.0218534171581268E-2</c:v>
                </c:pt>
                <c:pt idx="205">
                  <c:v>3.7324707955121994E-2</c:v>
                </c:pt>
                <c:pt idx="206">
                  <c:v>3.863232210278511E-2</c:v>
                </c:pt>
                <c:pt idx="207">
                  <c:v>5.8642558753490448E-2</c:v>
                </c:pt>
                <c:pt idx="208">
                  <c:v>8.6007162928581238E-2</c:v>
                </c:pt>
                <c:pt idx="209">
                  <c:v>9.1085508465766907E-2</c:v>
                </c:pt>
                <c:pt idx="210">
                  <c:v>4.9941562116146088E-2</c:v>
                </c:pt>
                <c:pt idx="211">
                  <c:v>3.4413870424032211E-2</c:v>
                </c:pt>
                <c:pt idx="212">
                  <c:v>4.230252280831337E-2</c:v>
                </c:pt>
                <c:pt idx="213">
                  <c:v>3.322480246424675E-2</c:v>
                </c:pt>
                <c:pt idx="214">
                  <c:v>3.8192365318536758E-2</c:v>
                </c:pt>
                <c:pt idx="215">
                  <c:v>4.1828867048025131E-2</c:v>
                </c:pt>
                <c:pt idx="216">
                  <c:v>3.2836046069860458E-2</c:v>
                </c:pt>
                <c:pt idx="217">
                  <c:v>3.361734002828598E-2</c:v>
                </c:pt>
                <c:pt idx="218">
                  <c:v>3.0581524595618248E-2</c:v>
                </c:pt>
                <c:pt idx="219">
                  <c:v>1.7213303595781326E-2</c:v>
                </c:pt>
                <c:pt idx="220">
                  <c:v>1.6120001673698425E-2</c:v>
                </c:pt>
                <c:pt idx="221">
                  <c:v>1.5699643641710281E-2</c:v>
                </c:pt>
                <c:pt idx="222">
                  <c:v>1.6333771869540215E-2</c:v>
                </c:pt>
                <c:pt idx="223">
                  <c:v>2.0617138594388962E-2</c:v>
                </c:pt>
                <c:pt idx="224">
                  <c:v>3.322480246424675E-2</c:v>
                </c:pt>
                <c:pt idx="225">
                  <c:v>4.2780507355928421E-2</c:v>
                </c:pt>
                <c:pt idx="226">
                  <c:v>5.2154399454593658E-2</c:v>
                </c:pt>
                <c:pt idx="227">
                  <c:v>4.6249840408563614E-2</c:v>
                </c:pt>
                <c:pt idx="228">
                  <c:v>5.5618878453969955E-2</c:v>
                </c:pt>
                <c:pt idx="229">
                  <c:v>5.1594018936157227E-2</c:v>
                </c:pt>
                <c:pt idx="230">
                  <c:v>4.7804251313209534E-2</c:v>
                </c:pt>
                <c:pt idx="231">
                  <c:v>6.1153203248977661E-2</c:v>
                </c:pt>
                <c:pt idx="232">
                  <c:v>6.8491294980049133E-2</c:v>
                </c:pt>
                <c:pt idx="233">
                  <c:v>8.3548843860626221E-2</c:v>
                </c:pt>
                <c:pt idx="234">
                  <c:v>8.3548843860626221E-2</c:v>
                </c:pt>
                <c:pt idx="235">
                  <c:v>0.10667659342288971</c:v>
                </c:pt>
                <c:pt idx="236">
                  <c:v>0.10096760094165802</c:v>
                </c:pt>
                <c:pt idx="237">
                  <c:v>9.9115006625652313E-2</c:v>
                </c:pt>
                <c:pt idx="238">
                  <c:v>0.13183495402336121</c:v>
                </c:pt>
                <c:pt idx="239">
                  <c:v>0.16470810770988464</c:v>
                </c:pt>
                <c:pt idx="240">
                  <c:v>0.15320594608783722</c:v>
                </c:pt>
                <c:pt idx="241">
                  <c:v>0.18368309736251831</c:v>
                </c:pt>
                <c:pt idx="242">
                  <c:v>0.1808919757604599</c:v>
                </c:pt>
                <c:pt idx="243">
                  <c:v>0.16733822226524353</c:v>
                </c:pt>
                <c:pt idx="244">
                  <c:v>0.19950935244560242</c:v>
                </c:pt>
                <c:pt idx="245">
                  <c:v>0.1907774955034256</c:v>
                </c:pt>
                <c:pt idx="246">
                  <c:v>0.2223663330078125</c:v>
                </c:pt>
                <c:pt idx="247">
                  <c:v>0.25504627823829651</c:v>
                </c:pt>
                <c:pt idx="248">
                  <c:v>0.28289332985877991</c:v>
                </c:pt>
                <c:pt idx="249">
                  <c:v>0.2516690194606781</c:v>
                </c:pt>
                <c:pt idx="250">
                  <c:v>0.29551935195922852</c:v>
                </c:pt>
                <c:pt idx="251">
                  <c:v>0.2722814679145813</c:v>
                </c:pt>
                <c:pt idx="252">
                  <c:v>0.2516690194606781</c:v>
                </c:pt>
                <c:pt idx="253">
                  <c:v>0.27933403849601746</c:v>
                </c:pt>
                <c:pt idx="254">
                  <c:v>0.26531851291656494</c:v>
                </c:pt>
                <c:pt idx="255">
                  <c:v>0.25504627823829651</c:v>
                </c:pt>
                <c:pt idx="256">
                  <c:v>0.2054620087146759</c:v>
                </c:pt>
                <c:pt idx="257">
                  <c:v>0.20999494194984436</c:v>
                </c:pt>
                <c:pt idx="258">
                  <c:v>0.24003712832927704</c:v>
                </c:pt>
                <c:pt idx="259">
                  <c:v>0.22552290558815002</c:v>
                </c:pt>
                <c:pt idx="260">
                  <c:v>0.18934531509876251</c:v>
                </c:pt>
                <c:pt idx="261">
                  <c:v>0.19366170465946198</c:v>
                </c:pt>
                <c:pt idx="262">
                  <c:v>0.23191152513027191</c:v>
                </c:pt>
                <c:pt idx="263">
                  <c:v>0.2130492776632309</c:v>
                </c:pt>
                <c:pt idx="264">
                  <c:v>0.20396403968334198</c:v>
                </c:pt>
                <c:pt idx="265">
                  <c:v>0.1686633825302124</c:v>
                </c:pt>
                <c:pt idx="266">
                  <c:v>8.8519208133220673E-2</c:v>
                </c:pt>
                <c:pt idx="267">
                  <c:v>9.7287386655807495E-2</c:v>
                </c:pt>
                <c:pt idx="268">
                  <c:v>0.11261498928070068</c:v>
                </c:pt>
                <c:pt idx="269">
                  <c:v>0.10667659342288971</c:v>
                </c:pt>
                <c:pt idx="270">
                  <c:v>7.6490715146064758E-2</c:v>
                </c:pt>
                <c:pt idx="271">
                  <c:v>0.11160919070243835</c:v>
                </c:pt>
                <c:pt idx="272">
                  <c:v>6.8491294980049133E-2</c:v>
                </c:pt>
                <c:pt idx="273">
                  <c:v>3.4013688564300537E-2</c:v>
                </c:pt>
                <c:pt idx="274">
                  <c:v>6.7108817398548126E-2</c:v>
                </c:pt>
                <c:pt idx="275">
                  <c:v>6.5075695514678955E-2</c:v>
                </c:pt>
                <c:pt idx="276">
                  <c:v>3.5225845873355865E-2</c:v>
                </c:pt>
                <c:pt idx="277">
                  <c:v>3.2836046069860458E-2</c:v>
                </c:pt>
                <c:pt idx="278">
                  <c:v>2.2241702303290367E-2</c:v>
                </c:pt>
                <c:pt idx="279">
                  <c:v>1.7213303595781326E-2</c:v>
                </c:pt>
                <c:pt idx="280">
                  <c:v>7.0885876193642616E-3</c:v>
                </c:pt>
                <c:pt idx="281">
                  <c:v>9.0628545731306076E-3</c:v>
                </c:pt>
                <c:pt idx="282">
                  <c:v>8.0806370824575424E-3</c:v>
                </c:pt>
                <c:pt idx="283">
                  <c:v>9.7285117954015732E-3</c:v>
                </c:pt>
                <c:pt idx="284">
                  <c:v>1.0882502421736717E-2</c:v>
                </c:pt>
                <c:pt idx="285">
                  <c:v>8.9346161112189293E-3</c:v>
                </c:pt>
                <c:pt idx="286">
                  <c:v>1.1824492365121841E-2</c:v>
                </c:pt>
                <c:pt idx="287">
                  <c:v>6.9852853193879128E-3</c:v>
                </c:pt>
                <c:pt idx="288">
                  <c:v>9.5920627936720848E-3</c:v>
                </c:pt>
                <c:pt idx="289">
                  <c:v>8.3169899880886078E-3</c:v>
                </c:pt>
                <c:pt idx="290">
                  <c:v>7.6255789026618004E-3</c:v>
                </c:pt>
                <c:pt idx="291">
                  <c:v>7.6255789026618004E-3</c:v>
                </c:pt>
                <c:pt idx="292">
                  <c:v>1.4887076802551746E-2</c:v>
                </c:pt>
                <c:pt idx="293">
                  <c:v>2.2241702303290367E-2</c:v>
                </c:pt>
                <c:pt idx="294">
                  <c:v>1.934119313955307E-2</c:v>
                </c:pt>
                <c:pt idx="295">
                  <c:v>3.5225845873355865E-2</c:v>
                </c:pt>
                <c:pt idx="296">
                  <c:v>4.9400217831134796E-2</c:v>
                </c:pt>
                <c:pt idx="297">
                  <c:v>4.2780507355928421E-2</c:v>
                </c:pt>
                <c:pt idx="298">
                  <c:v>3.2451048493385315E-2</c:v>
                </c:pt>
                <c:pt idx="299">
                  <c:v>3.5225845873355865E-2</c:v>
                </c:pt>
                <c:pt idx="300">
                  <c:v>2.8456749394536018E-2</c:v>
                </c:pt>
                <c:pt idx="301">
                  <c:v>2.7776377275586128E-2</c:v>
                </c:pt>
                <c:pt idx="302">
                  <c:v>2.8114849701523781E-2</c:v>
                </c:pt>
                <c:pt idx="303">
                  <c:v>2.9859120026230812E-2</c:v>
                </c:pt>
                <c:pt idx="304">
                  <c:v>3.7324707955121994E-2</c:v>
                </c:pt>
                <c:pt idx="305">
                  <c:v>3.5637687891721725E-2</c:v>
                </c:pt>
                <c:pt idx="306">
                  <c:v>4.4736269861459732E-2</c:v>
                </c:pt>
                <c:pt idx="307">
                  <c:v>6.3747063279151917E-2</c:v>
                </c:pt>
                <c:pt idx="308">
                  <c:v>8.6838513612747192E-2</c:v>
                </c:pt>
                <c:pt idx="309">
                  <c:v>7.1322016417980194E-2</c:v>
                </c:pt>
                <c:pt idx="310">
                  <c:v>9.1085508465766907E-2</c:v>
                </c:pt>
                <c:pt idx="311">
                  <c:v>0.10379362851381302</c:v>
                </c:pt>
                <c:pt idx="312">
                  <c:v>9.5484629273414612E-2</c:v>
                </c:pt>
                <c:pt idx="313">
                  <c:v>0.11060984432697296</c:v>
                </c:pt>
                <c:pt idx="314">
                  <c:v>9.6382908523082733E-2</c:v>
                </c:pt>
                <c:pt idx="315">
                  <c:v>0.10474827140569687</c:v>
                </c:pt>
                <c:pt idx="316">
                  <c:v>0.13871751725673676</c:v>
                </c:pt>
                <c:pt idx="317">
                  <c:v>0.1341024786233902</c:v>
                </c:pt>
                <c:pt idx="318">
                  <c:v>0.15072399377822876</c:v>
                </c:pt>
                <c:pt idx="319">
                  <c:v>0.13871751725673676</c:v>
                </c:pt>
                <c:pt idx="320">
                  <c:v>0.1446368396282196</c:v>
                </c:pt>
                <c:pt idx="321">
                  <c:v>0.13871751725673676</c:v>
                </c:pt>
                <c:pt idx="322">
                  <c:v>0.1446368396282196</c:v>
                </c:pt>
                <c:pt idx="323">
                  <c:v>0.12959402799606323</c:v>
                </c:pt>
                <c:pt idx="324">
                  <c:v>0.10961691290140152</c:v>
                </c:pt>
                <c:pt idx="325">
                  <c:v>0.12628234922885895</c:v>
                </c:pt>
                <c:pt idx="326">
                  <c:v>0.13988798856735229</c:v>
                </c:pt>
                <c:pt idx="327">
                  <c:v>0.1458408385515213</c:v>
                </c:pt>
                <c:pt idx="328">
                  <c:v>0.10961691290140152</c:v>
                </c:pt>
                <c:pt idx="329">
                  <c:v>7.4241705238819122E-2</c:v>
                </c:pt>
                <c:pt idx="330">
                  <c:v>7.7251791954040527E-2</c:v>
                </c:pt>
                <c:pt idx="331">
                  <c:v>6.3090711832046509E-2</c:v>
                </c:pt>
                <c:pt idx="332">
                  <c:v>6.7108817398548126E-2</c:v>
                </c:pt>
                <c:pt idx="333">
                  <c:v>7.3503360152244568E-2</c:v>
                </c:pt>
                <c:pt idx="334">
                  <c:v>6.5075695514678955E-2</c:v>
                </c:pt>
                <c:pt idx="335">
                  <c:v>5.3289663046598434E-2</c:v>
                </c:pt>
                <c:pt idx="336">
                  <c:v>7.4985690414905548E-2</c:v>
                </c:pt>
                <c:pt idx="337">
                  <c:v>6.7797325551509857E-2</c:v>
                </c:pt>
                <c:pt idx="338">
                  <c:v>6.5748021006584167E-2</c:v>
                </c:pt>
                <c:pt idx="339">
                  <c:v>7.4985690414905548E-2</c:v>
                </c:pt>
                <c:pt idx="340">
                  <c:v>8.9368589222431183E-2</c:v>
                </c:pt>
                <c:pt idx="341">
                  <c:v>8.6838513612747192E-2</c:v>
                </c:pt>
                <c:pt idx="342">
                  <c:v>9.6382908523082733E-2</c:v>
                </c:pt>
                <c:pt idx="343">
                  <c:v>0.11160919070243835</c:v>
                </c:pt>
                <c:pt idx="344">
                  <c:v>9.0224012732505798E-2</c:v>
                </c:pt>
                <c:pt idx="345">
                  <c:v>0.10096760094165802</c:v>
                </c:pt>
                <c:pt idx="346">
                  <c:v>0.11362723261117935</c:v>
                </c:pt>
                <c:pt idx="347">
                  <c:v>0.12848351895809174</c:v>
                </c:pt>
                <c:pt idx="348">
                  <c:v>0.1686633825302124</c:v>
                </c:pt>
                <c:pt idx="349">
                  <c:v>0.13988798856735229</c:v>
                </c:pt>
                <c:pt idx="350">
                  <c:v>0.14106515049934387</c:v>
                </c:pt>
                <c:pt idx="351">
                  <c:v>0.11983703821897507</c:v>
                </c:pt>
                <c:pt idx="352">
                  <c:v>0.11464595794677734</c:v>
                </c:pt>
                <c:pt idx="353">
                  <c:v>0.10096760094165802</c:v>
                </c:pt>
                <c:pt idx="354">
                  <c:v>0.11160919070243835</c:v>
                </c:pt>
                <c:pt idx="355">
                  <c:v>0.10961691290140152</c:v>
                </c:pt>
                <c:pt idx="356">
                  <c:v>0.11160919070243835</c:v>
                </c:pt>
                <c:pt idx="357">
                  <c:v>0.11060984432697296</c:v>
                </c:pt>
                <c:pt idx="358">
                  <c:v>0.10284531116485596</c:v>
                </c:pt>
                <c:pt idx="359">
                  <c:v>0.12519167363643646</c:v>
                </c:pt>
                <c:pt idx="360">
                  <c:v>0.13639664649963379</c:v>
                </c:pt>
                <c:pt idx="361">
                  <c:v>0.15196160972118378</c:v>
                </c:pt>
                <c:pt idx="362">
                  <c:v>0.14343957602977753</c:v>
                </c:pt>
                <c:pt idx="363">
                  <c:v>0.11774105578660965</c:v>
                </c:pt>
                <c:pt idx="364">
                  <c:v>0.13183495402336121</c:v>
                </c:pt>
                <c:pt idx="365">
                  <c:v>0.16210490465164185</c:v>
                </c:pt>
                <c:pt idx="366">
                  <c:v>0.16601979732513428</c:v>
                </c:pt>
                <c:pt idx="367">
                  <c:v>0.17538997530937195</c:v>
                </c:pt>
                <c:pt idx="368">
                  <c:v>0.1808919757604599</c:v>
                </c:pt>
                <c:pt idx="369">
                  <c:v>0.15571482479572296</c:v>
                </c:pt>
                <c:pt idx="370">
                  <c:v>0.10667659342288971</c:v>
                </c:pt>
                <c:pt idx="371">
                  <c:v>9.2826768755912781E-2</c:v>
                </c:pt>
                <c:pt idx="372">
                  <c:v>8.2741253077983856E-2</c:v>
                </c:pt>
                <c:pt idx="373">
                  <c:v>9.3706570565700531E-2</c:v>
                </c:pt>
                <c:pt idx="374">
                  <c:v>0.10765030980110168</c:v>
                </c:pt>
                <c:pt idx="375">
                  <c:v>0.12195919454097748</c:v>
                </c:pt>
                <c:pt idx="376">
                  <c:v>0.12737962603569031</c:v>
                </c:pt>
                <c:pt idx="377">
                  <c:v>0.11261498928070068</c:v>
                </c:pt>
                <c:pt idx="378">
                  <c:v>9.4592519104480743E-2</c:v>
                </c:pt>
                <c:pt idx="379">
                  <c:v>0.1057092547416687</c:v>
                </c:pt>
                <c:pt idx="380">
                  <c:v>0.10096760094165802</c:v>
                </c:pt>
                <c:pt idx="381">
                  <c:v>0.10765030980110168</c:v>
                </c:pt>
                <c:pt idx="382">
                  <c:v>0.11567115783691406</c:v>
                </c:pt>
                <c:pt idx="383">
                  <c:v>0.11362723261117935</c:v>
                </c:pt>
                <c:pt idx="384">
                  <c:v>0.10379362851381302</c:v>
                </c:pt>
                <c:pt idx="385">
                  <c:v>0.10961691290140152</c:v>
                </c:pt>
                <c:pt idx="386">
                  <c:v>0.11567115783691406</c:v>
                </c:pt>
                <c:pt idx="387">
                  <c:v>9.6382908523082733E-2</c:v>
                </c:pt>
                <c:pt idx="388">
                  <c:v>0.11567115783691406</c:v>
                </c:pt>
                <c:pt idx="389">
                  <c:v>0.13524623215198517</c:v>
                </c:pt>
                <c:pt idx="390">
                  <c:v>0.12737962603569031</c:v>
                </c:pt>
                <c:pt idx="391">
                  <c:v>0.13524623215198517</c:v>
                </c:pt>
                <c:pt idx="392">
                  <c:v>0.12848351895809174</c:v>
                </c:pt>
                <c:pt idx="393">
                  <c:v>0.13183495402336121</c:v>
                </c:pt>
                <c:pt idx="394">
                  <c:v>0.16081342101097107</c:v>
                </c:pt>
                <c:pt idx="395">
                  <c:v>0.20098769664764404</c:v>
                </c:pt>
                <c:pt idx="396">
                  <c:v>0.20696648955345154</c:v>
                </c:pt>
              </c:numCache>
            </c:numRef>
          </c:val>
          <c:smooth val="0"/>
          <c:extLst>
            <c:ext xmlns:c16="http://schemas.microsoft.com/office/drawing/2014/chart" uri="{C3380CC4-5D6E-409C-BE32-E72D297353CC}">
              <c16:uniqueId val="{00000003-36E2-4900-9901-458A2A794684}"/>
            </c:ext>
          </c:extLst>
        </c:ser>
        <c:dLbls>
          <c:showLegendKey val="0"/>
          <c:showVal val="0"/>
          <c:showCatName val="0"/>
          <c:showSerName val="0"/>
          <c:showPercent val="0"/>
          <c:showBubbleSize val="0"/>
        </c:dLbls>
        <c:marker val="1"/>
        <c:smooth val="0"/>
        <c:axId val="693092223"/>
        <c:axId val="977885967"/>
      </c:lineChart>
      <c:dateAx>
        <c:axId val="693092223"/>
        <c:scaling>
          <c:orientation val="minMax"/>
        </c:scaling>
        <c:delete val="0"/>
        <c:axPos val="b"/>
        <c:numFmt formatCode="[$-1009]d/mmm/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7885967"/>
        <c:crosses val="autoZero"/>
        <c:auto val="0"/>
        <c:lblOffset val="100"/>
        <c:baseTimeUnit val="days"/>
      </c:dateAx>
      <c:valAx>
        <c:axId val="977885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Probability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092223"/>
        <c:crosses val="autoZero"/>
        <c:crossBetween val="between"/>
      </c:valAx>
      <c:valAx>
        <c:axId val="977883887"/>
        <c:scaling>
          <c:orientation val="minMax"/>
          <c:max val="1"/>
        </c:scaling>
        <c:delete val="0"/>
        <c:axPos val="r"/>
        <c:numFmt formatCode="0.000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1238799"/>
        <c:crosses val="max"/>
        <c:crossBetween val="between"/>
      </c:valAx>
      <c:catAx>
        <c:axId val="701238799"/>
        <c:scaling>
          <c:orientation val="minMax"/>
        </c:scaling>
        <c:delete val="1"/>
        <c:axPos val="b"/>
        <c:numFmt formatCode="General" sourceLinked="1"/>
        <c:majorTickMark val="out"/>
        <c:minorTickMark val="none"/>
        <c:tickLblPos val="nextTo"/>
        <c:crossAx val="977883887"/>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9D940C-D1A1-4798-B7B2-12F4D8D7A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APA-Headings-Scribbr</Template>
  <TotalTime>5</TotalTime>
  <Pages>1</Pages>
  <Words>8749</Words>
  <Characters>49870</Characters>
  <Application>Microsoft Office Word</Application>
  <DocSecurity>0</DocSecurity>
  <Lines>415</Lines>
  <Paragraphs>117</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58502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ksolt053@pcsun.ad.uottawa.ca</dc:creator>
  <cp:keywords/>
  <dc:description/>
  <cp:lastModifiedBy>Windows User</cp:lastModifiedBy>
  <cp:revision>5</cp:revision>
  <cp:lastPrinted>2020-05-07T23:14:00Z</cp:lastPrinted>
  <dcterms:created xsi:type="dcterms:W3CDTF">2020-05-07T23:10:00Z</dcterms:created>
  <dcterms:modified xsi:type="dcterms:W3CDTF">2020-05-07T23:15:00Z</dcterms:modified>
</cp:coreProperties>
</file>