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B36CF2" w14:textId="307EB9D0" w:rsidR="0048172F" w:rsidRPr="002573A7" w:rsidRDefault="00A33951" w:rsidP="0048172F">
      <w:pPr>
        <w:spacing w:line="480" w:lineRule="auto"/>
        <w:contextualSpacing/>
        <w:rPr>
          <w:rFonts w:ascii="Times New Roman" w:hAnsi="Times New Roman" w:cs="Times New Roman"/>
          <w:b/>
        </w:rPr>
      </w:pPr>
      <w:r w:rsidRPr="002573A7">
        <w:rPr>
          <w:rFonts w:ascii="Times New Roman" w:hAnsi="Times New Roman" w:cs="Times New Roman"/>
          <w:b/>
        </w:rPr>
        <w:t xml:space="preserve">Evaluating the </w:t>
      </w:r>
      <w:r w:rsidR="007542A4" w:rsidRPr="002573A7">
        <w:rPr>
          <w:rFonts w:ascii="Times New Roman" w:hAnsi="Times New Roman" w:cs="Times New Roman"/>
          <w:b/>
        </w:rPr>
        <w:t>Predictive Capabilities of Hematoma Expansion Scores</w:t>
      </w:r>
      <w:r w:rsidR="0053439C">
        <w:rPr>
          <w:rFonts w:ascii="Times New Roman" w:hAnsi="Times New Roman" w:cs="Times New Roman"/>
          <w:b/>
        </w:rPr>
        <w:t xml:space="preserve"> in Patients with A</w:t>
      </w:r>
      <w:r w:rsidR="0053439C" w:rsidRPr="0053439C">
        <w:rPr>
          <w:rFonts w:ascii="Times New Roman" w:hAnsi="Times New Roman" w:cs="Times New Roman"/>
          <w:b/>
        </w:rPr>
        <w:t>cute</w:t>
      </w:r>
      <w:r w:rsidR="0053439C">
        <w:rPr>
          <w:rFonts w:ascii="Times New Roman" w:hAnsi="Times New Roman" w:cs="Times New Roman"/>
          <w:b/>
        </w:rPr>
        <w:t xml:space="preserve"> Intracerebral H</w:t>
      </w:r>
      <w:r w:rsidR="0053439C" w:rsidRPr="0053439C">
        <w:rPr>
          <w:rFonts w:ascii="Times New Roman" w:hAnsi="Times New Roman" w:cs="Times New Roman"/>
          <w:b/>
        </w:rPr>
        <w:t>emorrhage</w:t>
      </w:r>
      <w:r w:rsidR="007542A4" w:rsidRPr="002573A7">
        <w:rPr>
          <w:rFonts w:ascii="Times New Roman" w:hAnsi="Times New Roman" w:cs="Times New Roman"/>
          <w:b/>
        </w:rPr>
        <w:t>: Protocol for a Scoping Review</w:t>
      </w:r>
    </w:p>
    <w:p w14:paraId="67EB69CE" w14:textId="77777777" w:rsidR="0048172F" w:rsidRPr="002573A7" w:rsidRDefault="0048172F" w:rsidP="0048172F">
      <w:pPr>
        <w:spacing w:line="480" w:lineRule="auto"/>
        <w:contextualSpacing/>
        <w:rPr>
          <w:rFonts w:ascii="Times New Roman" w:hAnsi="Times New Roman" w:cs="Times New Roman"/>
        </w:rPr>
      </w:pPr>
    </w:p>
    <w:p w14:paraId="4D5C8749" w14:textId="19DEE190" w:rsidR="000015B9" w:rsidRPr="002573A7" w:rsidRDefault="0048172F" w:rsidP="0048172F">
      <w:pPr>
        <w:spacing w:line="480" w:lineRule="auto"/>
        <w:contextualSpacing/>
        <w:rPr>
          <w:rFonts w:ascii="Times New Roman" w:hAnsi="Times New Roman" w:cs="Times New Roman"/>
          <w:vertAlign w:val="superscript"/>
        </w:rPr>
      </w:pPr>
      <w:r w:rsidRPr="002573A7">
        <w:rPr>
          <w:rFonts w:ascii="Times New Roman" w:hAnsi="Times New Roman" w:cs="Times New Roman"/>
        </w:rPr>
        <w:t>Vignan Yogendrakumar</w:t>
      </w:r>
      <w:r w:rsidRPr="002573A7">
        <w:rPr>
          <w:rFonts w:ascii="Times New Roman" w:hAnsi="Times New Roman" w:cs="Times New Roman"/>
          <w:vertAlign w:val="superscript"/>
        </w:rPr>
        <w:t>1</w:t>
      </w:r>
      <w:r w:rsidRPr="002573A7">
        <w:rPr>
          <w:rFonts w:ascii="Times New Roman" w:hAnsi="Times New Roman" w:cs="Times New Roman"/>
        </w:rPr>
        <w:t>, Ma</w:t>
      </w:r>
      <w:r w:rsidR="00225DB2">
        <w:rPr>
          <w:rFonts w:ascii="Times New Roman" w:hAnsi="Times New Roman" w:cs="Times New Roman"/>
        </w:rPr>
        <w:t>rg</w:t>
      </w:r>
      <w:r w:rsidR="00B30741">
        <w:rPr>
          <w:rFonts w:ascii="Times New Roman" w:hAnsi="Times New Roman" w:cs="Times New Roman"/>
        </w:rPr>
        <w:t>a</w:t>
      </w:r>
      <w:r w:rsidR="00225DB2">
        <w:rPr>
          <w:rFonts w:ascii="Times New Roman" w:hAnsi="Times New Roman" w:cs="Times New Roman"/>
        </w:rPr>
        <w:t>ret</w:t>
      </w:r>
      <w:bookmarkStart w:id="0" w:name="_GoBack"/>
      <w:bookmarkEnd w:id="0"/>
      <w:r w:rsidRPr="002573A7">
        <w:rPr>
          <w:rFonts w:ascii="Times New Roman" w:hAnsi="Times New Roman" w:cs="Times New Roman"/>
        </w:rPr>
        <w:t xml:space="preserve"> Moores</w:t>
      </w:r>
      <w:r w:rsidRPr="002573A7">
        <w:rPr>
          <w:rFonts w:ascii="Times New Roman" w:hAnsi="Times New Roman" w:cs="Times New Roman"/>
          <w:vertAlign w:val="superscript"/>
        </w:rPr>
        <w:t>1</w:t>
      </w:r>
      <w:r w:rsidRPr="002573A7">
        <w:rPr>
          <w:rFonts w:ascii="Times New Roman" w:hAnsi="Times New Roman" w:cs="Times New Roman"/>
        </w:rPr>
        <w:t xml:space="preserve">, </w:t>
      </w:r>
      <w:r w:rsidR="001D7DF9" w:rsidRPr="002573A7">
        <w:rPr>
          <w:rFonts w:ascii="Times New Roman" w:hAnsi="Times New Roman" w:cs="Times New Roman"/>
        </w:rPr>
        <w:t>Lindsey Sikora</w:t>
      </w:r>
      <w:r w:rsidR="00DF1061" w:rsidRPr="00DF1061">
        <w:rPr>
          <w:rFonts w:ascii="Times New Roman" w:hAnsi="Times New Roman" w:cs="Times New Roman"/>
          <w:vertAlign w:val="superscript"/>
        </w:rPr>
        <w:t>2</w:t>
      </w:r>
      <w:r w:rsidR="001D7DF9" w:rsidRPr="002573A7">
        <w:rPr>
          <w:rFonts w:ascii="Times New Roman" w:hAnsi="Times New Roman" w:cs="Times New Roman"/>
        </w:rPr>
        <w:t xml:space="preserve"> </w:t>
      </w:r>
      <w:r w:rsidRPr="002573A7">
        <w:rPr>
          <w:rFonts w:ascii="Times New Roman" w:hAnsi="Times New Roman" w:cs="Times New Roman"/>
        </w:rPr>
        <w:t>Tim Ramsay</w:t>
      </w:r>
      <w:r w:rsidR="00DF1061">
        <w:rPr>
          <w:rFonts w:ascii="Times New Roman" w:hAnsi="Times New Roman" w:cs="Times New Roman"/>
          <w:vertAlign w:val="superscript"/>
        </w:rPr>
        <w:t>3</w:t>
      </w:r>
      <w:r w:rsidRPr="002573A7">
        <w:rPr>
          <w:rFonts w:ascii="Times New Roman" w:hAnsi="Times New Roman" w:cs="Times New Roman"/>
        </w:rPr>
        <w:t>, Dean Fergusson</w:t>
      </w:r>
      <w:r w:rsidR="00DF1061">
        <w:rPr>
          <w:rFonts w:ascii="Times New Roman" w:hAnsi="Times New Roman" w:cs="Times New Roman"/>
          <w:vertAlign w:val="superscript"/>
        </w:rPr>
        <w:t>3</w:t>
      </w:r>
      <w:r w:rsidRPr="002573A7">
        <w:rPr>
          <w:rFonts w:ascii="Times New Roman" w:hAnsi="Times New Roman" w:cs="Times New Roman"/>
        </w:rPr>
        <w:t>, Dar Dowlatshahi</w:t>
      </w:r>
      <w:r w:rsidRPr="002573A7">
        <w:rPr>
          <w:rFonts w:ascii="Times New Roman" w:hAnsi="Times New Roman" w:cs="Times New Roman"/>
          <w:vertAlign w:val="superscript"/>
        </w:rPr>
        <w:t>1</w:t>
      </w:r>
    </w:p>
    <w:p w14:paraId="42E366E2" w14:textId="77777777" w:rsidR="000015B9" w:rsidRPr="002573A7" w:rsidRDefault="000015B9" w:rsidP="0048172F">
      <w:pPr>
        <w:spacing w:line="480" w:lineRule="auto"/>
        <w:contextualSpacing/>
        <w:rPr>
          <w:rFonts w:ascii="Times New Roman" w:hAnsi="Times New Roman" w:cs="Times New Roman"/>
          <w:b/>
        </w:rPr>
      </w:pPr>
    </w:p>
    <w:p w14:paraId="107F39AB" w14:textId="77777777" w:rsidR="00DF1061" w:rsidRDefault="000015B9" w:rsidP="000015B9">
      <w:pPr>
        <w:spacing w:line="480" w:lineRule="auto"/>
        <w:contextualSpacing/>
        <w:rPr>
          <w:rFonts w:ascii="Times New Roman" w:hAnsi="Times New Roman" w:cs="Times New Roman"/>
          <w:lang w:val="en-CA"/>
        </w:rPr>
      </w:pPr>
      <w:r w:rsidRPr="002573A7">
        <w:rPr>
          <w:rFonts w:ascii="Times New Roman" w:hAnsi="Times New Roman" w:cs="Times New Roman"/>
          <w:vertAlign w:val="superscript"/>
          <w:lang w:val="en-CA"/>
        </w:rPr>
        <w:t>1</w:t>
      </w:r>
      <w:r w:rsidRPr="002573A7">
        <w:rPr>
          <w:rFonts w:ascii="Times New Roman" w:hAnsi="Times New Roman" w:cs="Times New Roman"/>
          <w:lang w:val="en-CA"/>
        </w:rPr>
        <w:t>Ottawa Stroke Program, The Ottawa Hospital: Division of Neurology. University of Ottawa.</w:t>
      </w:r>
    </w:p>
    <w:p w14:paraId="3192AAAB" w14:textId="2D047D61" w:rsidR="00DF1061" w:rsidRPr="00440BCA" w:rsidRDefault="00440BCA" w:rsidP="000015B9">
      <w:pPr>
        <w:spacing w:line="480" w:lineRule="auto"/>
        <w:contextualSpacing/>
        <w:rPr>
          <w:rFonts w:ascii="Times New Roman" w:hAnsi="Times New Roman" w:cs="Times New Roman"/>
        </w:rPr>
      </w:pPr>
      <w:r w:rsidRPr="00440BCA">
        <w:rPr>
          <w:rFonts w:ascii="Times New Roman" w:hAnsi="Times New Roman" w:cs="Times New Roman"/>
          <w:vertAlign w:val="superscript"/>
        </w:rPr>
        <w:t>2</w:t>
      </w:r>
      <w:r w:rsidRPr="00440BCA">
        <w:rPr>
          <w:rFonts w:ascii="Times New Roman" w:hAnsi="Times New Roman" w:cs="Times New Roman"/>
        </w:rPr>
        <w:t>Health Sciences Library</w:t>
      </w:r>
      <w:r>
        <w:rPr>
          <w:rFonts w:ascii="Times New Roman" w:hAnsi="Times New Roman" w:cs="Times New Roman"/>
        </w:rPr>
        <w:t xml:space="preserve">, </w:t>
      </w:r>
      <w:r w:rsidR="004B57DE">
        <w:rPr>
          <w:rFonts w:ascii="Times New Roman" w:hAnsi="Times New Roman" w:cs="Times New Roman"/>
        </w:rPr>
        <w:t>University of Ottawa</w:t>
      </w:r>
    </w:p>
    <w:p w14:paraId="28EED454" w14:textId="132946ED" w:rsidR="000015B9" w:rsidRPr="002573A7" w:rsidRDefault="00DF1061" w:rsidP="000015B9">
      <w:pPr>
        <w:spacing w:line="480" w:lineRule="auto"/>
        <w:contextualSpacing/>
        <w:rPr>
          <w:rFonts w:ascii="Times New Roman" w:hAnsi="Times New Roman" w:cs="Times New Roman"/>
        </w:rPr>
      </w:pPr>
      <w:r>
        <w:rPr>
          <w:rFonts w:ascii="Times New Roman" w:hAnsi="Times New Roman" w:cs="Times New Roman"/>
          <w:vertAlign w:val="superscript"/>
        </w:rPr>
        <w:t>3</w:t>
      </w:r>
      <w:r w:rsidR="000015B9" w:rsidRPr="002573A7">
        <w:rPr>
          <w:rFonts w:ascii="Times New Roman" w:hAnsi="Times New Roman" w:cs="Times New Roman"/>
        </w:rPr>
        <w:t xml:space="preserve">Ottawa Hospital Research Institute, </w:t>
      </w:r>
      <w:r w:rsidR="00702BDC" w:rsidRPr="002573A7">
        <w:rPr>
          <w:rFonts w:ascii="Times New Roman" w:hAnsi="Times New Roman" w:cs="Times New Roman"/>
        </w:rPr>
        <w:t>Ottawa Methods Center</w:t>
      </w:r>
      <w:r w:rsidR="000015B9" w:rsidRPr="002573A7">
        <w:rPr>
          <w:rFonts w:ascii="Times New Roman" w:hAnsi="Times New Roman" w:cs="Times New Roman"/>
        </w:rPr>
        <w:t>. University of Ottawa School of Epidemiology, Public Health and Preventative Medicine.</w:t>
      </w:r>
    </w:p>
    <w:p w14:paraId="6D546764" w14:textId="77777777" w:rsidR="000015B9" w:rsidRPr="002573A7" w:rsidRDefault="000015B9" w:rsidP="000015B9">
      <w:pPr>
        <w:spacing w:line="480" w:lineRule="auto"/>
        <w:contextualSpacing/>
        <w:rPr>
          <w:rFonts w:ascii="Times New Roman" w:hAnsi="Times New Roman" w:cs="Times New Roman"/>
        </w:rPr>
      </w:pPr>
    </w:p>
    <w:p w14:paraId="5A0F4F1A" w14:textId="77777777" w:rsidR="000015B9" w:rsidRPr="002573A7" w:rsidRDefault="000015B9" w:rsidP="000015B9">
      <w:pPr>
        <w:spacing w:line="480" w:lineRule="auto"/>
        <w:contextualSpacing/>
        <w:rPr>
          <w:rFonts w:ascii="Times New Roman" w:hAnsi="Times New Roman" w:cs="Times New Roman"/>
        </w:rPr>
      </w:pPr>
      <w:r w:rsidRPr="002573A7">
        <w:rPr>
          <w:rFonts w:ascii="Times New Roman" w:hAnsi="Times New Roman" w:cs="Times New Roman"/>
          <w:b/>
        </w:rPr>
        <w:t>Corresponding Author</w:t>
      </w:r>
      <w:r w:rsidRPr="002573A7">
        <w:rPr>
          <w:rFonts w:ascii="Times New Roman" w:hAnsi="Times New Roman" w:cs="Times New Roman"/>
        </w:rPr>
        <w:t>:</w:t>
      </w:r>
    </w:p>
    <w:p w14:paraId="185A8851" w14:textId="7BCBECB1" w:rsidR="000015B9" w:rsidRDefault="000015B9" w:rsidP="000015B9">
      <w:pPr>
        <w:spacing w:line="480" w:lineRule="auto"/>
        <w:contextualSpacing/>
        <w:rPr>
          <w:rFonts w:ascii="Times New Roman" w:hAnsi="Times New Roman" w:cs="Times New Roman"/>
          <w:lang w:val="en-CA"/>
        </w:rPr>
      </w:pPr>
      <w:r w:rsidRPr="002573A7">
        <w:rPr>
          <w:rFonts w:ascii="Times New Roman" w:hAnsi="Times New Roman" w:cs="Times New Roman"/>
          <w:lang w:val="en-CA"/>
        </w:rPr>
        <w:t>Dr. Vignan Yogendrakumar, Room C2182. The Ottawa Hospital: Civic Campus. 1053 Carling Avenue. K1Y4E9. Ottawa, Ontario. Phone: 613-274-6046. Fax: 613-761-5360</w:t>
      </w:r>
    </w:p>
    <w:p w14:paraId="59444580" w14:textId="3E5C071B" w:rsidR="006A1508" w:rsidRPr="002573A7" w:rsidRDefault="006A1508" w:rsidP="000015B9">
      <w:pPr>
        <w:spacing w:line="480" w:lineRule="auto"/>
        <w:contextualSpacing/>
        <w:rPr>
          <w:rFonts w:ascii="Times New Roman" w:hAnsi="Times New Roman" w:cs="Times New Roman"/>
          <w:lang w:val="en-CA"/>
        </w:rPr>
      </w:pPr>
      <w:r>
        <w:rPr>
          <w:rFonts w:ascii="Times New Roman" w:hAnsi="Times New Roman" w:cs="Times New Roman"/>
          <w:lang w:val="en-CA"/>
        </w:rPr>
        <w:t>vyogendrakumar@toh.ca</w:t>
      </w:r>
    </w:p>
    <w:p w14:paraId="642C462B" w14:textId="77777777" w:rsidR="000015B9" w:rsidRPr="002573A7" w:rsidRDefault="000015B9" w:rsidP="000015B9">
      <w:pPr>
        <w:spacing w:line="480" w:lineRule="auto"/>
        <w:contextualSpacing/>
        <w:rPr>
          <w:rFonts w:ascii="Times New Roman" w:hAnsi="Times New Roman" w:cs="Times New Roman"/>
          <w:lang w:val="en-CA"/>
        </w:rPr>
      </w:pPr>
    </w:p>
    <w:p w14:paraId="118CC90C" w14:textId="1F72C925" w:rsidR="000015B9" w:rsidRPr="002573A7" w:rsidRDefault="000015B9" w:rsidP="000015B9">
      <w:pPr>
        <w:spacing w:line="480" w:lineRule="auto"/>
        <w:contextualSpacing/>
        <w:rPr>
          <w:rFonts w:ascii="Times New Roman" w:hAnsi="Times New Roman" w:cs="Times New Roman"/>
          <w:lang w:val="en-CA"/>
        </w:rPr>
      </w:pPr>
      <w:r w:rsidRPr="002573A7">
        <w:rPr>
          <w:rFonts w:ascii="Times New Roman" w:hAnsi="Times New Roman" w:cs="Times New Roman"/>
          <w:b/>
          <w:lang w:val="en-CA"/>
        </w:rPr>
        <w:t>Word Count</w:t>
      </w:r>
      <w:r w:rsidRPr="002573A7">
        <w:rPr>
          <w:rFonts w:ascii="Times New Roman" w:hAnsi="Times New Roman" w:cs="Times New Roman"/>
          <w:lang w:val="en-CA"/>
        </w:rPr>
        <w:t xml:space="preserve">: </w:t>
      </w:r>
      <w:r w:rsidR="00980FBB">
        <w:rPr>
          <w:rFonts w:ascii="Times New Roman" w:hAnsi="Times New Roman" w:cs="Times New Roman"/>
          <w:lang w:val="en-CA"/>
        </w:rPr>
        <w:t>1,613</w:t>
      </w:r>
      <w:r w:rsidRPr="002573A7">
        <w:rPr>
          <w:rFonts w:ascii="Times New Roman" w:hAnsi="Times New Roman" w:cs="Times New Roman"/>
          <w:lang w:val="en-CA"/>
        </w:rPr>
        <w:t xml:space="preserve"> (excluding title page, abstract, references, figures, and tables)</w:t>
      </w:r>
    </w:p>
    <w:p w14:paraId="61099AA3" w14:textId="47D7138D" w:rsidR="000015B9" w:rsidRPr="002573A7" w:rsidRDefault="000015B9" w:rsidP="000015B9">
      <w:pPr>
        <w:spacing w:line="480" w:lineRule="auto"/>
        <w:contextualSpacing/>
        <w:rPr>
          <w:rFonts w:ascii="Times New Roman" w:hAnsi="Times New Roman" w:cs="Times New Roman"/>
        </w:rPr>
      </w:pPr>
      <w:r w:rsidRPr="002573A7">
        <w:rPr>
          <w:rFonts w:ascii="Times New Roman" w:hAnsi="Times New Roman" w:cs="Times New Roman"/>
          <w:b/>
        </w:rPr>
        <w:t>Abstract Count</w:t>
      </w:r>
      <w:r w:rsidRPr="002573A7">
        <w:rPr>
          <w:rFonts w:ascii="Times New Roman" w:hAnsi="Times New Roman" w:cs="Times New Roman"/>
        </w:rPr>
        <w:t xml:space="preserve">: </w:t>
      </w:r>
      <w:r w:rsidR="00370455">
        <w:rPr>
          <w:rFonts w:ascii="Times New Roman" w:hAnsi="Times New Roman" w:cs="Times New Roman"/>
        </w:rPr>
        <w:t>2</w:t>
      </w:r>
      <w:r w:rsidR="00177C46">
        <w:rPr>
          <w:rFonts w:ascii="Times New Roman" w:hAnsi="Times New Roman" w:cs="Times New Roman"/>
        </w:rPr>
        <w:t>35</w:t>
      </w:r>
    </w:p>
    <w:p w14:paraId="487E51C8" w14:textId="77777777" w:rsidR="000015B9" w:rsidRPr="002573A7" w:rsidRDefault="000015B9" w:rsidP="000015B9">
      <w:pPr>
        <w:spacing w:line="480" w:lineRule="auto"/>
        <w:contextualSpacing/>
        <w:rPr>
          <w:rFonts w:ascii="Times New Roman" w:hAnsi="Times New Roman" w:cs="Times New Roman"/>
        </w:rPr>
      </w:pPr>
    </w:p>
    <w:p w14:paraId="31143515" w14:textId="77777777" w:rsidR="000015B9" w:rsidRPr="002573A7" w:rsidRDefault="000015B9" w:rsidP="000015B9">
      <w:pPr>
        <w:spacing w:line="480" w:lineRule="auto"/>
        <w:rPr>
          <w:rFonts w:ascii="Times New Roman" w:hAnsi="Times New Roman" w:cs="Times New Roman"/>
          <w:b/>
        </w:rPr>
      </w:pPr>
      <w:r w:rsidRPr="002573A7">
        <w:rPr>
          <w:rFonts w:ascii="Times New Roman" w:hAnsi="Times New Roman" w:cs="Times New Roman"/>
          <w:b/>
        </w:rPr>
        <w:t>Keywords:</w:t>
      </w:r>
    </w:p>
    <w:p w14:paraId="6F452EC8" w14:textId="77777777" w:rsidR="000015B9" w:rsidRPr="002573A7" w:rsidRDefault="000015B9" w:rsidP="000015B9">
      <w:pPr>
        <w:pStyle w:val="ListParagraph"/>
        <w:numPr>
          <w:ilvl w:val="0"/>
          <w:numId w:val="26"/>
        </w:numPr>
        <w:spacing w:line="480" w:lineRule="auto"/>
        <w:rPr>
          <w:rFonts w:ascii="Times New Roman" w:hAnsi="Times New Roman" w:cs="Times New Roman"/>
        </w:rPr>
      </w:pPr>
      <w:r w:rsidRPr="002573A7">
        <w:rPr>
          <w:rFonts w:ascii="Times New Roman" w:hAnsi="Times New Roman" w:cs="Times New Roman"/>
        </w:rPr>
        <w:t xml:space="preserve">intracerebral hemorrhage </w:t>
      </w:r>
    </w:p>
    <w:p w14:paraId="4C20ABC9" w14:textId="05AA5062" w:rsidR="000015B9" w:rsidRPr="002573A7" w:rsidRDefault="00C34086" w:rsidP="000015B9">
      <w:pPr>
        <w:pStyle w:val="ListParagraph"/>
        <w:numPr>
          <w:ilvl w:val="0"/>
          <w:numId w:val="26"/>
        </w:numPr>
        <w:spacing w:line="480" w:lineRule="auto"/>
        <w:rPr>
          <w:rFonts w:ascii="Times New Roman" w:hAnsi="Times New Roman" w:cs="Times New Roman"/>
        </w:rPr>
      </w:pPr>
      <w:r w:rsidRPr="002573A7">
        <w:rPr>
          <w:rFonts w:ascii="Times New Roman" w:hAnsi="Times New Roman" w:cs="Times New Roman"/>
        </w:rPr>
        <w:t>hematoma expansion</w:t>
      </w:r>
    </w:p>
    <w:p w14:paraId="1C6B250C" w14:textId="3D8699BC" w:rsidR="000015B9" w:rsidRPr="002573A7" w:rsidRDefault="00C34086" w:rsidP="000015B9">
      <w:pPr>
        <w:pStyle w:val="ListParagraph"/>
        <w:numPr>
          <w:ilvl w:val="0"/>
          <w:numId w:val="26"/>
        </w:numPr>
        <w:spacing w:line="480" w:lineRule="auto"/>
        <w:rPr>
          <w:rFonts w:ascii="Times New Roman" w:hAnsi="Times New Roman" w:cs="Times New Roman"/>
        </w:rPr>
      </w:pPr>
      <w:r w:rsidRPr="002573A7">
        <w:rPr>
          <w:rFonts w:ascii="Times New Roman" w:hAnsi="Times New Roman" w:cs="Times New Roman"/>
        </w:rPr>
        <w:t>prediction scores</w:t>
      </w:r>
      <w:r w:rsidR="000015B9" w:rsidRPr="002573A7">
        <w:rPr>
          <w:rFonts w:ascii="Times New Roman" w:hAnsi="Times New Roman" w:cs="Times New Roman"/>
        </w:rPr>
        <w:t xml:space="preserve"> </w:t>
      </w:r>
    </w:p>
    <w:p w14:paraId="643FA99A" w14:textId="71BEE1A5" w:rsidR="007542A4" w:rsidRPr="002573A7" w:rsidRDefault="007542A4" w:rsidP="0048172F">
      <w:pPr>
        <w:spacing w:line="480" w:lineRule="auto"/>
        <w:contextualSpacing/>
        <w:rPr>
          <w:rFonts w:ascii="Times New Roman" w:hAnsi="Times New Roman" w:cs="Times New Roman"/>
          <w:b/>
        </w:rPr>
      </w:pPr>
      <w:r w:rsidRPr="002573A7">
        <w:rPr>
          <w:rFonts w:ascii="Times New Roman" w:hAnsi="Times New Roman" w:cs="Times New Roman"/>
          <w:b/>
        </w:rPr>
        <w:br w:type="page"/>
      </w:r>
    </w:p>
    <w:p w14:paraId="2CAF7D05" w14:textId="77777777" w:rsidR="00A67CA0" w:rsidRDefault="005660D1" w:rsidP="004C0825">
      <w:pPr>
        <w:contextualSpacing/>
        <w:rPr>
          <w:rFonts w:ascii="Times New Roman" w:hAnsi="Times New Roman" w:cs="Times New Roman"/>
          <w:b/>
        </w:rPr>
      </w:pPr>
      <w:r w:rsidRPr="002573A7">
        <w:rPr>
          <w:rFonts w:ascii="Times New Roman" w:hAnsi="Times New Roman" w:cs="Times New Roman"/>
          <w:b/>
        </w:rPr>
        <w:lastRenderedPageBreak/>
        <w:t>ABSTRACT</w:t>
      </w:r>
    </w:p>
    <w:p w14:paraId="574CCD56" w14:textId="77777777" w:rsidR="00A67CA0" w:rsidRDefault="00A67CA0" w:rsidP="004C0825">
      <w:pPr>
        <w:contextualSpacing/>
        <w:rPr>
          <w:rFonts w:ascii="Times New Roman" w:hAnsi="Times New Roman" w:cs="Times New Roman"/>
          <w:b/>
        </w:rPr>
      </w:pPr>
    </w:p>
    <w:p w14:paraId="35424BCA" w14:textId="5D9DC1B7" w:rsidR="00A67CA0" w:rsidRDefault="00A67CA0" w:rsidP="002B1229">
      <w:pPr>
        <w:spacing w:line="480" w:lineRule="auto"/>
        <w:contextualSpacing/>
        <w:rPr>
          <w:rFonts w:ascii="Times New Roman" w:hAnsi="Times New Roman" w:cs="Times New Roman"/>
        </w:rPr>
      </w:pPr>
      <w:r w:rsidRPr="005020AB">
        <w:rPr>
          <w:rFonts w:ascii="Times New Roman" w:hAnsi="Times New Roman" w:cs="Times New Roman"/>
          <w:b/>
        </w:rPr>
        <w:t>Introduction</w:t>
      </w:r>
      <w:r w:rsidR="00291CD9">
        <w:rPr>
          <w:rFonts w:ascii="Times New Roman" w:hAnsi="Times New Roman" w:cs="Times New Roman"/>
          <w:b/>
        </w:rPr>
        <w:t xml:space="preserve">: </w:t>
      </w:r>
      <w:r w:rsidR="00D37AA2">
        <w:rPr>
          <w:rFonts w:ascii="Times New Roman" w:hAnsi="Times New Roman" w:cs="Times New Roman"/>
        </w:rPr>
        <w:t>Patients presenting with acute intracerebral hemorrhage are a</w:t>
      </w:r>
      <w:r w:rsidR="002D6122">
        <w:rPr>
          <w:rFonts w:ascii="Times New Roman" w:hAnsi="Times New Roman" w:cs="Times New Roman"/>
        </w:rPr>
        <w:t xml:space="preserve">t a high risk of exhibiting hematoma expansion, </w:t>
      </w:r>
      <w:r w:rsidR="00327796">
        <w:rPr>
          <w:rFonts w:ascii="Times New Roman" w:hAnsi="Times New Roman" w:cs="Times New Roman"/>
        </w:rPr>
        <w:t>a phenomenon</w:t>
      </w:r>
      <w:r w:rsidR="002D6122">
        <w:rPr>
          <w:rFonts w:ascii="Times New Roman" w:hAnsi="Times New Roman" w:cs="Times New Roman"/>
        </w:rPr>
        <w:t xml:space="preserve"> that can </w:t>
      </w:r>
      <w:r w:rsidR="00A2400C">
        <w:rPr>
          <w:rFonts w:ascii="Times New Roman" w:hAnsi="Times New Roman" w:cs="Times New Roman"/>
        </w:rPr>
        <w:t xml:space="preserve">significantly worsen long-term functioning. </w:t>
      </w:r>
      <w:r w:rsidR="00AD671B">
        <w:rPr>
          <w:rFonts w:ascii="Times New Roman" w:hAnsi="Times New Roman" w:cs="Times New Roman"/>
        </w:rPr>
        <w:t>Numerou</w:t>
      </w:r>
      <w:r w:rsidR="0041493A">
        <w:rPr>
          <w:rFonts w:ascii="Times New Roman" w:hAnsi="Times New Roman" w:cs="Times New Roman"/>
        </w:rPr>
        <w:t>s clinical and radiological factors are associated with expansion</w:t>
      </w:r>
      <w:r w:rsidR="0069008F">
        <w:rPr>
          <w:rFonts w:ascii="Times New Roman" w:hAnsi="Times New Roman" w:cs="Times New Roman"/>
        </w:rPr>
        <w:t>.</w:t>
      </w:r>
      <w:r w:rsidR="00634460">
        <w:rPr>
          <w:rFonts w:ascii="Times New Roman" w:hAnsi="Times New Roman" w:cs="Times New Roman"/>
        </w:rPr>
        <w:t xml:space="preserve"> </w:t>
      </w:r>
      <w:r w:rsidR="0069008F">
        <w:rPr>
          <w:rFonts w:ascii="Times New Roman" w:hAnsi="Times New Roman" w:cs="Times New Roman"/>
        </w:rPr>
        <w:t>I</w:t>
      </w:r>
      <w:r w:rsidR="00634460">
        <w:rPr>
          <w:rFonts w:ascii="Times New Roman" w:hAnsi="Times New Roman" w:cs="Times New Roman"/>
        </w:rPr>
        <w:t>n a bid to</w:t>
      </w:r>
      <w:r w:rsidR="008E08E0">
        <w:rPr>
          <w:rFonts w:ascii="Times New Roman" w:hAnsi="Times New Roman" w:cs="Times New Roman"/>
        </w:rPr>
        <w:t xml:space="preserve"> better select patients at increased risk of expanding, these factors have been collated together into </w:t>
      </w:r>
      <w:r w:rsidR="00A95EAD">
        <w:rPr>
          <w:rFonts w:ascii="Times New Roman" w:hAnsi="Times New Roman" w:cs="Times New Roman"/>
        </w:rPr>
        <w:t>clinical scores. Several clinical scores have been developed</w:t>
      </w:r>
      <w:r w:rsidR="00D04CF6">
        <w:rPr>
          <w:rFonts w:ascii="Times New Roman" w:hAnsi="Times New Roman" w:cs="Times New Roman"/>
        </w:rPr>
        <w:t>,</w:t>
      </w:r>
      <w:r w:rsidR="00A95EAD">
        <w:rPr>
          <w:rFonts w:ascii="Times New Roman" w:hAnsi="Times New Roman" w:cs="Times New Roman"/>
        </w:rPr>
        <w:t xml:space="preserve"> </w:t>
      </w:r>
      <w:r w:rsidR="00F0334E">
        <w:rPr>
          <w:rFonts w:ascii="Times New Roman" w:hAnsi="Times New Roman" w:cs="Times New Roman"/>
        </w:rPr>
        <w:t xml:space="preserve">but </w:t>
      </w:r>
      <w:r w:rsidR="000E36F5">
        <w:rPr>
          <w:rFonts w:ascii="Times New Roman" w:hAnsi="Times New Roman" w:cs="Times New Roman"/>
        </w:rPr>
        <w:t xml:space="preserve">comparisons of diagnostic potential between these scores are limited and </w:t>
      </w:r>
      <w:r w:rsidR="00F0334E">
        <w:rPr>
          <w:rFonts w:ascii="Times New Roman" w:hAnsi="Times New Roman" w:cs="Times New Roman"/>
        </w:rPr>
        <w:t xml:space="preserve">the frequency of use </w:t>
      </w:r>
      <w:r w:rsidR="00D372F0">
        <w:rPr>
          <w:rFonts w:ascii="Times New Roman" w:hAnsi="Times New Roman" w:cs="Times New Roman"/>
        </w:rPr>
        <w:t>in clinical trial enrollment is</w:t>
      </w:r>
      <w:r w:rsidR="00F0334E">
        <w:rPr>
          <w:rFonts w:ascii="Times New Roman" w:hAnsi="Times New Roman" w:cs="Times New Roman"/>
        </w:rPr>
        <w:t xml:space="preserve"> unknown.</w:t>
      </w:r>
      <w:r w:rsidR="006B589B">
        <w:rPr>
          <w:rFonts w:ascii="Times New Roman" w:hAnsi="Times New Roman" w:cs="Times New Roman"/>
        </w:rPr>
        <w:t xml:space="preserve"> </w:t>
      </w:r>
    </w:p>
    <w:p w14:paraId="5C86732A" w14:textId="61CA52E9" w:rsidR="008035EA" w:rsidRDefault="008035EA" w:rsidP="002B1229">
      <w:pPr>
        <w:spacing w:line="480" w:lineRule="auto"/>
        <w:contextualSpacing/>
        <w:rPr>
          <w:rFonts w:ascii="Times New Roman" w:hAnsi="Times New Roman" w:cs="Times New Roman"/>
          <w:b/>
        </w:rPr>
      </w:pPr>
      <w:r>
        <w:rPr>
          <w:rFonts w:ascii="Times New Roman" w:hAnsi="Times New Roman" w:cs="Times New Roman"/>
          <w:b/>
        </w:rPr>
        <w:t xml:space="preserve">Objective: </w:t>
      </w:r>
      <w:r w:rsidRPr="0059212B">
        <w:rPr>
          <w:rFonts w:ascii="Times New Roman" w:hAnsi="Times New Roman" w:cs="Times New Roman"/>
        </w:rPr>
        <w:t xml:space="preserve">To perform a scoping review of hematoma expansion scores </w:t>
      </w:r>
      <w:r w:rsidR="0059212B" w:rsidRPr="0059212B">
        <w:rPr>
          <w:rFonts w:ascii="Times New Roman" w:hAnsi="Times New Roman" w:cs="Times New Roman"/>
        </w:rPr>
        <w:t xml:space="preserve">and explore numerous factors such as </w:t>
      </w:r>
      <w:r w:rsidR="00BB16EF">
        <w:rPr>
          <w:rFonts w:ascii="Times New Roman" w:hAnsi="Times New Roman" w:cs="Times New Roman"/>
        </w:rPr>
        <w:t xml:space="preserve">methodology of development, </w:t>
      </w:r>
      <w:r w:rsidR="00CE2FAC">
        <w:rPr>
          <w:rFonts w:ascii="Times New Roman" w:hAnsi="Times New Roman" w:cs="Times New Roman"/>
        </w:rPr>
        <w:t xml:space="preserve">and </w:t>
      </w:r>
      <w:r w:rsidR="0059212B" w:rsidRPr="0059212B">
        <w:rPr>
          <w:rFonts w:ascii="Times New Roman" w:hAnsi="Times New Roman" w:cs="Times New Roman"/>
        </w:rPr>
        <w:t>diagnostic capabilities</w:t>
      </w:r>
      <w:r w:rsidR="00BB16EF">
        <w:rPr>
          <w:rFonts w:ascii="Times New Roman" w:hAnsi="Times New Roman" w:cs="Times New Roman"/>
        </w:rPr>
        <w:t>.</w:t>
      </w:r>
      <w:r w:rsidR="0059212B">
        <w:rPr>
          <w:rFonts w:ascii="Times New Roman" w:hAnsi="Times New Roman" w:cs="Times New Roman"/>
          <w:b/>
        </w:rPr>
        <w:t xml:space="preserve"> </w:t>
      </w:r>
    </w:p>
    <w:p w14:paraId="05E63B5A" w14:textId="727D3DCE" w:rsidR="004C0825" w:rsidRDefault="005660D1" w:rsidP="0030050E">
      <w:pPr>
        <w:spacing w:line="480" w:lineRule="auto"/>
        <w:contextualSpacing/>
        <w:rPr>
          <w:rFonts w:ascii="Times New Roman" w:hAnsi="Times New Roman" w:cs="Times New Roman"/>
        </w:rPr>
      </w:pPr>
      <w:r w:rsidRPr="002573A7">
        <w:rPr>
          <w:rFonts w:ascii="Times New Roman" w:hAnsi="Times New Roman" w:cs="Times New Roman"/>
          <w:b/>
        </w:rPr>
        <w:t xml:space="preserve"> </w:t>
      </w:r>
      <w:r w:rsidR="00644D02" w:rsidRPr="005020AB">
        <w:rPr>
          <w:rFonts w:ascii="Times New Roman" w:hAnsi="Times New Roman" w:cs="Times New Roman"/>
          <w:b/>
        </w:rPr>
        <w:t>Methods and Analysis</w:t>
      </w:r>
      <w:r w:rsidR="00644D02" w:rsidRPr="005020AB">
        <w:rPr>
          <w:rFonts w:ascii="Times New Roman" w:hAnsi="Times New Roman" w:cs="Times New Roman"/>
        </w:rPr>
        <w:t xml:space="preserve">: MEDLINE, PUBMED, EMBASE, CENTRAL, </w:t>
      </w:r>
      <w:r w:rsidR="00D372F0">
        <w:rPr>
          <w:rFonts w:ascii="Times New Roman" w:hAnsi="Times New Roman" w:cs="Times New Roman"/>
        </w:rPr>
        <w:t xml:space="preserve">and ClinicalTrials.org </w:t>
      </w:r>
      <w:r w:rsidR="00644D02" w:rsidRPr="005020AB">
        <w:rPr>
          <w:rFonts w:ascii="Times New Roman" w:hAnsi="Times New Roman" w:cs="Times New Roman"/>
        </w:rPr>
        <w:t>will be searched</w:t>
      </w:r>
      <w:r w:rsidR="00644D02">
        <w:rPr>
          <w:rFonts w:ascii="Times New Roman" w:hAnsi="Times New Roman" w:cs="Times New Roman"/>
        </w:rPr>
        <w:t xml:space="preserve"> with assistance from an experienced information specialist</w:t>
      </w:r>
      <w:r w:rsidR="00644D02" w:rsidRPr="005020AB">
        <w:rPr>
          <w:rFonts w:ascii="Times New Roman" w:hAnsi="Times New Roman" w:cs="Times New Roman"/>
        </w:rPr>
        <w:t xml:space="preserve">. Eligible studies </w:t>
      </w:r>
      <w:r w:rsidR="00110EAA">
        <w:rPr>
          <w:rFonts w:ascii="Times New Roman" w:hAnsi="Times New Roman" w:cs="Times New Roman"/>
        </w:rPr>
        <w:t>will involve</w:t>
      </w:r>
      <w:r w:rsidR="00644D02">
        <w:rPr>
          <w:rFonts w:ascii="Times New Roman" w:hAnsi="Times New Roman" w:cs="Times New Roman"/>
        </w:rPr>
        <w:t xml:space="preserve"> </w:t>
      </w:r>
      <w:r w:rsidR="00644D02" w:rsidRPr="005020AB">
        <w:rPr>
          <w:rFonts w:ascii="Times New Roman" w:hAnsi="Times New Roman" w:cs="Times New Roman"/>
        </w:rPr>
        <w:t xml:space="preserve">adults presenting with spontaneous intracerebral hemorrhage </w:t>
      </w:r>
      <w:r w:rsidR="00BD0510">
        <w:rPr>
          <w:rFonts w:ascii="Times New Roman" w:hAnsi="Times New Roman" w:cs="Times New Roman"/>
        </w:rPr>
        <w:t>who receive</w:t>
      </w:r>
      <w:r w:rsidR="003E2DEB">
        <w:rPr>
          <w:rFonts w:ascii="Times New Roman" w:hAnsi="Times New Roman" w:cs="Times New Roman"/>
        </w:rPr>
        <w:t>d</w:t>
      </w:r>
      <w:r w:rsidR="00BD0510">
        <w:rPr>
          <w:rFonts w:ascii="Times New Roman" w:hAnsi="Times New Roman" w:cs="Times New Roman"/>
        </w:rPr>
        <w:t xml:space="preserve"> baseline </w:t>
      </w:r>
      <w:r w:rsidR="003E2DEB">
        <w:rPr>
          <w:rFonts w:ascii="Times New Roman" w:hAnsi="Times New Roman" w:cs="Times New Roman"/>
        </w:rPr>
        <w:t xml:space="preserve">assessments, </w:t>
      </w:r>
      <w:r w:rsidR="00BD0510">
        <w:rPr>
          <w:rFonts w:ascii="Times New Roman" w:hAnsi="Times New Roman" w:cs="Times New Roman"/>
        </w:rPr>
        <w:t xml:space="preserve">follow-up </w:t>
      </w:r>
      <w:r w:rsidR="00291CD9">
        <w:rPr>
          <w:rFonts w:ascii="Times New Roman" w:hAnsi="Times New Roman" w:cs="Times New Roman"/>
        </w:rPr>
        <w:t>imaging</w:t>
      </w:r>
      <w:r w:rsidR="003E2DEB">
        <w:rPr>
          <w:rFonts w:ascii="Times New Roman" w:hAnsi="Times New Roman" w:cs="Times New Roman"/>
        </w:rPr>
        <w:t xml:space="preserve">, and </w:t>
      </w:r>
      <w:r w:rsidR="00564A8C">
        <w:rPr>
          <w:rFonts w:ascii="Times New Roman" w:hAnsi="Times New Roman" w:cs="Times New Roman"/>
        </w:rPr>
        <w:t>risk stratification through a hematoma expansion score</w:t>
      </w:r>
      <w:r w:rsidR="00291CD9">
        <w:rPr>
          <w:rFonts w:ascii="Times New Roman" w:hAnsi="Times New Roman" w:cs="Times New Roman"/>
        </w:rPr>
        <w:t xml:space="preserve">. </w:t>
      </w:r>
      <w:r w:rsidR="0030050E">
        <w:rPr>
          <w:rFonts w:ascii="Times New Roman" w:hAnsi="Times New Roman" w:cs="Times New Roman"/>
        </w:rPr>
        <w:t>R</w:t>
      </w:r>
      <w:r w:rsidR="0030050E" w:rsidRPr="005020AB">
        <w:rPr>
          <w:rFonts w:ascii="Times New Roman" w:hAnsi="Times New Roman" w:cs="Times New Roman"/>
        </w:rPr>
        <w:t>eviewers will independently extract data from the included studies</w:t>
      </w:r>
      <w:r w:rsidR="0030050E">
        <w:rPr>
          <w:rFonts w:ascii="Times New Roman" w:hAnsi="Times New Roman" w:cs="Times New Roman"/>
        </w:rPr>
        <w:t xml:space="preserve"> and will collect data </w:t>
      </w:r>
      <w:r w:rsidR="00A7386E">
        <w:rPr>
          <w:rFonts w:ascii="Times New Roman" w:hAnsi="Times New Roman" w:cs="Times New Roman"/>
        </w:rPr>
        <w:t xml:space="preserve">on </w:t>
      </w:r>
      <w:r w:rsidR="003F6368">
        <w:rPr>
          <w:rFonts w:ascii="Times New Roman" w:hAnsi="Times New Roman" w:cs="Times New Roman"/>
        </w:rPr>
        <w:t xml:space="preserve">patient </w:t>
      </w:r>
      <w:r w:rsidR="0030050E">
        <w:rPr>
          <w:rFonts w:ascii="Times New Roman" w:hAnsi="Times New Roman" w:cs="Times New Roman"/>
        </w:rPr>
        <w:t>demographic</w:t>
      </w:r>
      <w:r w:rsidR="00C113A3">
        <w:rPr>
          <w:rFonts w:ascii="Times New Roman" w:hAnsi="Times New Roman" w:cs="Times New Roman"/>
        </w:rPr>
        <w:t>s</w:t>
      </w:r>
      <w:r w:rsidR="0030050E">
        <w:rPr>
          <w:rFonts w:ascii="Times New Roman" w:hAnsi="Times New Roman" w:cs="Times New Roman"/>
        </w:rPr>
        <w:t xml:space="preserve"> and medical history</w:t>
      </w:r>
      <w:r w:rsidR="00C113A3">
        <w:rPr>
          <w:rFonts w:ascii="Times New Roman" w:hAnsi="Times New Roman" w:cs="Times New Roman"/>
        </w:rPr>
        <w:t>,</w:t>
      </w:r>
      <w:r w:rsidR="0030050E">
        <w:rPr>
          <w:rFonts w:ascii="Times New Roman" w:hAnsi="Times New Roman" w:cs="Times New Roman"/>
        </w:rPr>
        <w:t xml:space="preserve"> details on score development</w:t>
      </w:r>
      <w:r w:rsidR="00C113A3">
        <w:rPr>
          <w:rFonts w:ascii="Times New Roman" w:hAnsi="Times New Roman" w:cs="Times New Roman"/>
        </w:rPr>
        <w:t>,</w:t>
      </w:r>
      <w:r w:rsidR="0030050E">
        <w:rPr>
          <w:rFonts w:ascii="Times New Roman" w:hAnsi="Times New Roman" w:cs="Times New Roman"/>
        </w:rPr>
        <w:t xml:space="preserve"> diagnostic capabilities, and usage proportions.</w:t>
      </w:r>
      <w:r w:rsidR="007A3959">
        <w:rPr>
          <w:rFonts w:ascii="Times New Roman" w:hAnsi="Times New Roman" w:cs="Times New Roman"/>
        </w:rPr>
        <w:t xml:space="preserve"> </w:t>
      </w:r>
      <w:r w:rsidR="0030050E" w:rsidRPr="002573A7">
        <w:rPr>
          <w:rFonts w:ascii="Times New Roman" w:hAnsi="Times New Roman" w:cs="Times New Roman"/>
        </w:rPr>
        <w:t xml:space="preserve">Analysis of extracted data will </w:t>
      </w:r>
      <w:r w:rsidR="003F6368">
        <w:rPr>
          <w:rFonts w:ascii="Times New Roman" w:hAnsi="Times New Roman" w:cs="Times New Roman"/>
        </w:rPr>
        <w:t>focus on compari</w:t>
      </w:r>
      <w:r w:rsidR="00B679B0">
        <w:rPr>
          <w:rFonts w:ascii="Times New Roman" w:hAnsi="Times New Roman" w:cs="Times New Roman"/>
        </w:rPr>
        <w:t xml:space="preserve">ng the predictive capability of each score and </w:t>
      </w:r>
      <w:r w:rsidR="00E33231">
        <w:rPr>
          <w:rFonts w:ascii="Times New Roman" w:hAnsi="Times New Roman" w:cs="Times New Roman"/>
        </w:rPr>
        <w:t>similarities/differences in score development.</w:t>
      </w:r>
      <w:r w:rsidR="00B679B0">
        <w:rPr>
          <w:rFonts w:ascii="Times New Roman" w:hAnsi="Times New Roman" w:cs="Times New Roman"/>
        </w:rPr>
        <w:t xml:space="preserve"> </w:t>
      </w:r>
      <w:r w:rsidR="00E33231">
        <w:rPr>
          <w:rFonts w:ascii="Times New Roman" w:hAnsi="Times New Roman" w:cs="Times New Roman"/>
        </w:rPr>
        <w:t>T</w:t>
      </w:r>
      <w:r w:rsidR="0030050E">
        <w:rPr>
          <w:rFonts w:ascii="Times New Roman" w:hAnsi="Times New Roman" w:cs="Times New Roman"/>
        </w:rPr>
        <w:t>he exact analysis technique will be dictated on the type of data extracted.</w:t>
      </w:r>
    </w:p>
    <w:p w14:paraId="777487DE" w14:textId="6CDFB49C" w:rsidR="004C0825" w:rsidRDefault="004C0825" w:rsidP="002B1229">
      <w:pPr>
        <w:spacing w:line="480" w:lineRule="auto"/>
        <w:contextualSpacing/>
        <w:rPr>
          <w:rFonts w:ascii="Times New Roman" w:hAnsi="Times New Roman" w:cs="Times New Roman"/>
        </w:rPr>
      </w:pPr>
      <w:r w:rsidRPr="005020AB">
        <w:rPr>
          <w:rFonts w:ascii="Times New Roman" w:hAnsi="Times New Roman" w:cs="Times New Roman"/>
          <w:b/>
        </w:rPr>
        <w:t>Ethics and dissemination:</w:t>
      </w:r>
      <w:r w:rsidRPr="005020AB">
        <w:rPr>
          <w:rFonts w:ascii="Times New Roman" w:hAnsi="Times New Roman" w:cs="Times New Roman"/>
        </w:rPr>
        <w:t xml:space="preserve"> Formal ethics is not required as primary data will not be collected. The findings of this study will be disseminated through conference presentations, and peer-reviewed publication</w:t>
      </w:r>
      <w:r>
        <w:rPr>
          <w:rFonts w:ascii="Times New Roman" w:hAnsi="Times New Roman" w:cs="Times New Roman"/>
        </w:rPr>
        <w:t>s</w:t>
      </w:r>
      <w:r w:rsidRPr="005020AB">
        <w:rPr>
          <w:rFonts w:ascii="Times New Roman" w:hAnsi="Times New Roman" w:cs="Times New Roman"/>
        </w:rPr>
        <w:t>.</w:t>
      </w:r>
    </w:p>
    <w:p w14:paraId="5D20B48A" w14:textId="77777777" w:rsidR="00FA050D" w:rsidRPr="005020AB" w:rsidRDefault="00FA050D" w:rsidP="002B1229">
      <w:pPr>
        <w:spacing w:line="480" w:lineRule="auto"/>
        <w:contextualSpacing/>
        <w:rPr>
          <w:rFonts w:ascii="Times New Roman" w:hAnsi="Times New Roman" w:cs="Times New Roman"/>
        </w:rPr>
      </w:pPr>
    </w:p>
    <w:p w14:paraId="256CA7AC" w14:textId="5264F3B5" w:rsidR="005660D1" w:rsidRPr="002573A7" w:rsidRDefault="005660D1">
      <w:pPr>
        <w:rPr>
          <w:rFonts w:ascii="Times New Roman" w:hAnsi="Times New Roman" w:cs="Times New Roman"/>
          <w:b/>
        </w:rPr>
      </w:pPr>
      <w:r w:rsidRPr="002573A7">
        <w:rPr>
          <w:rFonts w:ascii="Times New Roman" w:hAnsi="Times New Roman" w:cs="Times New Roman"/>
          <w:b/>
        </w:rPr>
        <w:br w:type="page"/>
      </w:r>
    </w:p>
    <w:p w14:paraId="0D04E324" w14:textId="77777777" w:rsidR="00DC7E9C" w:rsidRPr="002573A7" w:rsidRDefault="00DC7E9C" w:rsidP="00DC7E9C">
      <w:pPr>
        <w:spacing w:line="480" w:lineRule="auto"/>
        <w:contextualSpacing/>
        <w:rPr>
          <w:rFonts w:ascii="Times New Roman" w:hAnsi="Times New Roman" w:cs="Times New Roman"/>
        </w:rPr>
      </w:pPr>
      <w:r w:rsidRPr="002573A7">
        <w:rPr>
          <w:rFonts w:ascii="Times New Roman" w:hAnsi="Times New Roman" w:cs="Times New Roman"/>
          <w:b/>
        </w:rPr>
        <w:lastRenderedPageBreak/>
        <w:t>STRENGTHS AND LIMITATIONS OF THIS STUDY</w:t>
      </w:r>
      <w:r w:rsidRPr="002573A7">
        <w:rPr>
          <w:rFonts w:ascii="Times New Roman" w:hAnsi="Times New Roman" w:cs="Times New Roman"/>
        </w:rPr>
        <w:t>:</w:t>
      </w:r>
    </w:p>
    <w:p w14:paraId="2AC70BB6" w14:textId="3268273D" w:rsidR="00045515" w:rsidRPr="001D62A5" w:rsidRDefault="009C35EC" w:rsidP="00F9771A">
      <w:pPr>
        <w:pStyle w:val="ListParagraph"/>
        <w:numPr>
          <w:ilvl w:val="0"/>
          <w:numId w:val="29"/>
        </w:numPr>
        <w:spacing w:line="480" w:lineRule="auto"/>
        <w:rPr>
          <w:rFonts w:ascii="Times New Roman" w:hAnsi="Times New Roman" w:cs="Times New Roman"/>
          <w:b/>
        </w:rPr>
      </w:pPr>
      <w:r>
        <w:rPr>
          <w:rFonts w:ascii="Times New Roman" w:hAnsi="Times New Roman" w:cs="Times New Roman"/>
        </w:rPr>
        <w:t>This review will perform a</w:t>
      </w:r>
      <w:r w:rsidR="00045515">
        <w:rPr>
          <w:rFonts w:ascii="Times New Roman" w:hAnsi="Times New Roman" w:cs="Times New Roman"/>
        </w:rPr>
        <w:t xml:space="preserve"> </w:t>
      </w:r>
      <w:r w:rsidR="00C35039">
        <w:rPr>
          <w:rFonts w:ascii="Times New Roman" w:hAnsi="Times New Roman" w:cs="Times New Roman"/>
        </w:rPr>
        <w:t xml:space="preserve">detailed assessment of prediction scores </w:t>
      </w:r>
      <w:r w:rsidR="009F70D3">
        <w:rPr>
          <w:rFonts w:ascii="Times New Roman" w:hAnsi="Times New Roman" w:cs="Times New Roman"/>
        </w:rPr>
        <w:t xml:space="preserve">in their current form </w:t>
      </w:r>
      <w:r w:rsidR="00045515">
        <w:rPr>
          <w:rFonts w:ascii="Times New Roman" w:hAnsi="Times New Roman" w:cs="Times New Roman"/>
        </w:rPr>
        <w:t>which has not been conducted previously</w:t>
      </w:r>
      <w:r w:rsidR="00AC5AC0">
        <w:rPr>
          <w:rFonts w:ascii="Times New Roman" w:hAnsi="Times New Roman" w:cs="Times New Roman"/>
        </w:rPr>
        <w:t>.</w:t>
      </w:r>
    </w:p>
    <w:p w14:paraId="6DD3BD5D" w14:textId="77777777" w:rsidR="00E5045F" w:rsidRPr="00990C55" w:rsidRDefault="00E5045F" w:rsidP="001D62A5">
      <w:pPr>
        <w:pStyle w:val="ListParagraph"/>
        <w:numPr>
          <w:ilvl w:val="0"/>
          <w:numId w:val="29"/>
        </w:numPr>
        <w:spacing w:line="480" w:lineRule="auto"/>
        <w:rPr>
          <w:rFonts w:ascii="Times New Roman" w:hAnsi="Times New Roman" w:cs="Times New Roman"/>
          <w:b/>
        </w:rPr>
      </w:pPr>
      <w:r>
        <w:rPr>
          <w:rFonts w:ascii="Times New Roman" w:hAnsi="Times New Roman" w:cs="Times New Roman"/>
        </w:rPr>
        <w:t xml:space="preserve">The use of a scoping review methodology allows flexibility in assessment and may assist in the preparation of a formal diagnostic test accuracy systematic review </w:t>
      </w:r>
    </w:p>
    <w:p w14:paraId="434E3630" w14:textId="77777777" w:rsidR="00931808" w:rsidRPr="00ED6458" w:rsidRDefault="00931808" w:rsidP="00931808">
      <w:pPr>
        <w:pStyle w:val="ListParagraph"/>
        <w:numPr>
          <w:ilvl w:val="0"/>
          <w:numId w:val="29"/>
        </w:numPr>
        <w:spacing w:line="480" w:lineRule="auto"/>
        <w:rPr>
          <w:rFonts w:ascii="Times New Roman" w:hAnsi="Times New Roman" w:cs="Times New Roman"/>
        </w:rPr>
      </w:pPr>
      <w:r w:rsidRPr="00ED6458">
        <w:rPr>
          <w:rFonts w:ascii="Times New Roman" w:hAnsi="Times New Roman" w:cs="Times New Roman"/>
        </w:rPr>
        <w:t>Quality of evidence will not be evaluated in this scoping review.</w:t>
      </w:r>
    </w:p>
    <w:p w14:paraId="6B331086" w14:textId="70DB7ED9" w:rsidR="00011A27" w:rsidRPr="00990C55" w:rsidRDefault="00011A27" w:rsidP="001D62A5">
      <w:pPr>
        <w:pStyle w:val="ListParagraph"/>
        <w:numPr>
          <w:ilvl w:val="0"/>
          <w:numId w:val="29"/>
        </w:numPr>
        <w:spacing w:line="480" w:lineRule="auto"/>
        <w:rPr>
          <w:rFonts w:ascii="Times New Roman" w:hAnsi="Times New Roman" w:cs="Times New Roman"/>
          <w:b/>
        </w:rPr>
      </w:pPr>
      <w:r>
        <w:rPr>
          <w:rFonts w:ascii="Times New Roman" w:hAnsi="Times New Roman" w:cs="Times New Roman"/>
        </w:rPr>
        <w:t xml:space="preserve">Limitations </w:t>
      </w:r>
      <w:r w:rsidR="0041434C">
        <w:rPr>
          <w:rFonts w:ascii="Times New Roman" w:hAnsi="Times New Roman" w:cs="Times New Roman"/>
        </w:rPr>
        <w:t xml:space="preserve">in this study include heterogeneity in the primary outcome measure (several definitions of hematoma expansion exist in the literature, not all </w:t>
      </w:r>
      <w:r w:rsidR="00834D23">
        <w:rPr>
          <w:rFonts w:ascii="Times New Roman" w:hAnsi="Times New Roman" w:cs="Times New Roman"/>
        </w:rPr>
        <w:t>studies may use the same definition)</w:t>
      </w:r>
      <w:r w:rsidR="0033478C">
        <w:rPr>
          <w:rFonts w:ascii="Times New Roman" w:hAnsi="Times New Roman" w:cs="Times New Roman"/>
        </w:rPr>
        <w:t xml:space="preserve"> and </w:t>
      </w:r>
      <w:r w:rsidR="00093182">
        <w:rPr>
          <w:rFonts w:ascii="Times New Roman" w:hAnsi="Times New Roman" w:cs="Times New Roman"/>
        </w:rPr>
        <w:t xml:space="preserve">changes in </w:t>
      </w:r>
      <w:r w:rsidR="007F51E5">
        <w:rPr>
          <w:rFonts w:ascii="Times New Roman" w:hAnsi="Times New Roman" w:cs="Times New Roman"/>
        </w:rPr>
        <w:t xml:space="preserve">the </w:t>
      </w:r>
      <w:r w:rsidR="00093182">
        <w:rPr>
          <w:rFonts w:ascii="Times New Roman" w:hAnsi="Times New Roman" w:cs="Times New Roman"/>
        </w:rPr>
        <w:t>overall management of intracerebral hemorrhage that may limit the extent of hematoma expansion</w:t>
      </w:r>
      <w:r w:rsidR="009C38FC">
        <w:rPr>
          <w:rFonts w:ascii="Times New Roman" w:hAnsi="Times New Roman" w:cs="Times New Roman"/>
        </w:rPr>
        <w:t xml:space="preserve"> observed.</w:t>
      </w:r>
    </w:p>
    <w:p w14:paraId="43551CE2" w14:textId="056297DA" w:rsidR="00C35039" w:rsidRPr="00990C55" w:rsidRDefault="009E5CA1" w:rsidP="001D62A5">
      <w:pPr>
        <w:pStyle w:val="ListParagraph"/>
        <w:numPr>
          <w:ilvl w:val="0"/>
          <w:numId w:val="29"/>
        </w:numPr>
        <w:spacing w:line="480" w:lineRule="auto"/>
        <w:rPr>
          <w:rFonts w:ascii="Times New Roman" w:hAnsi="Times New Roman" w:cs="Times New Roman"/>
          <w:b/>
        </w:rPr>
      </w:pPr>
      <w:r>
        <w:rPr>
          <w:rFonts w:ascii="Times New Roman" w:hAnsi="Times New Roman" w:cs="Times New Roman"/>
        </w:rPr>
        <w:t>This study m</w:t>
      </w:r>
      <w:r w:rsidR="00C35039">
        <w:rPr>
          <w:rFonts w:ascii="Times New Roman" w:hAnsi="Times New Roman" w:cs="Times New Roman"/>
        </w:rPr>
        <w:t xml:space="preserve">ay </w:t>
      </w:r>
      <w:r w:rsidR="002F574F">
        <w:rPr>
          <w:rFonts w:ascii="Times New Roman" w:hAnsi="Times New Roman" w:cs="Times New Roman"/>
        </w:rPr>
        <w:t xml:space="preserve">highlight </w:t>
      </w:r>
      <w:r w:rsidR="001D6FD4">
        <w:rPr>
          <w:rFonts w:ascii="Times New Roman" w:hAnsi="Times New Roman" w:cs="Times New Roman"/>
        </w:rPr>
        <w:t xml:space="preserve">unexpected </w:t>
      </w:r>
      <w:r w:rsidR="002F574F">
        <w:rPr>
          <w:rFonts w:ascii="Times New Roman" w:hAnsi="Times New Roman" w:cs="Times New Roman"/>
        </w:rPr>
        <w:t>strengths</w:t>
      </w:r>
      <w:r w:rsidR="009F70D3">
        <w:rPr>
          <w:rFonts w:ascii="Times New Roman" w:hAnsi="Times New Roman" w:cs="Times New Roman"/>
        </w:rPr>
        <w:t>, weaknesses,</w:t>
      </w:r>
      <w:r w:rsidR="002F574F">
        <w:rPr>
          <w:rFonts w:ascii="Times New Roman" w:hAnsi="Times New Roman" w:cs="Times New Roman"/>
        </w:rPr>
        <w:t xml:space="preserve"> and areas requiring increased focus </w:t>
      </w:r>
      <w:r w:rsidR="009F70D3">
        <w:rPr>
          <w:rFonts w:ascii="Times New Roman" w:hAnsi="Times New Roman" w:cs="Times New Roman"/>
        </w:rPr>
        <w:t>for future prediction tool</w:t>
      </w:r>
      <w:r w:rsidR="00DB5B97">
        <w:rPr>
          <w:rFonts w:ascii="Times New Roman" w:hAnsi="Times New Roman" w:cs="Times New Roman"/>
        </w:rPr>
        <w:t xml:space="preserve"> development</w:t>
      </w:r>
      <w:r w:rsidR="00C76AC7">
        <w:rPr>
          <w:rFonts w:ascii="Times New Roman" w:hAnsi="Times New Roman" w:cs="Times New Roman"/>
        </w:rPr>
        <w:t>.</w:t>
      </w:r>
    </w:p>
    <w:p w14:paraId="2C2470B7" w14:textId="5828D651" w:rsidR="00DC7E9C" w:rsidRPr="001D62A5" w:rsidRDefault="00DC7E9C" w:rsidP="00990C55">
      <w:pPr>
        <w:pStyle w:val="ListParagraph"/>
        <w:spacing w:line="480" w:lineRule="auto"/>
        <w:rPr>
          <w:rFonts w:ascii="Times New Roman" w:hAnsi="Times New Roman" w:cs="Times New Roman"/>
          <w:b/>
        </w:rPr>
      </w:pPr>
      <w:r w:rsidRPr="001D62A5">
        <w:rPr>
          <w:rFonts w:ascii="Times New Roman" w:hAnsi="Times New Roman" w:cs="Times New Roman"/>
          <w:b/>
        </w:rPr>
        <w:br w:type="page"/>
      </w:r>
    </w:p>
    <w:p w14:paraId="019B11C1" w14:textId="77777777" w:rsidR="00E46750" w:rsidRPr="002573A7" w:rsidRDefault="00E46750" w:rsidP="00E46750">
      <w:pPr>
        <w:spacing w:line="480" w:lineRule="auto"/>
        <w:contextualSpacing/>
        <w:rPr>
          <w:rFonts w:ascii="Times New Roman" w:hAnsi="Times New Roman" w:cs="Times New Roman"/>
        </w:rPr>
      </w:pPr>
      <w:r w:rsidRPr="002573A7">
        <w:rPr>
          <w:rFonts w:ascii="Times New Roman" w:hAnsi="Times New Roman" w:cs="Times New Roman"/>
          <w:b/>
        </w:rPr>
        <w:lastRenderedPageBreak/>
        <w:t>INTRODUCTION</w:t>
      </w:r>
      <w:r w:rsidRPr="002573A7">
        <w:rPr>
          <w:rFonts w:ascii="Times New Roman" w:hAnsi="Times New Roman" w:cs="Times New Roman"/>
        </w:rPr>
        <w:t>:</w:t>
      </w:r>
    </w:p>
    <w:p w14:paraId="09C86175" w14:textId="280BDF40" w:rsidR="00974C9F" w:rsidRPr="002573A7" w:rsidRDefault="00974C9F" w:rsidP="00E41083">
      <w:pPr>
        <w:spacing w:line="480" w:lineRule="auto"/>
        <w:contextualSpacing/>
        <w:rPr>
          <w:rFonts w:ascii="Times New Roman" w:hAnsi="Times New Roman" w:cs="Times New Roman"/>
          <w:b/>
        </w:rPr>
      </w:pPr>
      <w:r w:rsidRPr="002573A7">
        <w:rPr>
          <w:rFonts w:ascii="Times New Roman" w:hAnsi="Times New Roman" w:cs="Times New Roman"/>
          <w:b/>
        </w:rPr>
        <w:t xml:space="preserve">Intracerebral </w:t>
      </w:r>
      <w:r w:rsidR="00F3146A" w:rsidRPr="002573A7">
        <w:rPr>
          <w:rFonts w:ascii="Times New Roman" w:hAnsi="Times New Roman" w:cs="Times New Roman"/>
          <w:b/>
        </w:rPr>
        <w:t>Hemorrhage</w:t>
      </w:r>
      <w:r w:rsidRPr="002573A7">
        <w:rPr>
          <w:rFonts w:ascii="Times New Roman" w:hAnsi="Times New Roman" w:cs="Times New Roman"/>
          <w:b/>
        </w:rPr>
        <w:t xml:space="preserve"> and Hematoma Expansion:</w:t>
      </w:r>
    </w:p>
    <w:p w14:paraId="0A0E62B5" w14:textId="0D530912" w:rsidR="00205A98" w:rsidRPr="002573A7" w:rsidRDefault="00BC39AE" w:rsidP="00E41083">
      <w:pPr>
        <w:spacing w:line="480" w:lineRule="auto"/>
        <w:contextualSpacing/>
        <w:rPr>
          <w:rFonts w:ascii="Times New Roman" w:hAnsi="Times New Roman" w:cs="Times New Roman"/>
          <w:lang w:val="en-CA"/>
        </w:rPr>
      </w:pPr>
      <w:r w:rsidRPr="002573A7">
        <w:rPr>
          <w:rFonts w:ascii="Times New Roman" w:hAnsi="Times New Roman" w:cs="Times New Roman"/>
          <w:lang w:val="en-CA"/>
        </w:rPr>
        <w:t xml:space="preserve">Spontaneous intracerebral hemorrhage, the non-traumatic rupture of cerebral blood </w:t>
      </w:r>
      <w:r w:rsidR="00237C7B" w:rsidRPr="002573A7">
        <w:rPr>
          <w:rFonts w:ascii="Times New Roman" w:hAnsi="Times New Roman" w:cs="Times New Roman"/>
          <w:lang w:val="en-CA"/>
        </w:rPr>
        <w:t>vessels</w:t>
      </w:r>
      <w:r w:rsidRPr="002573A7">
        <w:rPr>
          <w:rFonts w:ascii="Times New Roman" w:hAnsi="Times New Roman" w:cs="Times New Roman"/>
          <w:lang w:val="en-CA"/>
        </w:rPr>
        <w:t>, is the most devastating stroke subtype and is a major cause of morbidity and mortality across the world.</w:t>
      </w:r>
      <w:r w:rsidR="002A53BB" w:rsidRPr="002573A7">
        <w:rPr>
          <w:rFonts w:ascii="Times New Roman" w:hAnsi="Times New Roman" w:cs="Times New Roman"/>
          <w:lang w:val="en-CA"/>
        </w:rPr>
        <w:fldChar w:fldCharType="begin" w:fldLock="1"/>
      </w:r>
      <w:r w:rsidR="00C02A79">
        <w:rPr>
          <w:rFonts w:ascii="Times New Roman" w:hAnsi="Times New Roman" w:cs="Times New Roman"/>
          <w:lang w:val="en-CA"/>
        </w:rPr>
        <w:instrText>ADDIN CSL_CITATION { "citationItems" : [ { "id" : "ITEM-1", "itemData" : { "DOI" : "10.1016/S0140-6736(09)60371-8", "ISSN" : "1474-547X", "PMID" : "19427958", "abstract" : "Intracerebral haemorrhage is an important public health problem leading to high rates of death and disability in adults. Although the number of hospital admissions for intracerebral haemorrhage has increased worldwide in the past 10 years, mortality has not fallen. Results of clinical trials and observational studies suggest that coordinated primary and specialty care is associated with lower mortality than is typical community practice. Development of treatment goals for critical care, and new sequences of care and specialty practice can improve outcome after intracerebral haemorrhage. Specific treatment approaches include early diagnosis and haemostasis, aggressive management of blood pressure, open surgical and minimally invasive surgical techniques to remove clot, techniques to remove intraventricular blood, and management of intracranial pressure. These approaches improve clinical management of patients with intracerebral haemorrhage and promise to reduce mortality and increase functional survival.", "author" : [ { "dropping-particle" : "", "family" : "Qureshi", "given" : "Adnan I", "non-dropping-particle" : "", "parse-names" : false, "suffix" : "" }, { "dropping-particle" : "", "family" : "Mendelow", "given" : "A David", "non-dropping-particle" : "", "parse-names" : false, "suffix" : "" }, { "dropping-particle" : "", "family" : "Hanley", "given" : "Daniel F", "non-dropping-particle" : "", "parse-names" : false, "suffix" : "" } ], "container-title" : "Lancet (London, England)", "id" : "ITEM-1", "issue" : "9675", "issued" : { "date-parts" : [ [ "2009", "5", "9" ] ] }, "page" : "1632-44", "title" : "Intracerebral haemorrhage.", "type" : "article-journal", "volume" : "373" }, "uris" : [ "http://www.mendeley.com/documents/?uuid=4b214365-dfa8-4063-8da4-006cf4b5085a" ] } ], "mendeley" : { "formattedCitation" : "[1]", "plainTextFormattedCitation" : "[1]", "previouslyFormattedCitation" : "[1]" }, "properties" : { "noteIndex" : 0 }, "schema" : "https://github.com/citation-style-language/schema/raw/master/csl-citation.json" }</w:instrText>
      </w:r>
      <w:r w:rsidR="002A53BB" w:rsidRPr="002573A7">
        <w:rPr>
          <w:rFonts w:ascii="Times New Roman" w:hAnsi="Times New Roman" w:cs="Times New Roman"/>
          <w:lang w:val="en-CA"/>
        </w:rPr>
        <w:fldChar w:fldCharType="separate"/>
      </w:r>
      <w:r w:rsidR="004D1998" w:rsidRPr="002573A7">
        <w:rPr>
          <w:rFonts w:ascii="Times New Roman" w:hAnsi="Times New Roman" w:cs="Times New Roman"/>
          <w:noProof/>
          <w:lang w:val="en-CA"/>
        </w:rPr>
        <w:t>[1]</w:t>
      </w:r>
      <w:r w:rsidR="002A53BB" w:rsidRPr="002573A7">
        <w:rPr>
          <w:rFonts w:ascii="Times New Roman" w:hAnsi="Times New Roman" w:cs="Times New Roman"/>
          <w:lang w:val="en-CA"/>
        </w:rPr>
        <w:fldChar w:fldCharType="end"/>
      </w:r>
      <w:r w:rsidRPr="002573A7">
        <w:rPr>
          <w:rFonts w:ascii="Times New Roman" w:hAnsi="Times New Roman" w:cs="Times New Roman"/>
          <w:lang w:val="en-CA"/>
        </w:rPr>
        <w:t xml:space="preserve"> </w:t>
      </w:r>
      <w:r w:rsidR="00B463D6" w:rsidRPr="002573A7">
        <w:rPr>
          <w:rFonts w:ascii="Times New Roman" w:hAnsi="Times New Roman" w:cs="Times New Roman"/>
          <w:lang w:val="en-CA"/>
        </w:rPr>
        <w:t>One-month</w:t>
      </w:r>
      <w:r w:rsidRPr="002573A7">
        <w:rPr>
          <w:rFonts w:ascii="Times New Roman" w:hAnsi="Times New Roman" w:cs="Times New Roman"/>
          <w:lang w:val="en-CA"/>
        </w:rPr>
        <w:t xml:space="preserve"> mortality </w:t>
      </w:r>
      <w:r w:rsidR="008D3EFC" w:rsidRPr="002573A7">
        <w:rPr>
          <w:rFonts w:ascii="Times New Roman" w:hAnsi="Times New Roman" w:cs="Times New Roman"/>
          <w:lang w:val="en-CA"/>
        </w:rPr>
        <w:t xml:space="preserve">can be high as 55% and a large proportion of survivors often </w:t>
      </w:r>
      <w:r w:rsidR="0034361E">
        <w:rPr>
          <w:rFonts w:ascii="Times New Roman" w:hAnsi="Times New Roman" w:cs="Times New Roman"/>
          <w:lang w:val="en-CA"/>
        </w:rPr>
        <w:t>suffer</w:t>
      </w:r>
      <w:r w:rsidR="008D3EFC" w:rsidRPr="002573A7">
        <w:rPr>
          <w:rFonts w:ascii="Times New Roman" w:hAnsi="Times New Roman" w:cs="Times New Roman"/>
          <w:lang w:val="en-CA"/>
        </w:rPr>
        <w:t xml:space="preserve"> severe long-term disability.</w:t>
      </w:r>
      <w:r w:rsidR="00B77712">
        <w:rPr>
          <w:rFonts w:ascii="Times New Roman" w:hAnsi="Times New Roman" w:cs="Times New Roman"/>
          <w:lang w:val="en-CA"/>
        </w:rPr>
        <w:fldChar w:fldCharType="begin" w:fldLock="1"/>
      </w:r>
      <w:r w:rsidR="00B77712">
        <w:rPr>
          <w:rFonts w:ascii="Times New Roman" w:hAnsi="Times New Roman" w:cs="Times New Roman"/>
          <w:lang w:val="en-CA"/>
        </w:rPr>
        <w:instrText>ADDIN CSL_CITATION { "citationItems" : [ { "id" : "ITEM-1", "itemData" : { "DOI" : "10.1016/S1474-4422(11)70264-2", "ISSN" : "1474-4465", "PMID" : "22172625", "abstract" : "Intracerebral haemorrhage (ICH) is the most devastating type of stroke and is a leading cause of disability and mortality. By contrast with advances in ischaemic stroke treatment, few evidence-based targeted treatments exist for ICH. Management of ICH is largely supportive, with strategies aimed at the limitation of further brain injury and the prevention of associated complications, which add further detrimental effects to an already lethal disease and jeopardise clinical outcomes. Complications of ICH include haematoma expansion, perihaematomal oedema with increased intracranial pressure, intraventricular extension of haemorrhage with hydrocephalus, seizures, venous thrombotic events, hyperglycaemia, increased blood pressure, fever, and infections. In view of the restricted number of therapeutic options for patients with ICH, improved surveillance is needed for the prevention of these complications, or, when this is not possible, early detection and optimum management, which could be effective in the reduction of adverse effects early in the course of stroke and in the improvement of prognosis. Further studies are needed to enhance the evidence-based recommendations for the management of this important clinical problem.", "author" : [ { "dropping-particle" : "", "family" : "Balami", "given" : "Joyce S", "non-dropping-particle" : "", "parse-names" : false, "suffix" : "" }, { "dropping-particle" : "", "family" : "Buchan", "given" : "Alastair M", "non-dropping-particle" : "", "parse-names" : false, "suffix" : "" } ], "container-title" : "The Lancet. Neurology", "id" : "ITEM-1", "issue" : "1", "issued" : { "date-parts" : [ [ "2012", "1" ] ] }, "page" : "101-18", "title" : "Complications of intracerebral haemorrhage.", "type" : "article-journal", "volume" : "11" }, "uris" : [ "http://www.mendeley.com/documents/?uuid=dfb7bbb8-997a-4e2e-b0e9-39ca86c5a154" ] } ], "mendeley" : { "formattedCitation" : "[2]", "plainTextFormattedCitation" : "[2]", "previouslyFormattedCitation" : "[2]" }, "properties" : { "noteIndex" : 0 }, "schema" : "https://github.com/citation-style-language/schema/raw/master/csl-citation.json" }</w:instrText>
      </w:r>
      <w:r w:rsidR="00B77712">
        <w:rPr>
          <w:rFonts w:ascii="Times New Roman" w:hAnsi="Times New Roman" w:cs="Times New Roman"/>
          <w:lang w:val="en-CA"/>
        </w:rPr>
        <w:fldChar w:fldCharType="separate"/>
      </w:r>
      <w:r w:rsidR="00B77712" w:rsidRPr="00B77712">
        <w:rPr>
          <w:rFonts w:ascii="Times New Roman" w:hAnsi="Times New Roman" w:cs="Times New Roman"/>
          <w:noProof/>
          <w:lang w:val="en-CA"/>
        </w:rPr>
        <w:t>[2]</w:t>
      </w:r>
      <w:r w:rsidR="00B77712">
        <w:rPr>
          <w:rFonts w:ascii="Times New Roman" w:hAnsi="Times New Roman" w:cs="Times New Roman"/>
          <w:lang w:val="en-CA"/>
        </w:rPr>
        <w:fldChar w:fldCharType="end"/>
      </w:r>
      <w:r w:rsidR="007A005E" w:rsidRPr="002573A7">
        <w:rPr>
          <w:rFonts w:ascii="Times New Roman" w:hAnsi="Times New Roman" w:cs="Times New Roman"/>
          <w:lang w:val="en-CA"/>
        </w:rPr>
        <w:t xml:space="preserve"> The high morbidity and mortality associated with intracerebral hemorrhage is </w:t>
      </w:r>
      <w:r w:rsidR="00AC60A6" w:rsidRPr="002573A7">
        <w:rPr>
          <w:rFonts w:ascii="Times New Roman" w:hAnsi="Times New Roman" w:cs="Times New Roman"/>
          <w:lang w:val="en-CA"/>
        </w:rPr>
        <w:t>secondary to t</w:t>
      </w:r>
      <w:r w:rsidR="007A005E" w:rsidRPr="002573A7">
        <w:rPr>
          <w:rFonts w:ascii="Times New Roman" w:hAnsi="Times New Roman" w:cs="Times New Roman"/>
          <w:lang w:val="en-CA"/>
        </w:rPr>
        <w:t xml:space="preserve">he dynamic nature of the disease. </w:t>
      </w:r>
      <w:r w:rsidR="00131893">
        <w:rPr>
          <w:rFonts w:ascii="Times New Roman" w:hAnsi="Times New Roman" w:cs="Times New Roman"/>
          <w:lang w:val="en-CA"/>
        </w:rPr>
        <w:t>The size of an intracerebral h</w:t>
      </w:r>
      <w:r w:rsidR="00E21DB4" w:rsidRPr="002573A7">
        <w:rPr>
          <w:rFonts w:ascii="Times New Roman" w:hAnsi="Times New Roman" w:cs="Times New Roman"/>
          <w:lang w:val="en-CA"/>
        </w:rPr>
        <w:t>emorrhage</w:t>
      </w:r>
      <w:r w:rsidR="00F064AA">
        <w:rPr>
          <w:rFonts w:ascii="Times New Roman" w:hAnsi="Times New Roman" w:cs="Times New Roman"/>
          <w:lang w:val="en-CA"/>
        </w:rPr>
        <w:t xml:space="preserve"> </w:t>
      </w:r>
      <w:r w:rsidR="00131893">
        <w:rPr>
          <w:rFonts w:ascii="Times New Roman" w:hAnsi="Times New Roman" w:cs="Times New Roman"/>
          <w:lang w:val="en-CA"/>
        </w:rPr>
        <w:t xml:space="preserve">is </w:t>
      </w:r>
      <w:r w:rsidR="000D4075" w:rsidRPr="002573A7">
        <w:rPr>
          <w:rFonts w:ascii="Times New Roman" w:hAnsi="Times New Roman" w:cs="Times New Roman"/>
          <w:lang w:val="en-CA"/>
        </w:rPr>
        <w:t>rarely</w:t>
      </w:r>
      <w:r w:rsidR="00E21DB4" w:rsidRPr="002573A7">
        <w:rPr>
          <w:rFonts w:ascii="Times New Roman" w:hAnsi="Times New Roman" w:cs="Times New Roman"/>
          <w:lang w:val="en-CA"/>
        </w:rPr>
        <w:t xml:space="preserve"> </w:t>
      </w:r>
      <w:r w:rsidR="00131893">
        <w:rPr>
          <w:rFonts w:ascii="Times New Roman" w:hAnsi="Times New Roman" w:cs="Times New Roman"/>
          <w:lang w:val="en-CA"/>
        </w:rPr>
        <w:t xml:space="preserve">a </w:t>
      </w:r>
      <w:r w:rsidR="00E21DB4" w:rsidRPr="002573A7">
        <w:rPr>
          <w:rFonts w:ascii="Times New Roman" w:hAnsi="Times New Roman" w:cs="Times New Roman"/>
          <w:lang w:val="en-CA"/>
        </w:rPr>
        <w:t>static</w:t>
      </w:r>
      <w:r w:rsidR="00F064AA">
        <w:rPr>
          <w:rFonts w:ascii="Times New Roman" w:hAnsi="Times New Roman" w:cs="Times New Roman"/>
          <w:lang w:val="en-CA"/>
        </w:rPr>
        <w:t xml:space="preserve"> </w:t>
      </w:r>
      <w:r w:rsidR="00131893">
        <w:rPr>
          <w:rFonts w:ascii="Times New Roman" w:hAnsi="Times New Roman" w:cs="Times New Roman"/>
          <w:lang w:val="en-CA"/>
        </w:rPr>
        <w:t>fixture:</w:t>
      </w:r>
      <w:r w:rsidR="00E21DB4" w:rsidRPr="002573A7">
        <w:rPr>
          <w:rFonts w:ascii="Times New Roman" w:hAnsi="Times New Roman" w:cs="Times New Roman"/>
          <w:lang w:val="en-CA"/>
        </w:rPr>
        <w:t xml:space="preserve"> </w:t>
      </w:r>
      <w:r w:rsidR="00BE4331">
        <w:rPr>
          <w:rFonts w:ascii="Times New Roman" w:hAnsi="Times New Roman" w:cs="Times New Roman"/>
          <w:lang w:val="en-CA"/>
        </w:rPr>
        <w:t>it</w:t>
      </w:r>
      <w:r w:rsidR="00E21DB4" w:rsidRPr="002573A7">
        <w:rPr>
          <w:rFonts w:ascii="Times New Roman" w:hAnsi="Times New Roman" w:cs="Times New Roman"/>
          <w:lang w:val="en-CA"/>
        </w:rPr>
        <w:t xml:space="preserve"> can </w:t>
      </w:r>
      <w:r w:rsidR="00DC1698">
        <w:rPr>
          <w:rFonts w:ascii="Times New Roman" w:hAnsi="Times New Roman" w:cs="Times New Roman"/>
          <w:lang w:val="en-CA"/>
        </w:rPr>
        <w:t>change</w:t>
      </w:r>
      <w:r w:rsidR="004C1A36" w:rsidRPr="002573A7">
        <w:rPr>
          <w:rFonts w:ascii="Times New Roman" w:hAnsi="Times New Roman" w:cs="Times New Roman"/>
          <w:lang w:val="en-CA"/>
        </w:rPr>
        <w:t xml:space="preserve"> after initial presentation</w:t>
      </w:r>
      <w:r w:rsidR="00DC1698">
        <w:rPr>
          <w:rFonts w:ascii="Times New Roman" w:hAnsi="Times New Roman" w:cs="Times New Roman"/>
          <w:lang w:val="en-CA"/>
        </w:rPr>
        <w:t>, often enlarging in size</w:t>
      </w:r>
      <w:r w:rsidR="004C1A36" w:rsidRPr="002573A7">
        <w:rPr>
          <w:rFonts w:ascii="Times New Roman" w:hAnsi="Times New Roman" w:cs="Times New Roman"/>
          <w:lang w:val="en-CA"/>
        </w:rPr>
        <w:t xml:space="preserve">. This enlargement of hematoma volume, formally termed as hematoma expansion, is </w:t>
      </w:r>
      <w:r w:rsidR="00BE001C" w:rsidRPr="002573A7">
        <w:rPr>
          <w:rFonts w:ascii="Times New Roman" w:hAnsi="Times New Roman" w:cs="Times New Roman"/>
          <w:lang w:val="en-CA"/>
        </w:rPr>
        <w:t xml:space="preserve">a major cause of </w:t>
      </w:r>
      <w:r w:rsidR="006E5E7E" w:rsidRPr="002573A7">
        <w:rPr>
          <w:rFonts w:ascii="Times New Roman" w:hAnsi="Times New Roman" w:cs="Times New Roman"/>
          <w:lang w:val="en-CA"/>
        </w:rPr>
        <w:t>poor</w:t>
      </w:r>
      <w:r w:rsidR="00BE001C" w:rsidRPr="002573A7">
        <w:rPr>
          <w:rFonts w:ascii="Times New Roman" w:hAnsi="Times New Roman" w:cs="Times New Roman"/>
          <w:lang w:val="en-CA"/>
        </w:rPr>
        <w:t xml:space="preserve"> long-term outcome.</w:t>
      </w:r>
      <w:r w:rsidR="00B77712">
        <w:rPr>
          <w:rFonts w:ascii="Times New Roman" w:hAnsi="Times New Roman" w:cs="Times New Roman"/>
          <w:lang w:val="en-CA"/>
        </w:rPr>
        <w:fldChar w:fldCharType="begin" w:fldLock="1"/>
      </w:r>
      <w:r w:rsidR="00E21D1D">
        <w:rPr>
          <w:rFonts w:ascii="Times New Roman" w:hAnsi="Times New Roman" w:cs="Times New Roman"/>
          <w:lang w:val="en-CA"/>
        </w:rPr>
        <w:instrText>ADDIN CSL_CITATION { "citationItems" : [ { "id" : "ITEM-1", "itemData" : { "DOI" : "10.1212/WNL.0b013e3182143317", "ISSN" : "1526-632X", "PMID" : "21346218", "abstract" : "BACKGROUND Hematoma expansion (HE) is a surrogate marker in intracerebral hemorrhage (ICH) trials. However, the amount of HE necessary to produce poor outcomes in an individual is unclear; there is no agreement on a clinically meaningful definition of HE. We compared commonly used definitions of HE in their ability to predict poor outcome as defined by various cutpoints on the modified Rankin Scale (mRS). METHODS In this cohort study, we analyzed 531 patients with ICH from the Virtual International Stroke Trials Archive. Primary outcome was mRS at 90 days, dichotomized into 0-3 vs 4-6. Secondary outcomes included other mRS cutpoints and mRS \"shift analysis.\" Sensitivity, specificity, and predictive values for commonly used HE definitions were calculated. RESULTS Between 13% and 32% of patients met the commonly used HE definitions. All definitions independently predicted poor outcome; positive predictive values increased with higher growth cutoffs but at the expense of lower sensitivities. All HE definitions showed higher specificity than sensitivity. Absolute growth cutoffs were more predictive than relative cutoffs when mRS 5-6 or 6 was defined as \"poor outcome.\" CONCLUSION HE robustly predicts poor outcome regardless of the growth definition or the outcome definition. The highest positive predictive values are obtained when using an absolute growth definition to predict more severe outcomes. Given that only a minority of patients may have clinically relevant HE, hemostatic ICH trials may need to enroll a large number of patients, or select for a population that is more likely to have HE.", "author" : [ { "dropping-particle" : "", "family" : "Dowlatshahi", "given" : "D.", "non-dropping-particle" : "", "parse-names" : false, "suffix" : "" }, { "dropping-particle" : "", "family" : "Demchuk", "given" : "A. M.", "non-dropping-particle" : "", "parse-names" : false, "suffix" : "" }, { "dropping-particle" : "", "family" : "Flaherty", "given" : "M. L.", "non-dropping-particle" : "", "parse-names" : false, "suffix" : "" }, { "dropping-particle" : "", "family" : "Ali", "given" : "M.", "non-dropping-particle" : "", "parse-names" : false, "suffix" : "" }, { "dropping-particle" : "", "family" : "Lyden", "given" : "P. L.", "non-dropping-particle" : "", "parse-names" : false, "suffix" : "" }, { "dropping-particle" : "", "family" : "Smith", "given" : "E. E.", "non-dropping-particle" : "", "parse-names" : false, "suffix" : "" }, { "dropping-particle" : "", "family" : "VISTA Collaboration", "given" : "", "non-dropping-particle" : "", "parse-names" : false, "suffix" : "" } ], "container-title" : "Neurology", "id" : "ITEM-1", "issue" : "14", "issued" : { "date-parts" : [ [ "2011", "4", "5" ] ] }, "page" : "1238-44", "title" : "Defining hematoma expansion in intracerebral hemorrhage: relationship with patient outcomes.", "type" : "article-journal", "volume" : "76" }, "uris" : [ "http://www.mendeley.com/documents/?uuid=23429374-ba2d-496c-a6f1-0846b6ef46c1" ] } ], "mendeley" : { "formattedCitation" : "[3]", "plainTextFormattedCitation" : "[3]", "previouslyFormattedCitation" : "[3]" }, "properties" : { "noteIndex" : 0 }, "schema" : "https://github.com/citation-style-language/schema/raw/master/csl-citation.json" }</w:instrText>
      </w:r>
      <w:r w:rsidR="00B77712">
        <w:rPr>
          <w:rFonts w:ascii="Times New Roman" w:hAnsi="Times New Roman" w:cs="Times New Roman"/>
          <w:lang w:val="en-CA"/>
        </w:rPr>
        <w:fldChar w:fldCharType="separate"/>
      </w:r>
      <w:r w:rsidR="00B77712" w:rsidRPr="00B77712">
        <w:rPr>
          <w:rFonts w:ascii="Times New Roman" w:hAnsi="Times New Roman" w:cs="Times New Roman"/>
          <w:noProof/>
          <w:lang w:val="en-CA"/>
        </w:rPr>
        <w:t>[3]</w:t>
      </w:r>
      <w:r w:rsidR="00B77712">
        <w:rPr>
          <w:rFonts w:ascii="Times New Roman" w:hAnsi="Times New Roman" w:cs="Times New Roman"/>
          <w:lang w:val="en-CA"/>
        </w:rPr>
        <w:fldChar w:fldCharType="end"/>
      </w:r>
      <w:r w:rsidR="00BE001C" w:rsidRPr="002573A7">
        <w:rPr>
          <w:rFonts w:ascii="Times New Roman" w:hAnsi="Times New Roman" w:cs="Times New Roman"/>
          <w:lang w:val="en-CA"/>
        </w:rPr>
        <w:t xml:space="preserve"> It occurs early in presentation, and has become </w:t>
      </w:r>
      <w:r w:rsidR="005A288B" w:rsidRPr="002573A7">
        <w:rPr>
          <w:rFonts w:ascii="Times New Roman" w:hAnsi="Times New Roman" w:cs="Times New Roman"/>
          <w:lang w:val="en-CA"/>
        </w:rPr>
        <w:t xml:space="preserve">the </w:t>
      </w:r>
      <w:r w:rsidR="00BE001C" w:rsidRPr="002573A7">
        <w:rPr>
          <w:rFonts w:ascii="Times New Roman" w:hAnsi="Times New Roman" w:cs="Times New Roman"/>
          <w:lang w:val="en-CA"/>
        </w:rPr>
        <w:t xml:space="preserve">therapeutic target </w:t>
      </w:r>
      <w:r w:rsidR="005A288B" w:rsidRPr="002573A7">
        <w:rPr>
          <w:rFonts w:ascii="Times New Roman" w:hAnsi="Times New Roman" w:cs="Times New Roman"/>
          <w:lang w:val="en-CA"/>
        </w:rPr>
        <w:t xml:space="preserve">of choice in recent </w:t>
      </w:r>
      <w:r w:rsidR="00B67360" w:rsidRPr="002573A7">
        <w:rPr>
          <w:rFonts w:ascii="Times New Roman" w:hAnsi="Times New Roman" w:cs="Times New Roman"/>
          <w:lang w:val="en-CA"/>
        </w:rPr>
        <w:t>clinical trials.</w:t>
      </w:r>
      <w:r w:rsidR="00E21D1D">
        <w:rPr>
          <w:rFonts w:ascii="Times New Roman" w:hAnsi="Times New Roman" w:cs="Times New Roman"/>
          <w:lang w:val="en-CA"/>
        </w:rPr>
        <w:fldChar w:fldCharType="begin" w:fldLock="1"/>
      </w:r>
      <w:r w:rsidR="006A72A0">
        <w:rPr>
          <w:rFonts w:ascii="Times New Roman" w:hAnsi="Times New Roman" w:cs="Times New Roman"/>
          <w:lang w:val="en-CA"/>
        </w:rPr>
        <w:instrText>ADDIN CSL_CITATION { "citationItems" : [ { "id" : "ITEM-1", "itemData" : { "DOI" : "10.1056/NEJMoa042991", "ISSN" : "1533-4406", "PMID" : "15728810", "abstract" : "BACKGROUND Intracerebral hemorrhage is the least treatable form of stroke and is associated with high mortality. Among patients who undergo computed tomography (CT) within three hours after the onset of intracerebral hemorrhage, one third have an increase in the volume of the hematoma related to subsequent bleeding. We sought to determine whether recombinant activated factor VII (rFVIIa) can reduce hematoma growth after intracerebral hemorrhage. METHODS We randomly assigned 399 patients with intracerebral hemorrhage diagnosed by CT within three hours after onset to receive placebo (96 patients) or 40 microg of rFVIIa per kilogram of body weight (108 patients), 80 microg per kilogram (92 patients), or 160 microg per kilogram (103 patients) within one hour after the baseline scan. The primary outcome measure was the percent change in the volume of the intracerebral hemorrhage at 24 hours. Clinical outcomes were assessed at 90 days. RESULTS Hematoma volume increased more in the placebo group than in the rFVIIa groups. The mean increase was 29 percent in the placebo group, as compared with 16 percent, 14 percent, and 11 percent in the groups given 40 microg, 80 microg, and 160 microg of rFVIIa per kilogram, respectively (P=0.01 for the comparison of the three rFVIIa groups with the placebo group). Growth in the volume of intracerebral hemorrhage was reduced by 3.3 ml, 4.5 ml, and 5.8 ml in the three treatment groups, as compared with that in the placebo group (P=0.01). Sixty-nine percent of placebo-treated patients died or were severely disabled (as defined by a modified Rankin Scale score of 4 to 6), as compared with 55 percent, 49 percent, and 54 percent of the patients who were given 40, 80, and 160 microg of rFVIIa, respectively (P=0.004 for the comparison of the three rFVIIa groups with the placebo group). Mortality at 90 days was 29 percent for patients who received placebo, as compared with 18 percent in the three rFVIIa groups combined (P=0.02). Serious thromboembolic adverse events, mainly myocardial or cerebral infarction, occurred in 7 percent of rFVIIa-treated patients, as compared with 2 percent of those given placebo (P=0.12). CONCLUSIONS Treatment with rFVIIa within four hours after the onset of intracerebral hemorrhage limits the growth of the hematoma, reduces mortality, and improves functional outcomes at 90 days, despite a small increase in the frequency of thromboembolic adverse events.", "author" : [ { "dropping-particle" : "", "family" : "Mayer", "given" : "Stephan A", "non-dropping-particle" : "", "parse-names" : false, "suffix" : "" }, { "dropping-particle" : "", "family" : "Brun", "given" : "Nikolai C", "non-dropping-particle" : "", "parse-names" : false, "suffix" : "" }, { "dropping-particle" : "", "family" : "Begtrup", "given" : "Kamilla", "non-dropping-particle" : "", "parse-names" : false, "suffix" : "" }, { "dropping-particle" : "", "family" : "Broderick", "given" : "Joseph", "non-dropping-particle" : "", "parse-names" : false, "suffix" : "" }, { "dropping-particle" : "", "family" : "Davis", "given" : "Stephen", "non-dropping-particle" : "", "parse-names" : false, "suffix" : "" }, { "dropping-particle" : "", "family" : "Diringer", "given" : "Michael N", "non-dropping-particle" : "", "parse-names" : false, "suffix" : "" }, { "dropping-particle" : "", "family" : "Skolnick", "given" : "Brett E", "non-dropping-particle" : "", "parse-names" : false, "suffix" : "" }, { "dropping-particle" : "", "family" : "Steiner", "given" : "Thorsten", "non-dropping-particle" : "", "parse-names" : false, "suffix" : "" }, { "dropping-particle" : "", "family" : "Recombinant Activated Factor VII Intracerebral Hemorrhage Trial Investigators", "given" : "", "non-dropping-particle" : "", "parse-names" : false, "suffix" : "" } ], "container-title" : "The New England journal of medicine", "id" : "ITEM-1", "issue" : "8", "issued" : { "date-parts" : [ [ "2005", "2", "24" ] ] }, "page" : "777-85", "title" : "Recombinant activated factor VII for acute intracerebral hemorrhage.", "type" : "article-journal", "volume" : "352" }, "uris" : [ "http://www.mendeley.com/documents/?uuid=3262ce55-cdd5-45fb-86d4-da6bbabfea41" ] }, { "id" : "ITEM-2", "itemData" : { "DOI" : "10.1016/S1474-4422(08)70069-3", "ISSN" : "1474-4422", "PMID" : "18396107", "abstract" : "BACKGROUND There is much uncertainty about the effects of early lowering of elevated blood pressure (BP) after acute intracerebral haemorrhage (ICH). Our aim was to assess the safety and efficiency of this treatment, as a run-in phase to a larger trial. METHODS Patients who had acute spontaneous ICH diagnosed by CT within 6 h of onset, elevated systolic BP (150-220 mm Hg), and no definite indication or contraindication to treatment were randomly assigned to early intensive lowering of BP (target systolic BP 140 mm Hg; n=203) or standard guideline-based management of BP (target systolic BP 180 mm Hg; n=201). The primary efficacy endpoint was proportional change in haematoma volume at 24 h; secondary efficacy outcomes included other measurements of haematoma volume. Safety and clinical outcomes were assessed for up to 90 days. Analysis was by intention to treat. This trial is registered with ClinicalTrials.gov, number NCT00226096. FINDINGS Baseline characteristics of patients were similar between groups, but mean haematoma volumes were smaller in the guideline group (12.7 mL, SD 11.6) than in the intensive group (14.2 mL, SD 14.5). From randomisation to 1 h, mean systolic BP was 153 mm Hg in the intensive group and 167 mm Hg in the guideline group (difference 13.3 mm Hg, 95% CI 8.9-17.6 mm Hg; p&lt;0.0001); from 1 h to 24 h, BP was 146 mm Hg in the intensive group and 157 mm Hg in the guideline group (10.8 mm Hg, 95% CI 7.7-13.9 mm Hg; p&lt;0.0001). Mean proportional haematoma growth was 36.3% in the guideline group and 13.7% in the intensive group (difference 22.6%, 95% CI 0.6-44.5%; p=0.04) at 24 h. After adjustment for initial haematoma volume and time from onset to CT, median haematoma growth differed between the groups with p=0.06; the absolute difference in volume between groups was 1.7 mL (95% CI -0.5 to 3.9, p=0.13). Relative risk of haematoma growth &gt;or=33% or &gt;or=12.5 mL was 36% lower (95% CI 0-59%, p=0.05) in the intensive group than in the guideline group. The absolute risk reduction was 8% (95% CI -1.0 to 17%, p=0.05). Intensive BP-lowering treatment did not alter the risks of adverse events or secondary clinical outcomes at 90 days. INTERPRETATION Early intensive BP-lowering treatment is clinically feasible, well tolerated, and seems to reduce haematoma growth in ICH. A large randomised trial is needed to define the effects on clinical outcomes across a broad range of patients with ICH. FUNDING National Health and Medical Research Council of Austr\u2026", "author" : [ { "dropping-particle" : "", "family" : "Anderson", "given" : "Craig S", "non-dropping-particle" : "", "parse-names" : false, "suffix" : "" }, { "dropping-particle" : "", "family" : "Huang", "given" : "Yining", "non-dropping-particle" : "", "parse-names" : false, "suffix" : "" }, { "dropping-particle" : "", "family" : "Wang", "given" : "Ji Guang", "non-dropping-particle" : "", "parse-names" : false, "suffix" : "" }, { "dropping-particle" : "", "family" : "Arima", "given" : "Hisatomi", "non-dropping-particle" : "", "parse-names" : false, "suffix" : "" }, { "dropping-particle" : "", "family" : "Neal", "given" : "Bruce", "non-dropping-particle" : "", "parse-names" : false, "suffix" : "" }, { "dropping-particle" : "", "family" : "Peng", "given" : "Bin", "non-dropping-particle" : "", "parse-names" : false, "suffix" : "" }, { "dropping-particle" : "", "family" : "Heeley", "given" : "Emma", "non-dropping-particle" : "", "parse-names" : false, "suffix" : "" }, { "dropping-particle" : "", "family" : "Skulina", "given" : "Christian", "non-dropping-particle" : "", "parse-names" : false, "suffix" : "" }, { "dropping-particle" : "", "family" : "Parsons", "given" : "Mark W", "non-dropping-particle" : "", "parse-names" : false, "suffix" : "" }, { "dropping-particle" : "", "family" : "Kim", "given" : "Jong Sung", "non-dropping-particle" : "", "parse-names" : false, "suffix" : "" }, { "dropping-particle" : "", "family" : "Tao", "given" : "Qing Ling", "non-dropping-particle" : "", "parse-names" : false, "suffix" : "" }, { "dropping-particle" : "", "family" : "Li", "given" : "Yue Chun", "non-dropping-particle" : "", "parse-names" : false, "suffix" : "" }, { "dropping-particle" : "", "family" : "Jiang", "given" : "Jian Dong", "non-dropping-particle" : "", "parse-names" : false, "suffix" : "" }, { "dropping-particle" : "", "family" : "Tai", "given" : "Li Wen", "non-dropping-particle" : "", "parse-names" : false, "suffix" : "" }, { "dropping-particle" : "", "family" : "Zhang", "given" : "Jin Li", "non-dropping-particle" : "", "parse-names" : false, "suffix" : "" }, { "dropping-particle" : "", "family" : "Xu", "given" : "En", "non-dropping-particle" : "", "parse-names" : false, "suffix" : "" }, { "dropping-particle" : "", "family" : "Cheng", "given" : "Yan", "non-dropping-particle" : "", "parse-names" : false, "suffix" : "" }, { "dropping-particle" : "", "family" : "Heritier", "given" : "Stephane", "non-dropping-particle" : "", "parse-names" : false, "suffix" : "" }, { "dropping-particle" : "", "family" : "Morgenstern", "given" : "Lewis B", "non-dropping-particle" : "", "parse-names" : false, "suffix" : "" }, { "dropping-particle" : "", "family" : "Chalmers", "given" : "John", "non-dropping-particle" : "", "parse-names" : false, "suffix" : "" }, { "dropping-particle" : "", "family" : "INTERACT Investigators", "given" : "", "non-dropping-particle" : "", "parse-names" : false, "suffix" : "" } ], "container-title" : "The Lancet. Neurology", "id" : "ITEM-2", "issue" : "5", "issued" : { "date-parts" : [ [ "2008", "5" ] ] }, "page" : "391-9", "title" : "Intensive blood pressure reduction in acute cerebral haemorrhage trial (INTERACT): a randomised pilot trial.", "type" : "article-journal", "volume" : "7" }, "uris" : [ "http://www.mendeley.com/documents/?uuid=fee0c6ec-d269-425c-b55e-58787e8d743e" ] }, { "id" : "ITEM-3", "itemData" : { "DOI" : "10.1056/NEJMoa0707534", "ISSN" : "1533-4406", "PMID" : "18480205", "abstract" : "BACKGROUND Intracerebral hemorrhage is the least treatable form of stroke. We performed this phase 3 trial to confirm a previous study in which recombinant activated factor VII (rFVIIa) reduced growth of the hematoma and improved survival and functional outcomes. METHODS We randomly assigned 841 patients with intracerebral hemorrhage to receive placebo (268 patients), 20 microg of rFVIIa per kilogram of body weight (276 patients), or 80 microg of rFVIIa per kilogram (297 patients) within 4 hours after the onset of stroke. The primary end point was poor outcome, defined as severe disability or death according to the modified Rankin scale 90 days after the stroke. RESULTS Treatment with 80 microg of rFVIIa per kilogram resulted in a significant reduction in growth in volume of the hemorrhage. The mean estimated increase in volume of the intracerebral hemorrhage at 24 hours was 26% in the placebo group, as compared with 18% in the group receiving 20 microg of rFVIIa per kilogram (P=0.09) and 11% in the group receiving 80 microg (P&lt;0.001). The growth in volume of intracerebral hemorrhage was reduced by 2.6 ml (95% confidence interval [CI], -0.3 to 5.5; P=0.08) in the group receiving 20 microg of rFVIIa per kilogram and by 3.8 ml (95% CI, 0.9 to 6.7; P=0.009) in the group receiving 80 microg, as compared with the placebo group. Despite this reduction in bleeding, there was no significant difference among the three groups in the proportion of patients with poor clinical outcome (24% in the placebo group, 26% in the group receiving 20 microg of rFVIIa per kilogram, and 29% in the group receiving 80 microg). The overall frequency of thromboembolic serious adverse events was similar in the three groups; however, arterial events were more frequent in the group receiving 80 microg of rFVIIa than in the placebo group (9% vs. 4%, P=0.04). CONCLUSIONS Hemostatic therapy with rFVIIa reduced growth of the hematoma but did not improve survival or functional outcome after intracerebral hemorrhage. (ClinicalTrials.gov number, NCT00127283 [ClinicalTrials.gov].).", "author" : [ { "dropping-particle" : "", "family" : "Mayer", "given" : "Stephan A", "non-dropping-particle" : "", "parse-names" : false, "suffix" : "" }, { "dropping-particle" : "", "family" : "Brun", "given" : "Nikolai C", "non-dropping-particle" : "", "parse-names" : false, "suffix" : "" }, { "dropping-particle" : "", "family" : "Begtrup", "given" : "Kamilla", "non-dropping-particle" : "", "parse-names" : false, "suffix" : "" }, { "dropping-particle" : "", "family" : "Broderick", "given" : "Joseph", "non-dropping-particle" : "", "parse-names" : false, "suffix" : "" }, { "dropping-particle" : "", "family" : "Davis", "given" : "Stephen", "non-dropping-particle" : "", "parse-names" : false, "suffix" : "" }, { "dropping-particle" : "", "family" : "Diringer", "given" : "Michael N", "non-dropping-particle" : "", "parse-names" : false, "suffix" : "" }, { "dropping-particle" : "", "family" : "Skolnick", "given" : "Brett E", "non-dropping-particle" : "", "parse-names" : false, "suffix" : "" }, { "dropping-particle" : "", "family" : "Steiner", "given" : "Thorsten", "non-dropping-particle" : "", "parse-names" : false, "suffix" : "" }, { "dropping-particle" : "", "family" : "FAST Trial Investigators", "given" : "", "non-dropping-particle" : "", "parse-names" : false, "suffix" : "" } ], "container-title" : "The New England journal of medicine", "id" : "ITEM-3", "issue" : "20", "issued" : { "date-parts" : [ [ "2008", "5", "15" ] ] }, "page" : "2127-37", "title" : "Efficacy and safety of recombinant activated factor VII for acute intracerebral hemorrhage.", "type" : "article-journal", "volume" : "358" }, "uris" : [ "http://www.mendeley.com/documents/?uuid=4af33abf-29e4-404f-9399-196e15c523c6" ] } ], "mendeley" : { "formattedCitation" : "[4\u20136]", "plainTextFormattedCitation" : "[4\u20136]", "previouslyFormattedCitation" : "[4\u20136]" }, "properties" : { "noteIndex" : 0 }, "schema" : "https://github.com/citation-style-language/schema/raw/master/csl-citation.json" }</w:instrText>
      </w:r>
      <w:r w:rsidR="00E21D1D">
        <w:rPr>
          <w:rFonts w:ascii="Times New Roman" w:hAnsi="Times New Roman" w:cs="Times New Roman"/>
          <w:lang w:val="en-CA"/>
        </w:rPr>
        <w:fldChar w:fldCharType="separate"/>
      </w:r>
      <w:r w:rsidR="00E21D1D" w:rsidRPr="00E21D1D">
        <w:rPr>
          <w:rFonts w:ascii="Times New Roman" w:hAnsi="Times New Roman" w:cs="Times New Roman"/>
          <w:noProof/>
          <w:lang w:val="en-CA"/>
        </w:rPr>
        <w:t>[4–6]</w:t>
      </w:r>
      <w:r w:rsidR="00E21D1D">
        <w:rPr>
          <w:rFonts w:ascii="Times New Roman" w:hAnsi="Times New Roman" w:cs="Times New Roman"/>
          <w:lang w:val="en-CA"/>
        </w:rPr>
        <w:fldChar w:fldCharType="end"/>
      </w:r>
      <w:r w:rsidR="00B67360" w:rsidRPr="002573A7">
        <w:rPr>
          <w:rFonts w:ascii="Times New Roman" w:hAnsi="Times New Roman" w:cs="Times New Roman"/>
          <w:lang w:val="en-CA"/>
        </w:rPr>
        <w:t xml:space="preserve"> </w:t>
      </w:r>
    </w:p>
    <w:p w14:paraId="03958155" w14:textId="77777777" w:rsidR="00205A98" w:rsidRPr="002573A7" w:rsidRDefault="00205A98" w:rsidP="00E41083">
      <w:pPr>
        <w:spacing w:line="480" w:lineRule="auto"/>
        <w:contextualSpacing/>
        <w:rPr>
          <w:rFonts w:ascii="Times New Roman" w:hAnsi="Times New Roman" w:cs="Times New Roman"/>
          <w:lang w:val="en-CA"/>
        </w:rPr>
      </w:pPr>
    </w:p>
    <w:p w14:paraId="6A806C25" w14:textId="2F071835" w:rsidR="00E44D82" w:rsidRPr="002573A7" w:rsidRDefault="005A288B" w:rsidP="00E41083">
      <w:pPr>
        <w:spacing w:line="480" w:lineRule="auto"/>
        <w:contextualSpacing/>
        <w:rPr>
          <w:rFonts w:ascii="Times New Roman" w:hAnsi="Times New Roman" w:cs="Times New Roman"/>
          <w:lang w:val="en-CA"/>
        </w:rPr>
      </w:pPr>
      <w:r w:rsidRPr="002573A7">
        <w:rPr>
          <w:rFonts w:ascii="Times New Roman" w:hAnsi="Times New Roman" w:cs="Times New Roman"/>
          <w:lang w:val="en-CA"/>
        </w:rPr>
        <w:t>Unfortunately</w:t>
      </w:r>
      <w:r w:rsidR="00B67360" w:rsidRPr="002573A7">
        <w:rPr>
          <w:rFonts w:ascii="Times New Roman" w:hAnsi="Times New Roman" w:cs="Times New Roman"/>
          <w:lang w:val="en-CA"/>
        </w:rPr>
        <w:t xml:space="preserve">, </w:t>
      </w:r>
      <w:r w:rsidR="00C418E0">
        <w:rPr>
          <w:rFonts w:ascii="Times New Roman" w:hAnsi="Times New Roman" w:cs="Times New Roman"/>
          <w:lang w:val="en-CA"/>
        </w:rPr>
        <w:t>therapies</w:t>
      </w:r>
      <w:r w:rsidR="00491E17">
        <w:rPr>
          <w:rFonts w:ascii="Times New Roman" w:hAnsi="Times New Roman" w:cs="Times New Roman"/>
          <w:lang w:val="en-CA"/>
        </w:rPr>
        <w:t xml:space="preserve"> that </w:t>
      </w:r>
      <w:r w:rsidR="00C418E0">
        <w:rPr>
          <w:rFonts w:ascii="Times New Roman" w:hAnsi="Times New Roman" w:cs="Times New Roman"/>
          <w:lang w:val="en-CA"/>
        </w:rPr>
        <w:t>are designed to mitigate hematoma expansion</w:t>
      </w:r>
      <w:r w:rsidR="00B67360" w:rsidRPr="002573A7">
        <w:rPr>
          <w:rFonts w:ascii="Times New Roman" w:hAnsi="Times New Roman" w:cs="Times New Roman"/>
          <w:lang w:val="en-CA"/>
        </w:rPr>
        <w:t xml:space="preserve"> date have been </w:t>
      </w:r>
      <w:r w:rsidR="00C418E0">
        <w:rPr>
          <w:rFonts w:ascii="Times New Roman" w:hAnsi="Times New Roman" w:cs="Times New Roman"/>
          <w:lang w:val="en-CA"/>
        </w:rPr>
        <w:t xml:space="preserve">largely </w:t>
      </w:r>
      <w:r w:rsidR="00B67360" w:rsidRPr="002573A7">
        <w:rPr>
          <w:rFonts w:ascii="Times New Roman" w:hAnsi="Times New Roman" w:cs="Times New Roman"/>
          <w:lang w:val="en-CA"/>
        </w:rPr>
        <w:t xml:space="preserve">unsuccessful </w:t>
      </w:r>
      <w:r w:rsidR="00157C43">
        <w:rPr>
          <w:rFonts w:ascii="Times New Roman" w:hAnsi="Times New Roman" w:cs="Times New Roman"/>
          <w:lang w:val="en-CA"/>
        </w:rPr>
        <w:t xml:space="preserve">at </w:t>
      </w:r>
      <w:r w:rsidR="00D84B92">
        <w:rPr>
          <w:rFonts w:ascii="Times New Roman" w:hAnsi="Times New Roman" w:cs="Times New Roman"/>
          <w:lang w:val="en-CA"/>
        </w:rPr>
        <w:t>improving patient outcomes</w:t>
      </w:r>
      <w:r w:rsidR="00205A98" w:rsidRPr="002573A7">
        <w:rPr>
          <w:rFonts w:ascii="Times New Roman" w:hAnsi="Times New Roman" w:cs="Times New Roman"/>
          <w:lang w:val="en-CA"/>
        </w:rPr>
        <w:t>.</w:t>
      </w:r>
      <w:r w:rsidR="00D2719F">
        <w:rPr>
          <w:rFonts w:ascii="Times New Roman" w:hAnsi="Times New Roman" w:cs="Times New Roman"/>
          <w:lang w:val="en-CA"/>
        </w:rPr>
        <w:fldChar w:fldCharType="begin" w:fldLock="1"/>
      </w:r>
      <w:r w:rsidR="00D2719F">
        <w:rPr>
          <w:rFonts w:ascii="Times New Roman" w:hAnsi="Times New Roman" w:cs="Times New Roman"/>
          <w:lang w:val="en-CA"/>
        </w:rPr>
        <w:instrText>ADDIN CSL_CITATION { "citationItems" : [ { "id" : "ITEM-1", "itemData" : { "DOI" : "10.1056/NEJMoa0707534", "ISSN" : "1533-4406", "PMID" : "18480205", "abstract" : "BACKGROUND Intracerebral hemorrhage is the least treatable form of stroke. We performed this phase 3 trial to confirm a previous study in which recombinant activated factor VII (rFVIIa) reduced growth of the hematoma and improved survival and functional outcomes. METHODS We randomly assigned 841 patients with intracerebral hemorrhage to receive placebo (268 patients), 20 microg of rFVIIa per kilogram of body weight (276 patients), or 80 microg of rFVIIa per kilogram (297 patients) within 4 hours after the onset of stroke. The primary end point was poor outcome, defined as severe disability or death according to the modified Rankin scale 90 days after the stroke. RESULTS Treatment with 80 microg of rFVIIa per kilogram resulted in a significant reduction in growth in volume of the hemorrhage. The mean estimated increase in volume of the intracerebral hemorrhage at 24 hours was 26% in the placebo group, as compared with 18% in the group receiving 20 microg of rFVIIa per kilogram (P=0.09) and 11% in the group receiving 80 microg (P&lt;0.001). The growth in volume of intracerebral hemorrhage was reduced by 2.6 ml (95% confidence interval [CI], -0.3 to 5.5; P=0.08) in the group receiving 20 microg of rFVIIa per kilogram and by 3.8 ml (95% CI, 0.9 to 6.7; P=0.009) in the group receiving 80 microg, as compared with the placebo group. Despite this reduction in bleeding, there was no significant difference among the three groups in the proportion of patients with poor clinical outcome (24% in the placebo group, 26% in the group receiving 20 microg of rFVIIa per kilogram, and 29% in the group receiving 80 microg). The overall frequency of thromboembolic serious adverse events was similar in the three groups; however, arterial events were more frequent in the group receiving 80 microg of rFVIIa than in the placebo group (9% vs. 4%, P=0.04). CONCLUSIONS Hemostatic therapy with rFVIIa reduced growth of the hematoma but did not improve survival or functional outcome after intracerebral hemorrhage. (ClinicalTrials.gov number, NCT00127283 [ClinicalTrials.gov].).", "author" : [ { "dropping-particle" : "", "family" : "Mayer", "given" : "Stephan A", "non-dropping-particle" : "", "parse-names" : false, "suffix" : "" }, { "dropping-particle" : "", "family" : "Brun", "given" : "Nikolai C", "non-dropping-particle" : "", "parse-names" : false, "suffix" : "" }, { "dropping-particle" : "", "family" : "Begtrup", "given" : "Kamilla", "non-dropping-particle" : "", "parse-names" : false, "suffix" : "" }, { "dropping-particle" : "", "family" : "Broderick", "given" : "Joseph", "non-dropping-particle" : "", "parse-names" : false, "suffix" : "" }, { "dropping-particle" : "", "family" : "Davis", "given" : "Stephen", "non-dropping-particle" : "", "parse-names" : false, "suffix" : "" }, { "dropping-particle" : "", "family" : "Diringer", "given" : "Michael N", "non-dropping-particle" : "", "parse-names" : false, "suffix" : "" }, { "dropping-particle" : "", "family" : "Skolnick", "given" : "Brett E", "non-dropping-particle" : "", "parse-names" : false, "suffix" : "" }, { "dropping-particle" : "", "family" : "Steiner", "given" : "Thorsten", "non-dropping-particle" : "", "parse-names" : false, "suffix" : "" }, { "dropping-particle" : "", "family" : "FAST Trial Investigators", "given" : "", "non-dropping-particle" : "", "parse-names" : false, "suffix" : "" } ], "container-title" : "The New England journal of medicine", "id" : "ITEM-1", "issue" : "20", "issued" : { "date-parts" : [ [ "2008", "5", "15" ] ] }, "page" : "2127-37", "title" : "Efficacy and safety of recombinant activated factor VII for acute intracerebral hemorrhage.", "type" : "article-journal", "volume" : "358" }, "uris" : [ "http://www.mendeley.com/documents/?uuid=4af33abf-29e4-404f-9399-196e15c523c6" ] }, { "id" : "ITEM-2", "itemData" : { "DOI" : "10.1056/NEJMoa1603460", "ISSN" : "1533-4406", "PMID" : "27276234", "abstract" : "BACKGROUND Limited data are available to guide the choice of a target for the systolic blood-pressure level when treating acute hypertensive response in patients with intracerebral hemorrhage. METHODS We randomly assigned eligible participants with intracerebral hemorrhage (volume, &lt;60 cm(3)) and a Glasgow Coma Scale (GCS) score of 5 or more (on a scale from 3 to 15, with lower scores indicating worse condition) to a systolic blood-pressure target of 110 to 139 mm Hg (intensive treatment) or a target of 140 to 179 mm Hg (standard treatment) in order to test the superiority of intensive reduction of systolic blood pressure to standard reduction; intravenous nicardipine to lower blood pressure was administered within 4.5 hours after symptom onset. The primary outcome was death or disability (modified Rankin scale score of 4 to 6, on a scale ranging from 0 [no symptoms] to 6 [death]) at 3 months after randomization, as ascertained by an investigator who was unaware of the treatment assignments. RESULTS Among 1000 participants with a mean (\u00b1SD) systolic blood pressure of 200.6\u00b127.0 mm Hg at baseline, 500 were assigned to intensive treatment and 500 to standard treatment. The mean age of the patients was 61.9 years, and 56.2% were Asian. Enrollment was stopped because of futility after a prespecified interim analysis. The primary outcome of death or disability was observed in 38.7% of the participants (186 of 481) in the intensive-treatment group and in 37.7% (181 of 480) in the standard-treatment group (relative risk, 1.04; 95% confidence interval, 0.85 to 1.27; analysis was adjusted for age, initial GCS score, and presence or absence of intraventricular hemorrhage). Serious adverse events occurring within 72 hours after randomization that were considered by the site investigator to be related to treatment were reported in 1.6% of the patients in the intensive-treatment group and in 1.2% of those in the standard-treatment group. The rate of renal adverse events within 7 days after randomization was significantly higher in the intensive-treatment group than in the standard-treatment group (9.0% vs. 4.0%, P=0.002). CONCLUSIONS The treatment of participants with intracerebral hemorrhage to achieve a target systolic blood pressure of 110 to 139 mm Hg did not result in a lower rate of death or disability than standard reduction to a target of 140 to 179 mm Hg. (Funded by the National Institute of Neurological Disorders and Stroke and the National Cerebral and Ca\u2026", "author" : [ { "dropping-particle" : "", "family" : "Qureshi", "given" : "Adnan I", "non-dropping-particle" : "", "parse-names" : false, "suffix" : "" }, { "dropping-particle" : "", "family" : "Palesch", "given" : "Yuko Y", "non-dropping-particle" : "", "parse-names" : false, "suffix" : "" }, { "dropping-particle" : "", "family" : "Barsan", "given" : "William G", "non-dropping-particle" : "", "parse-names" : false, "suffix" : "" }, { "dropping-particle" : "", "family" : "Hanley", "given" : "Daniel F", "non-dropping-particle" : "", "parse-names" : false, "suffix" : "" }, { "dropping-particle" : "", "family" : "Hsu", "given" : "Chung Y", "non-dropping-particle" : "", "parse-names" : false, "suffix" : "" }, { "dropping-particle" : "", "family" : "Martin", "given" : "Renee L", "non-dropping-particle" : "", "parse-names" : false, "suffix" : "" }, { "dropping-particle" : "", "family" : "Moy", "given" : "Claudia S", "non-dropping-particle" : "", "parse-names" : false, "suffix" : "" }, { "dropping-particle" : "", "family" : "Silbergleit", "given" : "Robert", "non-dropping-particle" : "", "parse-names" : false, "suffix" : "" }, { "dropping-particle" : "", "family" : "Steiner", "given" : "Thorsten", "non-dropping-particle" : "", "parse-names" : false, "suffix" : "" }, { "dropping-particle" : "", "family" : "Suarez", "given" : "Jose I", "non-dropping-particle" : "", "parse-names" : false, "suffix" : "" }, { "dropping-particle" : "", "family" : "Toyoda", "given" : "Kazunori", "non-dropping-particle" : "", "parse-names" : false, "suffix" : "" }, { "dropping-particle" : "", "family" : "Wang", "given" : "Yongjun", "non-dropping-particle" : "", "parse-names" : false, "suffix" : "" }, { "dropping-particle" : "", "family" : "Yamamoto", "given" : "Haruko", "non-dropping-particle" : "", "parse-names" : false, "suffix" : "" }, { "dropping-particle" : "", "family" : "Yoon", "given" : "Byung-Woo", "non-dropping-particle" : "", "parse-names" : false, "suffix" : "" }, { "dropping-particle" : "", "family" : "ATACH-2 Trial Investigators and the Neurological Emergency Treatment Trials Network", "given" : "", "non-dropping-particle" : "", "parse-names" : false, "suffix" : "" } ], "container-title" : "The New England journal of medicine", "id" : "ITEM-2", "issue" : "11", "issued" : { "date-parts" : [ [ "2016" ] ] }, "page" : "1033-43", "title" : "Intensive Blood-Pressure Lowering in Patients with Acute Cerebral Hemorrhage.", "type" : "article-journal", "volume" : "375" }, "uris" : [ "http://www.mendeley.com/documents/?uuid=8785c71d-d5d5-4bf0-acad-c10b2908092b" ] }, { "id" : "ITEM-3", "itemData" : { "DOI" : "10.1016/S0140-6736(18)31033-X", "ISSN" : "1474-547X", "PMID" : "29778325", "abstract" : "BACKGROUND Tranexamic acid can prevent death due to bleeding after trauma and post-partum haemorrhage. We aimed to assess whether tranexamic acid reduces haematoma expansion and improves outcome in adults with stroke due to intracerebral haemorrhage. METHODS We did an international, randomised placebo-controlled trial in adults with intracerebral haemorrhage from acute stroke units at 124 hospital sites in 12 countries. Participants were randomly assigned (1:1) to receive 1 g intravenous tranexamic acid bolus followed by an 8 h infusion of 1 g tranexamic acid or a matching placebo, within 8 h of symptom onset. Randomisation was done centrally in real time via a secure website, with stratification by country and minimisation on key prognostic factors. Treatment allocation was concealed from patients, outcome assessors, and all other health-care workers involved in the trial. The primary outcome was functional status at day 90, measured by shift in the modified Rankin Scale, using ordinal logistic regression with adjustment for stratification and minimisation criteria. All analyses were done on an intention-to-treat basis. This trial is registered with the ISRCTN registry, number ISRCTN93732214. FINDINGS We recruited 2325 participants between March 1, 2013, and Sept 30, 2017. 1161 patients received tranexamic acid and 1164 received placebo; the treatment groups were well balanced at baseline. The primary outcome was assessed for 2307 (99%) participants. The primary outcome, functional status at day 90, did not differ significantly between the groups (adjusted odds ratio [aOR] 0\u00b788, 95% CI 0\u00b776-1\u00b703, p=0\u00b711). Although there were fewer deaths by day 7 in the tranexamic acid group (101 [9%] deaths in the tranexamic acid group vs 123 [11%] deaths in the placebo group; aOR 0\u00b773, 0\u00b753-0\u00b799, p=0\u00b70406), there was no difference in case fatality at 90 days (250 [22%] vs 249 [21%]; adjusted hazard ratio 0\u00b792, 95% CI 0\u00b777-1\u00b710, p=0\u00b737). Fewer patients had serious adverse events after tranexamic acid than after placebo by days 2 (379 [33%] patients vs 417 [36%] patients), 7 (456 [39%] vs 497 [43%]), and 90 (521 [45%] vs 556 [48%]). INTERPRETATION Functional status 90 days after intracerebral haemorrhage did not differ significantly between patients who received tranexamic acid and those who received placebo, despite a reduction in early deaths and serious adverse events. Larger randomised trials are needed to confirm or refute a clinically significant treatment effect\u2026", "author" : [ { "dropping-particle" : "", "family" : "Sprigg", "given" : "Nikola", "non-dropping-particle" : "", "parse-names" : false, "suffix" : "" }, { "dropping-particle" : "", "family" : "Flaherty", "given" : "Katie", "non-dropping-particle" : "", "parse-names" : false, "suffix" : "" }, { "dropping-particle" : "", "family" : "Appleton", "given" : "Jason P", "non-dropping-particle" : "", "parse-names" : false, "suffix" : "" }, { "dropping-particle" : "", "family" : "Al-Shahi Salman", "given" : "Rustam", "non-dropping-particle" : "", "parse-names" : false, "suffix" : "" }, { "dropping-particle" : "", "family" : "Bereczki", "given" : "Daniel", "non-dropping-particle" : "", "parse-names" : false, "suffix" : "" }, { "dropping-particle" : "", "family" : "Beridze", "given" : "Maia", "non-dropping-particle" : "", "parse-names" : false, "suffix" : "" }, { "dropping-particle" : "", "family" : "Christensen", "given" : "Hanne", "non-dropping-particle" : "", "parse-names" : false, "suffix" : "" }, { "dropping-particle" : "", "family" : "Ciccone", "given" : "Alfonso", "non-dropping-particle" : "", "parse-names" : false, "suffix" : "" }, { "dropping-particle" : "", "family" : "Collins", "given" : "Ronan", "non-dropping-particle" : "", "parse-names" : false, "suffix" : "" }, { "dropping-particle" : "", "family" : "Czlonkowska", "given" : "Anna", "non-dropping-particle" : "", "parse-names" : false, "suffix" : "" }, { "dropping-particle" : "", "family" : "Dineen", "given" : "Robert A", "non-dropping-particle" : "", "parse-names" : false, "suffix" : "" }, { "dropping-particle" : "", "family" : "Duley", "given" : "Lelia", "non-dropping-particle" : "", "parse-names" : false, "suffix" : "" }, { "dropping-particle" : "", "family" : "Egea-Guerrero", "given" : "Juan Jose", "non-dropping-particle" : "", "parse-names" : false, "suffix" : "" }, { "dropping-particle" : "", "family" : "England", "given" : "Timothy J", "non-dropping-particle" : "", "parse-names" : false, "suffix" : "" }, { "dropping-particle" : "", "family" : "Krishnan", "given" : "Kailash", "non-dropping-particle" : "", "parse-names" : false, "suffix" : "" }, { "dropping-particle" : "", "family" : "Laska", "given" : "Ann Charlotte", "non-dropping-particle" : "", "parse-names" : false, "suffix" : "" }, { "dropping-particle" : "", "family" : "Law", "given" : "Zhe Kang", "non-dropping-particle" : "", "parse-names" : false, "suffix" : "" }, { "dropping-particle" : "", "family" : "Ozturk", "given" : "Serefnur", "non-dropping-particle" : "", "parse-names" : false, "suffix" : "" }, { "dropping-particle" : "", "family" : "Pocock", "given" : "Stuart J", "non-dropping-particle" : "", "parse-names" : false, "suffix" : "" }, { "dropping-particle" : "", "family" : "Roberts", "given" : "Ian", "non-dropping-particle" : "", "parse-names" : false, "suffix" : "" }, { "dropping-particle" : "", "family" : "Robinson", "given" : "Thompson G", "non-dropping-particle" : "", "parse-names" : false, "suffix" : "" }, { "dropping-particle" : "", "family" : "Roffe", "given" : "Christine", "non-dropping-particle" : "", "parse-names" : false, "suffix" : "" }, { "dropping-particle" : "", "family" : "Seiffge", "given" : "David", "non-dropping-particle" : "", "parse-names" : false, "suffix" : "" }, { "dropping-particle" : "", "family" : "Scutt", "given" : "Polly", "non-dropping-particle" : "", "parse-names" : false, "suffix" : "" }, { "dropping-particle" : "", "family" : "Thanabalan", "given" : "Jegan", "non-dropping-particle" : "", "parse-names" : false, "suffix" : "" }, { "dropping-particle" : "", "family" : "Werring", "given" : "David", "non-dropping-particle" : "", "parse-names" : false, "suffix" : "" }, { "dropping-particle" : "", "family" : "Whynes", "given" : "David", "non-dropping-particle" : "", "parse-names" : false, "suffix" : "" }, { "dropping-particle" : "", "family" : "Bath", "given" : "Philip M", "non-dropping-particle" : "", "parse-names" : false, "suffix" : "" }, { "dropping-particle" : "", "family" : "TICH-2 Investigators", "given" : "", "non-dropping-particle" : "", "parse-names" : false, "suffix" : "" } ], "container-title" : "Lancet (London, England)", "id" : "ITEM-3", "issue" : "10135", "issued" : { "date-parts" : [ [ "2018" ] ] }, "page" : "2107-2115", "title" : "Tranexamic acid for hyperacute primary IntraCerebral Haemorrhage (TICH-2): an international randomised, placebo-controlled, phase 3 superiority trial.", "type" : "article-journal", "volume" : "391" }, "uris" : [ "http://www.mendeley.com/documents/?uuid=74dc3388-9ea3-45f2-a30f-893b185a1e4d" ] } ], "mendeley" : { "formattedCitation" : "[6\u20138]", "plainTextFormattedCitation" : "[6\u20138]" }, "properties" : { "noteIndex" : 0 }, "schema" : "https://github.com/citation-style-language/schema/raw/master/csl-citation.json" }</w:instrText>
      </w:r>
      <w:r w:rsidR="00D2719F">
        <w:rPr>
          <w:rFonts w:ascii="Times New Roman" w:hAnsi="Times New Roman" w:cs="Times New Roman"/>
          <w:lang w:val="en-CA"/>
        </w:rPr>
        <w:fldChar w:fldCharType="separate"/>
      </w:r>
      <w:r w:rsidR="00D2719F" w:rsidRPr="00D2719F">
        <w:rPr>
          <w:rFonts w:ascii="Times New Roman" w:hAnsi="Times New Roman" w:cs="Times New Roman"/>
          <w:noProof/>
          <w:lang w:val="en-CA"/>
        </w:rPr>
        <w:t>[6–8]</w:t>
      </w:r>
      <w:r w:rsidR="00D2719F">
        <w:rPr>
          <w:rFonts w:ascii="Times New Roman" w:hAnsi="Times New Roman" w:cs="Times New Roman"/>
          <w:lang w:val="en-CA"/>
        </w:rPr>
        <w:fldChar w:fldCharType="end"/>
      </w:r>
      <w:r w:rsidR="00581073" w:rsidRPr="002573A7">
        <w:rPr>
          <w:rFonts w:ascii="Times New Roman" w:hAnsi="Times New Roman" w:cs="Times New Roman"/>
          <w:lang w:val="en-CA"/>
        </w:rPr>
        <w:t xml:space="preserve"> </w:t>
      </w:r>
      <w:r w:rsidR="003A502A">
        <w:rPr>
          <w:rFonts w:ascii="Times New Roman" w:hAnsi="Times New Roman" w:cs="Times New Roman"/>
          <w:lang w:val="en-CA"/>
        </w:rPr>
        <w:t>A</w:t>
      </w:r>
      <w:r w:rsidR="00F231F6">
        <w:rPr>
          <w:rFonts w:ascii="Times New Roman" w:hAnsi="Times New Roman" w:cs="Times New Roman"/>
          <w:lang w:val="en-CA"/>
        </w:rPr>
        <w:t xml:space="preserve">n inability to precisely </w:t>
      </w:r>
      <w:r w:rsidR="000E20F1">
        <w:rPr>
          <w:rFonts w:ascii="Times New Roman" w:hAnsi="Times New Roman" w:cs="Times New Roman"/>
          <w:lang w:val="en-CA"/>
        </w:rPr>
        <w:t>select the patients most at risk of expansion</w:t>
      </w:r>
      <w:r w:rsidR="00F231F6">
        <w:rPr>
          <w:rFonts w:ascii="Times New Roman" w:hAnsi="Times New Roman" w:cs="Times New Roman"/>
          <w:lang w:val="en-CA"/>
        </w:rPr>
        <w:t>,</w:t>
      </w:r>
      <w:r w:rsidR="000E20F1">
        <w:rPr>
          <w:rFonts w:ascii="Times New Roman" w:hAnsi="Times New Roman" w:cs="Times New Roman"/>
          <w:lang w:val="en-CA"/>
        </w:rPr>
        <w:t xml:space="preserve"> and therefore most </w:t>
      </w:r>
      <w:r w:rsidR="00D13475">
        <w:rPr>
          <w:rFonts w:ascii="Times New Roman" w:hAnsi="Times New Roman" w:cs="Times New Roman"/>
          <w:lang w:val="en-CA"/>
        </w:rPr>
        <w:t>likely to benefit from therapy,</w:t>
      </w:r>
      <w:r w:rsidR="00470874" w:rsidRPr="002573A7">
        <w:rPr>
          <w:rFonts w:ascii="Times New Roman" w:hAnsi="Times New Roman" w:cs="Times New Roman"/>
          <w:lang w:val="en-CA"/>
        </w:rPr>
        <w:t xml:space="preserve"> has been considered a </w:t>
      </w:r>
      <w:r w:rsidR="003A502A">
        <w:rPr>
          <w:rFonts w:ascii="Times New Roman" w:hAnsi="Times New Roman" w:cs="Times New Roman"/>
          <w:lang w:val="en-CA"/>
        </w:rPr>
        <w:t>potential</w:t>
      </w:r>
      <w:r w:rsidR="003A502A" w:rsidRPr="002573A7">
        <w:rPr>
          <w:rFonts w:ascii="Times New Roman" w:hAnsi="Times New Roman" w:cs="Times New Roman"/>
          <w:lang w:val="en-CA"/>
        </w:rPr>
        <w:t xml:space="preserve"> </w:t>
      </w:r>
      <w:r w:rsidR="00470874" w:rsidRPr="002573A7">
        <w:rPr>
          <w:rFonts w:ascii="Times New Roman" w:hAnsi="Times New Roman" w:cs="Times New Roman"/>
          <w:lang w:val="en-CA"/>
        </w:rPr>
        <w:t xml:space="preserve">reason for this lack of success. As such, </w:t>
      </w:r>
      <w:r w:rsidR="00A45FDF" w:rsidRPr="002573A7">
        <w:rPr>
          <w:rFonts w:ascii="Times New Roman" w:hAnsi="Times New Roman" w:cs="Times New Roman"/>
          <w:lang w:val="en-CA"/>
        </w:rPr>
        <w:t>investigati</w:t>
      </w:r>
      <w:r w:rsidR="00FF253B">
        <w:rPr>
          <w:rFonts w:ascii="Times New Roman" w:hAnsi="Times New Roman" w:cs="Times New Roman"/>
          <w:lang w:val="en-CA"/>
        </w:rPr>
        <w:t>on into</w:t>
      </w:r>
      <w:r w:rsidR="00A45FDF" w:rsidRPr="002573A7">
        <w:rPr>
          <w:rFonts w:ascii="Times New Roman" w:hAnsi="Times New Roman" w:cs="Times New Roman"/>
          <w:lang w:val="en-CA"/>
        </w:rPr>
        <w:t xml:space="preserve"> the predictors of hematoma expansion has been a major research focus for intracerebral hemorrhage experts worldwide.</w:t>
      </w:r>
      <w:r w:rsidR="002A388A" w:rsidRPr="002573A7">
        <w:rPr>
          <w:rFonts w:ascii="Times New Roman" w:hAnsi="Times New Roman" w:cs="Times New Roman"/>
          <w:lang w:val="en-CA"/>
        </w:rPr>
        <w:t xml:space="preserve"> </w:t>
      </w:r>
      <w:r w:rsidR="00442719">
        <w:rPr>
          <w:rFonts w:ascii="Times New Roman" w:hAnsi="Times New Roman" w:cs="Times New Roman"/>
          <w:lang w:val="en-CA"/>
        </w:rPr>
        <w:t xml:space="preserve">It is the hope that </w:t>
      </w:r>
      <w:r w:rsidR="00D02872">
        <w:rPr>
          <w:rFonts w:ascii="Times New Roman" w:hAnsi="Times New Roman" w:cs="Times New Roman"/>
          <w:lang w:val="en-CA"/>
        </w:rPr>
        <w:t xml:space="preserve">by </w:t>
      </w:r>
      <w:r w:rsidR="00FF253B">
        <w:rPr>
          <w:rFonts w:ascii="Times New Roman" w:hAnsi="Times New Roman" w:cs="Times New Roman"/>
          <w:lang w:val="en-CA"/>
        </w:rPr>
        <w:t xml:space="preserve">accurately </w:t>
      </w:r>
      <w:r w:rsidR="00D02872">
        <w:rPr>
          <w:rFonts w:ascii="Times New Roman" w:hAnsi="Times New Roman" w:cs="Times New Roman"/>
          <w:lang w:val="en-CA"/>
        </w:rPr>
        <w:t xml:space="preserve">selecting patients </w:t>
      </w:r>
      <w:r w:rsidR="000F4F7B">
        <w:rPr>
          <w:rFonts w:ascii="Times New Roman" w:hAnsi="Times New Roman" w:cs="Times New Roman"/>
          <w:lang w:val="en-CA"/>
        </w:rPr>
        <w:t>who are at the highest risk of expansion, future trials will be</w:t>
      </w:r>
      <w:r w:rsidR="00441BC5">
        <w:rPr>
          <w:rFonts w:ascii="Times New Roman" w:hAnsi="Times New Roman" w:cs="Times New Roman"/>
          <w:lang w:val="en-CA"/>
        </w:rPr>
        <w:t xml:space="preserve"> better able to evaluate the effectiveness of their respective treatments.</w:t>
      </w:r>
    </w:p>
    <w:p w14:paraId="49F2CE75" w14:textId="77777777" w:rsidR="008D3EFC" w:rsidRPr="002573A7" w:rsidRDefault="008D3EFC" w:rsidP="00E41083">
      <w:pPr>
        <w:spacing w:line="480" w:lineRule="auto"/>
        <w:contextualSpacing/>
        <w:rPr>
          <w:rFonts w:ascii="Times New Roman" w:hAnsi="Times New Roman" w:cs="Times New Roman"/>
        </w:rPr>
      </w:pPr>
    </w:p>
    <w:p w14:paraId="6E12102A" w14:textId="1E5B8C80" w:rsidR="00974C9F" w:rsidRPr="002573A7" w:rsidRDefault="00C33BF4" w:rsidP="00E41083">
      <w:pPr>
        <w:spacing w:line="480" w:lineRule="auto"/>
        <w:contextualSpacing/>
        <w:rPr>
          <w:rFonts w:ascii="Times New Roman" w:hAnsi="Times New Roman" w:cs="Times New Roman"/>
          <w:b/>
        </w:rPr>
      </w:pPr>
      <w:r w:rsidRPr="002573A7">
        <w:rPr>
          <w:rFonts w:ascii="Times New Roman" w:hAnsi="Times New Roman" w:cs="Times New Roman"/>
          <w:b/>
        </w:rPr>
        <w:t>Predicting Hematoma Expansion:</w:t>
      </w:r>
    </w:p>
    <w:p w14:paraId="301DDAA6" w14:textId="072450A7" w:rsidR="00424957" w:rsidRPr="002573A7" w:rsidRDefault="00424957" w:rsidP="00E41083">
      <w:pPr>
        <w:spacing w:line="480" w:lineRule="auto"/>
        <w:contextualSpacing/>
        <w:rPr>
          <w:rFonts w:ascii="Times New Roman" w:hAnsi="Times New Roman" w:cs="Times New Roman"/>
        </w:rPr>
      </w:pPr>
      <w:r w:rsidRPr="002573A7">
        <w:rPr>
          <w:rFonts w:ascii="Times New Roman" w:hAnsi="Times New Roman" w:cs="Times New Roman"/>
        </w:rPr>
        <w:t xml:space="preserve">Given that the diagnosis of intracerebral hemorrhage is confirmed with imaging, </w:t>
      </w:r>
      <w:proofErr w:type="gramStart"/>
      <w:r w:rsidRPr="002573A7">
        <w:rPr>
          <w:rFonts w:ascii="Times New Roman" w:hAnsi="Times New Roman" w:cs="Times New Roman"/>
        </w:rPr>
        <w:t xml:space="preserve">the </w:t>
      </w:r>
      <w:r w:rsidR="00B0629E">
        <w:rPr>
          <w:rFonts w:ascii="Times New Roman" w:hAnsi="Times New Roman" w:cs="Times New Roman"/>
        </w:rPr>
        <w:t>majority</w:t>
      </w:r>
      <w:r w:rsidRPr="002573A7">
        <w:rPr>
          <w:rFonts w:ascii="Times New Roman" w:hAnsi="Times New Roman" w:cs="Times New Roman"/>
        </w:rPr>
        <w:t xml:space="preserve"> of</w:t>
      </w:r>
      <w:proofErr w:type="gramEnd"/>
      <w:r w:rsidRPr="002573A7">
        <w:rPr>
          <w:rFonts w:ascii="Times New Roman" w:hAnsi="Times New Roman" w:cs="Times New Roman"/>
        </w:rPr>
        <w:t xml:space="preserve"> expansion predictors are radiological.</w:t>
      </w:r>
      <w:r w:rsidR="006C1E0A">
        <w:rPr>
          <w:rFonts w:ascii="Times New Roman" w:hAnsi="Times New Roman" w:cs="Times New Roman"/>
        </w:rPr>
        <w:t xml:space="preserve"> </w:t>
      </w:r>
      <w:r w:rsidR="00B0629E">
        <w:rPr>
          <w:rFonts w:ascii="Times New Roman" w:hAnsi="Times New Roman" w:cs="Times New Roman"/>
        </w:rPr>
        <w:t>A multitude of</w:t>
      </w:r>
      <w:r w:rsidR="006C1E0A">
        <w:rPr>
          <w:rFonts w:ascii="Times New Roman" w:hAnsi="Times New Roman" w:cs="Times New Roman"/>
        </w:rPr>
        <w:t xml:space="preserve"> </w:t>
      </w:r>
      <w:r w:rsidR="00412F3C">
        <w:rPr>
          <w:rFonts w:ascii="Times New Roman" w:hAnsi="Times New Roman" w:cs="Times New Roman"/>
        </w:rPr>
        <w:t>imaging variables have been identified as potential predictors.</w:t>
      </w:r>
      <w:r w:rsidR="001947FA">
        <w:rPr>
          <w:rFonts w:ascii="Times New Roman" w:hAnsi="Times New Roman" w:cs="Times New Roman"/>
        </w:rPr>
        <w:fldChar w:fldCharType="begin" w:fldLock="1"/>
      </w:r>
      <w:r w:rsidR="00D2719F">
        <w:rPr>
          <w:rFonts w:ascii="Times New Roman" w:hAnsi="Times New Roman" w:cs="Times New Roman"/>
        </w:rPr>
        <w:instrText>ADDIN CSL_CITATION { "citationItems" : [ { "id" : "ITEM-1", "itemData" : { "DOI" : "10.1161/STROKEAHA.116.015062", "ISSN" : "1524-4628", "PMID" : "28289239", "author" : [ { "dropping-particle" : "", "family" : "Boulouis", "given" : "Gregoire", "non-dropping-particle" : "", "parse-names" : false, "suffix" : "" }, { "dropping-particle" : "", "family" : "Morotti", "given" : "Andrea", "non-dropping-particle" : "", "parse-names" : false, "suffix" : "" }, { "dropping-particle" : "", "family" : "Charidimou", "given" : "Andreas", "non-dropping-particle" : "", "parse-names" : false, "suffix" : "" }, { "dropping-particle" : "", "family" : "Dowlatshahi", "given" : "Dar", "non-dropping-particle" : "", "parse-names" : false, "suffix" : "" }, { "dropping-particle" : "", "family" : "Goldstein", "given" : "Joshua N", "non-dropping-particle" : "", "parse-names" : false, "suffix" : "" } ], "container-title" : "Stroke", "id" : "ITEM-1", "issue" : "4", "issued" : { "date-parts" : [ [ "2017", "4" ] ] }, "page" : "1120-1125", "title" : "Noncontrast Computed Tomography Markers of Intracerebral Hemorrhage Expansion.", "type" : "article-journal", "volume" : "48" }, "uris" : [ "http://www.mendeley.com/documents/?uuid=b9d63580-0461-43be-8922-ddf2dce42725" ] }, { "id" : "ITEM-2", "itemData" : { "DOI" : "10.1016/S1474-4422(12)70038-8", "ISSN" : "1474-4465", "PMID" : "22405630", "abstract" : "BACKGROUND In patients with intracerebral haemorrhage (ICH), early haemorrhage expansion affects clinical outcome. Haemostatic treatment reduces haematoma expansion, but fails to improve clinical outcomes in many patients. Proper selection of patients at high risk for haematoma expansion seems crucial to improve outcomes. In this study, we aimed to prospectively validate the CT-angiography (CTA) spot sign for prediction of haematoma expansion. METHODS PREDICT (predicting haematoma growth and outcome in intracerebral haemorrhage using contrast bolus CT) was a multicentre prospective observational cohort study. We recruited patients aged 18 years or older, with ICH smaller than 100 mL, and presenting at less than 6 h from symptom onset. Using two independent core laboratories, one neuroradiologist determined CTA spot-sign status, whereas another neurologist masked for clinical outcomes and imaging measured haematoma volumes by computerised planimetry. The primary outcome was haematoma expansion defined as absolute growth greater than 6 mL or a relative growth of more than 33% from initial CT to follow-up CT. We reported data using standard descriptive statistics stratified by the CTA spot sign. Mortality was assessed with Kaplan-Meier survival analysis. FINDINGS We enrolled 268 patients. Median time from symptom onset to baseline CT was 135 min (range 22-470), and time from onset to CTA was 159 min (32-475). 81 (30%) patients were spot-sign positive. The primary analysis included 228 patients, who had a follow-up CT before surgery or death. Median baseline ICH volume was 19\u00b79 mL (1\u00b75-80\u00b79) in spot-sign-positive patients versus 10\u00b70 mL (0\u00b71-102\u00b77) in spot-sign negative patients (p&lt;0\u00b7001). Median ICH expansion was 8\u00b76 mL (-9\u00b73 to 121\u00b77) for spot-sign positive patients and 0\u00b74 mL (-11\u00b77 to 98\u00b73) for spot-negative patients (p&lt;0\u00b7001). In those with haematoma expansion, the positive predictive value for the spot sign was61% (95% CI 47\u201373) for the positive predictive value and 78% (71\u201384) for the negative predictive value, with 51% (39\u201363) sensitivity and 85% (78\u201390) specificity[corrected]. Median 3-month modified Rankin Scale (mRS) was 5 in CTA spot-sign-positive patients, and 3 in spot-sign-negative patients (p&lt;0\u00b7001). Mortality at 3 months was 43\u00b74% (23 of 53) in CTA spot-sign positive versus 19\u00b76% (31 of 158) in CTA spot-sign-negative patients (HR 2\u00b74, 95% CI 1\u00b74-4\u00b70, p=0\u00b7002). INTERPRETATION These findings confirm previous single-centre studies showing that\u2026", "author" : [ { "dropping-particle" : "", "family" : "Demchuk", "given" : "Andrew M", "non-dropping-particle" : "", "parse-names" : false, "suffix" : "" }, { "dropping-particle" : "", "family" : "Dowlatshahi", "given" : "Dar", "non-dropping-particle" : "", "parse-names" : false, "suffix" : "" }, { "dropping-particle" : "", "family" : "Rodriguez-Luna", "given" : "David", "non-dropping-particle" : "", "parse-names" : false, "suffix" : "" }, { "dropping-particle" : "", "family" : "Molina", "given" : "Carlos A", "non-dropping-particle" : "", "parse-names" : false, "suffix" : "" }, { "dropping-particle" : "", "family" : "Blas", "given" : "Yolanda Silva", "non-dropping-particle" : "", "parse-names" : false, "suffix" : "" }, { "dropping-particle" : "", "family" : "Dzialowski", "given" : "Imanuel", "non-dropping-particle" : "", "parse-names" : false, "suffix" : "" }, { "dropping-particle" : "", "family" : "Kobayashi", "given" : "Adam", "non-dropping-particle" : "", "parse-names" : false, "suffix" : "" }, { "dropping-particle" : "", "family" : "Boulanger", "given" : "Jean-Martin", "non-dropping-particle" : "", "parse-names" : false, "suffix" : "" }, { "dropping-particle" : "", "family" : "Lum", "given" : "Cheemun", "non-dropping-particle" : "", "parse-names" : false, "suffix" : "" }, { "dropping-particle" : "", "family" : "Gubitz", "given" : "Gord", "non-dropping-particle" : "", "parse-names" : false, "suffix" : "" }, { "dropping-particle" : "", "family" : "Padma", "given" : "Vasantha", "non-dropping-particle" : "", "parse-names" : false, "suffix" : "" }, { "dropping-particle" : "", "family" : "Roy", "given" : "Jayanta", "non-dropping-particle" : "", "parse-names" : false, "suffix" : "" }, { "dropping-particle" : "", "family" : "Kase", "given" : "Carlos S", "non-dropping-particle" : "", "parse-names" : false, "suffix" : "" }, { "dropping-particle" : "", "family" : "Kosior", "given" : "Jayme", "non-dropping-particle" : "", "parse-names" : false, "suffix" : "" }, { "dropping-particle" : "", "family" : "Bhatia", "given" : "Rohit", "non-dropping-particle" : "", "parse-names" : false, "suffix" : "" }, { "dropping-particle" : "", "family" : "Tymchuk", "given" : "Sarah", "non-dropping-particle" : "", "parse-names" : false, "suffix" : "" }, { "dropping-particle" : "", "family" : "Subramaniam", "given" : "Suresh", "non-dropping-particle" : "", "parse-names" : false, "suffix" : "" }, { "dropping-particle" : "", "family" : "Gladstone", "given" : "David J", "non-dropping-particle" : "", "parse-names" : false, "suffix" : "" }, { "dropping-particle" : "", "family" : "Hill", "given" : "Michael D", "non-dropping-particle" : "", "parse-names" : false, "suffix" : "" }, { "dropping-particle" : "", "family" : "Aviv", "given" : "Richard I", "non-dropping-particle" : "", "parse-names" : false, "suffix" : "" }, { "dropping-particle" : "", "family" : "PREDICT/Sunnybrook ICH CTA study group", "given" : "", "non-dropping-particle" : "", "parse-names" : false, "suffix" : "" } ], "container-title" : "The Lancet. Neurology", "id" : "ITEM-2", "issue" : "4", "issued" : { "date-parts" : [ [ "2012", "4" ] ] }, "page" : "307-14", "title" : "Prediction of haematoma growth and outcome in patients with intracerebral haemorrhage using the CT-angiography spot sign (PREDICT): a prospective observational study.", "type" : "article-journal", "volume" : "11" }, "uris" : [ "http://www.mendeley.com/documents/?uuid=5a9a948f-b4cd-4f75-a2b7-4fd53f6290ac" ] } ], "mendeley" : { "formattedCitation" : "[9,10]", "plainTextFormattedCitation" : "[9,10]", "previouslyFormattedCitation" : "[7,8]" }, "properties" : { "noteIndex" : 0 }, "schema" : "https://github.com/citation-style-language/schema/raw/master/csl-citation.json" }</w:instrText>
      </w:r>
      <w:r w:rsidR="001947FA">
        <w:rPr>
          <w:rFonts w:ascii="Times New Roman" w:hAnsi="Times New Roman" w:cs="Times New Roman"/>
        </w:rPr>
        <w:fldChar w:fldCharType="separate"/>
      </w:r>
      <w:r w:rsidR="00D2719F" w:rsidRPr="00D2719F">
        <w:rPr>
          <w:rFonts w:ascii="Times New Roman" w:hAnsi="Times New Roman" w:cs="Times New Roman"/>
          <w:noProof/>
        </w:rPr>
        <w:t>[9,10]</w:t>
      </w:r>
      <w:r w:rsidR="001947FA">
        <w:rPr>
          <w:rFonts w:ascii="Times New Roman" w:hAnsi="Times New Roman" w:cs="Times New Roman"/>
        </w:rPr>
        <w:fldChar w:fldCharType="end"/>
      </w:r>
      <w:r w:rsidR="00412F3C">
        <w:rPr>
          <w:rFonts w:ascii="Times New Roman" w:hAnsi="Times New Roman" w:cs="Times New Roman"/>
        </w:rPr>
        <w:t xml:space="preserve"> </w:t>
      </w:r>
      <w:r w:rsidR="00ED6AF1" w:rsidRPr="002573A7">
        <w:rPr>
          <w:rFonts w:ascii="Times New Roman" w:hAnsi="Times New Roman" w:cs="Times New Roman"/>
        </w:rPr>
        <w:t>Certain c</w:t>
      </w:r>
      <w:r w:rsidRPr="002573A7">
        <w:rPr>
          <w:rFonts w:ascii="Times New Roman" w:hAnsi="Times New Roman" w:cs="Times New Roman"/>
        </w:rPr>
        <w:t>linical variables, such as concomitant antithrombotic use and time of presentation, also play a significant role in influencing expansion.</w:t>
      </w:r>
      <w:r w:rsidR="006A72A0">
        <w:rPr>
          <w:rFonts w:ascii="Times New Roman" w:hAnsi="Times New Roman" w:cs="Times New Roman"/>
        </w:rPr>
        <w:fldChar w:fldCharType="begin" w:fldLock="1"/>
      </w:r>
      <w:r w:rsidR="00D2719F">
        <w:rPr>
          <w:rFonts w:ascii="Times New Roman" w:hAnsi="Times New Roman" w:cs="Times New Roman"/>
        </w:rPr>
        <w:instrText>ADDIN CSL_CITATION { "citationItems" : [ { "id" : "ITEM-1", "itemData" : { "DOI" : "10.1161/01.STR.0000258078.35316.30", "ISSN" : "1524-4628", "PMID" : "17290026", "abstract" : "BACKGROUND AND PURPOSE We report an exploratory analysis from a randomized study of recombinant activated factor VII (rFVIIa) in patients with intracerebral hemorrhage (ICH) examining potential factors associated with hemorrhage growth. METHODS We explored the relationship between 5 different measures of change in hemorrhage volume between baseline and 24-hour CTs (absolute and percent change in ICH volume, ICH growth-categoric [no growth if change &lt;33% and &lt;12.5 mL], absolute and percent change in ICH plus intraventricular hemorrhage [IVH] volume) and 31 demographic, clinical, imaging, historic, and baseline laboratory variables. Variables with a probability value of &lt; or =0.10 were included in the final multivariable models. RESULTS Treatment with rFVIIa and a longer time-from-onset-to-baseline CT were related to a decrease in hemorrhage growth in all 5 models. ICH volume on baseline CT was consistently associated with ICH growth in the various models. Other variables significantly related to growth of ICH or ICH+IVH in at least 1 of the 5 models include serum glucose (increased levels associated with increased growth), body mass index (heavier people have less growth), prior use of antiplatelet agent (prior use associated with increased growth), serum cholesterol (higher level associated with less hemorrhage growth), and serum creatinine (higher level associated with more hemorrhage growth). CONCLUSIONS Our exploratory analyses confirm that treatment with rFVIIa limits ICH growth in subjects with spontaneous ICH who met the criteria for this study. Most hematoma growth occurs early after onset of ICH. Larger hematomas on the baseline CT were associated with increased absolute ICH growth. The relationship of other factors to hemorrhage growth warrants further study.", "author" : [ { "dropping-particle" : "", "family" : "Broderick", "given" : "Joseph P", "non-dropping-particle" : "", "parse-names" : false, "suffix" : "" }, { "dropping-particle" : "", "family" : "Diringer", "given" : "Michael N", "non-dropping-particle" : "", "parse-names" : false, "suffix" : "" }, { "dropping-particle" : "", "family" : "Hill", "given" : "Michael D", "non-dropping-particle" : "", "parse-names" : false, "suffix" : "" }, { "dropping-particle" : "", "family" : "Brun", "given" : "Nikolai C", "non-dropping-particle" : "", "parse-names" : false, "suffix" : "" }, { "dropping-particle" : "", "family" : "Mayer", "given" : "Stephan A", "non-dropping-particle" : "", "parse-names" : false, "suffix" : "" }, { "dropping-particle" : "", "family" : "Steiner", "given" : "Thorsten", "non-dropping-particle" : "", "parse-names" : false, "suffix" : "" }, { "dropping-particle" : "", "family" : "Skolnick", "given" : "Brett E", "non-dropping-particle" : "", "parse-names" : false, "suffix" : "" }, { "dropping-particle" : "", "family" : "Davis", "given" : "Stephen M", "non-dropping-particle" : "", "parse-names" : false, "suffix" : "" }, { "dropping-particle" : "", "family" : "Recombinant Activated Factor VII Intracerebral Hemorrhage Trial Investigators", "given" : "", "non-dropping-particle" : "", "parse-names" : false, "suffix" : "" } ], "container-title" : "Stroke", "id" : "ITEM-1", "issue" : "3", "issued" : { "date-parts" : [ [ "2007", "3" ] ] }, "page" : "1072-5", "title" : "Determinants of intracerebral hemorrhage growth: an exploratory analysis.", "type" : "article-journal", "volume" : "38" }, "uris" : [ "http://www.mendeley.com/documents/?uuid=a9ca7a97-6896-45e7-aed0-65ba63f1ebe5" ] } ], "mendeley" : { "formattedCitation" : "[11]", "plainTextFormattedCitation" : "[11]", "previouslyFormattedCitation" : "[9]" }, "properties" : { "noteIndex" : 0 }, "schema" : "https://github.com/citation-style-language/schema/raw/master/csl-citation.json" }</w:instrText>
      </w:r>
      <w:r w:rsidR="006A72A0">
        <w:rPr>
          <w:rFonts w:ascii="Times New Roman" w:hAnsi="Times New Roman" w:cs="Times New Roman"/>
        </w:rPr>
        <w:fldChar w:fldCharType="separate"/>
      </w:r>
      <w:r w:rsidR="00D2719F" w:rsidRPr="00D2719F">
        <w:rPr>
          <w:rFonts w:ascii="Times New Roman" w:hAnsi="Times New Roman" w:cs="Times New Roman"/>
          <w:noProof/>
        </w:rPr>
        <w:t>[11]</w:t>
      </w:r>
      <w:r w:rsidR="006A72A0">
        <w:rPr>
          <w:rFonts w:ascii="Times New Roman" w:hAnsi="Times New Roman" w:cs="Times New Roman"/>
        </w:rPr>
        <w:fldChar w:fldCharType="end"/>
      </w:r>
      <w:r w:rsidRPr="002573A7">
        <w:rPr>
          <w:rFonts w:ascii="Times New Roman" w:hAnsi="Times New Roman" w:cs="Times New Roman"/>
        </w:rPr>
        <w:t xml:space="preserve"> These factors </w:t>
      </w:r>
      <w:r w:rsidR="00D04CF6">
        <w:rPr>
          <w:rFonts w:ascii="Times New Roman" w:hAnsi="Times New Roman" w:cs="Times New Roman"/>
        </w:rPr>
        <w:t>are</w:t>
      </w:r>
      <w:r w:rsidR="00682F0A" w:rsidRPr="002573A7">
        <w:rPr>
          <w:rFonts w:ascii="Times New Roman" w:hAnsi="Times New Roman" w:cs="Times New Roman"/>
        </w:rPr>
        <w:t xml:space="preserve"> used together </w:t>
      </w:r>
      <w:r w:rsidR="00412F3C">
        <w:rPr>
          <w:rFonts w:ascii="Times New Roman" w:hAnsi="Times New Roman" w:cs="Times New Roman"/>
        </w:rPr>
        <w:t xml:space="preserve">in combination </w:t>
      </w:r>
      <w:r w:rsidR="00685D72" w:rsidRPr="002573A7">
        <w:rPr>
          <w:rFonts w:ascii="Times New Roman" w:hAnsi="Times New Roman" w:cs="Times New Roman"/>
        </w:rPr>
        <w:t xml:space="preserve">to </w:t>
      </w:r>
      <w:r w:rsidRPr="002573A7">
        <w:rPr>
          <w:rFonts w:ascii="Times New Roman" w:hAnsi="Times New Roman" w:cs="Times New Roman"/>
        </w:rPr>
        <w:t>develop predictive models</w:t>
      </w:r>
      <w:r w:rsidR="00AE42F3" w:rsidRPr="002573A7">
        <w:rPr>
          <w:rFonts w:ascii="Times New Roman" w:hAnsi="Times New Roman" w:cs="Times New Roman"/>
        </w:rPr>
        <w:t xml:space="preserve"> </w:t>
      </w:r>
      <w:r w:rsidR="00E85A2C">
        <w:rPr>
          <w:rFonts w:ascii="Times New Roman" w:hAnsi="Times New Roman" w:cs="Times New Roman"/>
        </w:rPr>
        <w:t>designed to</w:t>
      </w:r>
      <w:r w:rsidR="00682F0A" w:rsidRPr="002573A7">
        <w:rPr>
          <w:rFonts w:ascii="Times New Roman" w:hAnsi="Times New Roman" w:cs="Times New Roman"/>
        </w:rPr>
        <w:t xml:space="preserve"> optimize </w:t>
      </w:r>
      <w:r w:rsidR="00331001" w:rsidRPr="002573A7">
        <w:rPr>
          <w:rFonts w:ascii="Times New Roman" w:hAnsi="Times New Roman" w:cs="Times New Roman"/>
        </w:rPr>
        <w:t>patient selection accuracy</w:t>
      </w:r>
      <w:r w:rsidR="00815FA9">
        <w:rPr>
          <w:rFonts w:ascii="Times New Roman" w:hAnsi="Times New Roman" w:cs="Times New Roman"/>
        </w:rPr>
        <w:t xml:space="preserve">. These models </w:t>
      </w:r>
      <w:r w:rsidR="00D04CF6">
        <w:rPr>
          <w:rFonts w:ascii="Times New Roman" w:hAnsi="Times New Roman" w:cs="Times New Roman"/>
        </w:rPr>
        <w:t>are</w:t>
      </w:r>
      <w:r w:rsidR="00331001" w:rsidRPr="002573A7">
        <w:rPr>
          <w:rFonts w:ascii="Times New Roman" w:hAnsi="Times New Roman" w:cs="Times New Roman"/>
        </w:rPr>
        <w:t xml:space="preserve"> </w:t>
      </w:r>
      <w:r w:rsidR="00615E16" w:rsidRPr="002573A7">
        <w:rPr>
          <w:rFonts w:ascii="Times New Roman" w:hAnsi="Times New Roman" w:cs="Times New Roman"/>
        </w:rPr>
        <w:t xml:space="preserve">subsequently simplified into clinical </w:t>
      </w:r>
      <w:r w:rsidR="00AE42F3" w:rsidRPr="002573A7">
        <w:rPr>
          <w:rFonts w:ascii="Times New Roman" w:hAnsi="Times New Roman" w:cs="Times New Roman"/>
        </w:rPr>
        <w:t>scores</w:t>
      </w:r>
      <w:r w:rsidR="00815FA9">
        <w:rPr>
          <w:rFonts w:ascii="Times New Roman" w:hAnsi="Times New Roman" w:cs="Times New Roman"/>
        </w:rPr>
        <w:t xml:space="preserve"> for ease of use in day-to-day practice</w:t>
      </w:r>
      <w:r w:rsidRPr="002573A7">
        <w:rPr>
          <w:rFonts w:ascii="Times New Roman" w:hAnsi="Times New Roman" w:cs="Times New Roman"/>
        </w:rPr>
        <w:t xml:space="preserve">. In the past five </w:t>
      </w:r>
      <w:r w:rsidRPr="002573A7">
        <w:rPr>
          <w:rFonts w:ascii="Times New Roman" w:hAnsi="Times New Roman" w:cs="Times New Roman"/>
        </w:rPr>
        <w:lastRenderedPageBreak/>
        <w:t>years alone, s</w:t>
      </w:r>
      <w:r w:rsidR="00BF254D" w:rsidRPr="002573A7">
        <w:rPr>
          <w:rFonts w:ascii="Times New Roman" w:hAnsi="Times New Roman" w:cs="Times New Roman"/>
        </w:rPr>
        <w:t>everal</w:t>
      </w:r>
      <w:r w:rsidRPr="002573A7">
        <w:rPr>
          <w:rFonts w:ascii="Times New Roman" w:hAnsi="Times New Roman" w:cs="Times New Roman"/>
        </w:rPr>
        <w:t xml:space="preserve"> prediction scores </w:t>
      </w:r>
      <w:r w:rsidR="00D04CF6">
        <w:rPr>
          <w:rFonts w:ascii="Times New Roman" w:hAnsi="Times New Roman" w:cs="Times New Roman"/>
        </w:rPr>
        <w:t>were</w:t>
      </w:r>
      <w:r w:rsidRPr="002573A7">
        <w:rPr>
          <w:rFonts w:ascii="Times New Roman" w:hAnsi="Times New Roman" w:cs="Times New Roman"/>
        </w:rPr>
        <w:t xml:space="preserve"> created.</w:t>
      </w:r>
      <w:r w:rsidR="00521B38">
        <w:rPr>
          <w:rFonts w:ascii="Times New Roman" w:hAnsi="Times New Roman" w:cs="Times New Roman"/>
        </w:rPr>
        <w:fldChar w:fldCharType="begin" w:fldLock="1"/>
      </w:r>
      <w:r w:rsidR="00D2719F">
        <w:rPr>
          <w:rFonts w:ascii="Times New Roman" w:hAnsi="Times New Roman" w:cs="Times New Roman"/>
        </w:rPr>
        <w:instrText>ADDIN CSL_CITATION { "citationItems" : [ { "id" : "ITEM-1", "itemData" : { "DOI" : "10.1007/s12028-015-0147-4", "ISSN" : "1556-0961", "PMID" : "25963292", "abstract" : "BACKGROUND Identification of intracerebral hemorrhage (ICH) patients at risk of substantial hematoma expansion (SHE) could facilitate the selection of candidates likely to benefit from therapies aiming to minimize ICH growth. We aimed to develop a grading tool that can be quickly used during the hyperacute phase to predict the risk of SHE. METHODS We reviewed data from 237 spontaneous ICH patients who had baseline head CT scan within 12 h of symptom onset and follow-up CT during the following 72 h. We performed logistic regression analyses to determine the predictors of SHE (defined as an absolute increase in ICH volume &gt;6 ml or an increase &gt;33% on follow-up CT). We identified 6 predictors; each was assigned a point in the graphic interface of a nomogram which was used to construct a scoring system-The Hematoma Expansion Prediction (HEP) Score, varying from 0 to 18 points. We evaluated the ability of the model to predict the probability of SHE using c-statistics. RESULTS SHE occurred in 74 patients (31.2%). The final model to predict SHE included 6 variables: time from onset to baseline CT (&lt;3 vs. 3-12 h), history of dementia, current smoking, antiplatelet use, Glasgow Comma Scale score, and the presence of subarachnoid hemorrhage on baseline scan. The model had satisfactory discrimination ability with a bootstrap corrected c-index of 0.76 (95% CI 0.69-0.83) and good calibration. Patients with a total HEP score &gt;3 were at greatest risk for SHE. CONCLUSIONS We developed and internally validated a novel nomogram and an easy to use score which accurately predict the probability of SHE based on six easily obtainable parameters. This could be useful for treatment decision and stratification. External prospective validation of the HEP score is warranted before its application to other populations.", "author" : [ { "dropping-particle" : "", "family" : "Yao", "given" : "Xiaoying", "non-dropping-particle" : "", "parse-names" : false, "suffix" : "" }, { "dropping-particle" : "", "family" : "Xu", "given" : "Ye", "non-dropping-particle" : "", "parse-names" : false, "suffix" : "" }, { "dropping-particle" : "", "family" : "Siwila-Sackman", "given" : "Erica", "non-dropping-particle" : "", "parse-names" : false, "suffix" : "" }, { "dropping-particle" : "", "family" : "Wu", "given" : "Bo", "non-dropping-particle" : "", "parse-names" : false, "suffix" : "" }, { "dropping-particle" : "", "family" : "Selim", "given" : "Magdy", "non-dropping-particle" : "", "parse-names" : false, "suffix" : "" } ], "container-title" : "Neurocritical care", "id" : "ITEM-1", "issue" : "2", "issued" : { "date-parts" : [ [ "2015", "10" ] ] }, "page" : "179-87", "title" : "The HEP Score: A Nomogram-Derived Hematoma Expansion Prediction Scale.", "type" : "article-journal", "volume" : "23" }, "uris" : [ "http://www.mendeley.com/documents/?uuid=b1af8afb-ceb9-4b74-b8cb-258264588708" ] }, { "id" : "ITEM-2", "itemData" : { "DOI" : "10.1161/STROKEAHA.115.009893", "ISSN" : "1524-4628", "PMID" : "26463691", "abstract" : "BACKGROUND AND PURPOSE Nine- and 24-point prediction scores have recently been published to predict hematoma expansion (HE) in acute intracerebral hemorrhage. We sought to validate these scores and perform an independent analysis of HE predictors. METHODS We retrospectively studied 301 primary or anticoagulation-associated intracerebral hemorrhage patients presenting &lt;6 hours post ictus prospectively enrolled in the Predicting Hematoma Growth and Outcome in Intracerebral Hemorrhage Using Contrast Bolus Computed Tomography (PREDICT) study. Patients underwent baseline computed tomography angiography and 24-hour noncontrast computed tomography follow-up for HE analysis. Discrimination and calibration of the 9- and 24-point scores was assessed. Independent predictors of HE were identified using multivariable regression and incorporated into the PREDICT A/B scores, which were then compared with existing scores. RESULTS The 9- and 24-point HE scores demonstrated acceptable discrimination for HE&gt;6 mL or 33% and &gt;6 mL, respectively (area under the curve of 0.706 and 0.755, respectively). The 24-point score demonstrated appropriate calibration in the PREDICT cohort (\u03c72 statistic, 11.5; P=0.175), whereas the 9-point score demonstrated poor calibration (\u03c72 statistic, 34.3; P&lt;0.001). Independent HE predictors included spot sign number, time from onset, warfarin use or international normalized ratio&gt;1.5, Glasgow Coma Scale, and National Institutes of Health Stroke Scale and were included in PREDICT A/B scores. PREDICT A showed improved discrimination compared with both existing scores, whereas performance of PREDICT B varied by definition of expansion. CONCLUSIONS The 9- and 24-point expansion scores demonstrate acceptable discrimination in an independent multicenter cohort; however, calibration was suboptimal for the 9-point score. The PREDICT A score showed improved discrimination for HE prediction but requires independent validation.", "author" : [ { "dropping-particle" : "", "family" : "Huynh", "given" : "Thien J", "non-dropping-particle" : "", "parse-names" : false, "suffix" : "" }, { "dropping-particle" : "", "family" : "Aviv", "given" : "Richard I", "non-dropping-particle" : "", "parse-names" : false, "suffix" : "" }, { "dropping-particle" : "", "family" : "Dowlatshahi", "given" : "Dar", "non-dropping-particle" : "", "parse-names" : false, "suffix" : "" }, { "dropping-particle" : "", "family" : "Gladstone", "given" : "David J", "non-dropping-particle" : "", "parse-names" : false, "suffix" : "" }, { "dropping-particle" : "", "family" : "Laupacis", "given" : "Andreas", "non-dropping-particle" : "", "parse-names" : false, "suffix" : "" }, { "dropping-particle" : "", "family" : "Kiss", "given" : "Alex", "non-dropping-particle" : "", "parse-names" : false, "suffix" : "" }, { "dropping-particle" : "", "family" : "Hill", "given" : "Michael D", "non-dropping-particle" : "", "parse-names" : false, "suffix" : "" }, { "dropping-particle" : "", "family" : "Molina", "given" : "Carlos A", "non-dropping-particle" : "", "parse-names" : false, "suffix" : "" }, { "dropping-particle" : "", "family" : "Rodriguez-Luna", "given" : "David", "non-dropping-particle" : "", "parse-names" : false, "suffix" : "" }, { "dropping-particle" : "", "family" : "Dzialowski", "given" : "Imanuel", "non-dropping-particle" : "", "parse-names" : false, "suffix" : "" }, { "dropping-particle" : "", "family" : "Silva", "given" : "Yolanda", "non-dropping-particle" : "", "parse-names" : false, "suffix" : "" }, { "dropping-particle" : "", "family" : "Kobayashi", "given" : "Adam", "non-dropping-particle" : "", "parse-names" : false, "suffix" : "" }, { "dropping-particle" : "", "family" : "Lum", "given" : "Cheemun", "non-dropping-particle" : "", "parse-names" : false, "suffix" : "" }, { "dropping-particle" : "", "family" : "Boulanger", "given" : "Jean-Martin", "non-dropping-particle" : "", "parse-names" : false, "suffix" : "" }, { "dropping-particle" : "", "family" : "Gubitz", "given" : "Gord", "non-dropping-particle" : "", "parse-names" : false, "suffix" : "" }, { "dropping-particle" : "", "family" : "Bhatia", "given" : "Rohit", "non-dropping-particle" : "", "parse-names" : false, "suffix" : "" }, { "dropping-particle" : "", "family" : "Padma", "given" : "Vasantha", "non-dropping-particle" : "", "parse-names" : false, "suffix" : "" }, { "dropping-particle" : "", "family" : "Roy", "given" : "Jayanta", "non-dropping-particle" : "", "parse-names" : false, "suffix" : "" }, { "dropping-particle" : "", "family" : "Kase", "given" : "Carlos S", "non-dropping-particle" : "", "parse-names" : false, "suffix" : "" }, { "dropping-particle" : "", "family" : "Symons", "given" : "Sean P", "non-dropping-particle" : "", "parse-names" : false, "suffix" : "" }, { "dropping-particle" : "", "family" : "Demchuk", "given" : "Andrew M", "non-dropping-particle" : "", "parse-names" : false, "suffix" : "" }, { "dropping-particle" : "", "family" : "PREDICT/Sunnybrook CTA Investigators", "given" : "", "non-dropping-particle" : "", "parse-names" : false, "suffix" : "" } ], "container-title" : "Stroke", "id" : "ITEM-2", "issue" : "11", "issued" : { "date-parts" : [ [ "2015", "11" ] ] }, "page" : "3105-10", "title" : "Validation of the 9-Point and 24-Point Hematoma Expansion Prediction Scores and Derivation of the PREDICT A/B Scores.", "type" : "article-journal", "volume" : "46" }, "uris" : [ "http://www.mendeley.com/documents/?uuid=3e15d117-f97b-4040-960d-1bc8ba6807fa" ] }, { "id" : "ITEM-3", "itemData" : { "DOI" : "10.1161/STROKEAHA.114.006910", "ISSN" : "1524-4628", "PMID" : "25503550", "abstract" : "BACKGROUND AND PURPOSE We developed and validated a simple algorithm to predict the risk of hematoma growth in acute spontaneous intracerebral hemorrhage (ICH) to better inform clinicians and researchers in their efforts to improve outcomes for patients. METHODS We analyzed data from the computed tomography substudies of the pilot and main phases of the Intensive Blood Pressure Reduction in Acute Cerebral Hemorrhage Trials (INTERACT1 and 2, respectively). The study group was divided into a derivation cohort (INTERACT2, n=964) and a validation cohort (INTERACT1, n=346). Multivariable logistic regression was used to identify factors associated with clinically significant (\u22656 mL) increase in hematoma volume at 24 hours after symptom onset. A parsimonious risk score was developed on the basis of regression coefficients derived from the logistic model. RESULTS A 24-point BRAIN score was derived from INTERACT2 (C-statistic, 0.73) based on baseline ICH volume (mL per score, \u226410=0, 10-20=5, &gt;20=7), recurrent ICH (yes=4), anticoagulation with warfarin at symptom onset (yes=6), intraventricular extension (yes=2), and number of hours to baseline computed tomography from symptom onset (\u22641=5, 1-2=4, 2-3=3, 3-4=2, 4-5=1, &gt;5=0) predicted the probability of ICH growth (ranging from 3.4% for 0 point to 85.8% for 24 points) with good discrimination (C-statistic, 0.73) and calibration (Hosmer-Lemeshow P=0.82) in INTERACT1. CONCLUSIONS The simple BRAIN score predicts the probability of hematoma growth in ICH. This could be used to improve risk stratification for research and clinical practice. CLINICAL TRIAL REGISTRATION URL http://www.clinicaltrials.gov. Unique identifier: NCT00226096 and NCT00716079.", "author" : [ { "dropping-particle" : "", "family" : "Wang", "given" : "Xia", "non-dropping-particle" : "", "parse-names" : false, "suffix" : "" }, { "dropping-particle" : "", "family" : "Arima", "given" : "Hisatomi", "non-dropping-particle" : "", "parse-names" : false, "suffix" : "" }, { "dropping-particle" : "", "family" : "Al-Shahi Salman", "given" : "Rustam", "non-dropping-particle" : "", "parse-names" : false, "suffix" : "" }, { "dropping-particle" : "", "family" : "Woodward", "given" : "Mark", "non-dropping-particle" : "", "parse-names" : false, "suffix" : "" }, { "dropping-particle" : "", "family" : "Heeley", "given" : "Emma", "non-dropping-particle" : "", "parse-names" : false, "suffix" : "" }, { "dropping-particle" : "", "family" : "Stapf", "given" : "Christian", "non-dropping-particle" : "", "parse-names" : false, "suffix" : "" }, { "dropping-particle" : "", "family" : "Lavados", "given" : "Pablo M", "non-dropping-particle" : "", "parse-names" : false, "suffix" : "" }, { "dropping-particle" : "", "family" : "Robinson", "given" : "Thompson", "non-dropping-particle" : "", "parse-names" : false, "suffix" : "" }, { "dropping-particle" : "", "family" : "Huang", "given" : "Yining", "non-dropping-particle" : "", "parse-names" : false, "suffix" : "" }, { "dropping-particle" : "", "family" : "Wang", "given" : "Jiguang", "non-dropping-particle" : "", "parse-names" : false, "suffix" : "" }, { "dropping-particle" : "", "family" : "Delcourt", "given" : "Candice", "non-dropping-particle" : "", "parse-names" : false, "suffix" : "" }, { "dropping-particle" : "", "family" : "Anderson", "given" : "Craig S", "non-dropping-particle" : "", "parse-names" : false, "suffix" : "" }, { "dropping-particle" : "", "family" : "INTERACT Investigators", "given" : "", "non-dropping-particle" : "", "parse-names" : false, "suffix" : "" } ], "container-title" : "Stroke", "id" : "ITEM-3", "issue" : "2", "issued" : { "date-parts" : [ [ "2015", "2" ] ] }, "page" : "376-81", "title" : "Clinical prediction algorithm (BRAIN) to determine risk of hematoma growth in acute intracerebral hemorrhage.", "type" : "article-journal", "volume" : "46" }, "uris" : [ "http://www.mendeley.com/documents/?uuid=bedd9627-ec1a-46d1-82d4-c631b5c09333" ] } ], "mendeley" : { "formattedCitation" : "[12\u201314]", "plainTextFormattedCitation" : "[12\u201314]", "previouslyFormattedCitation" : "[10\u201312]" }, "properties" : { "noteIndex" : 0 }, "schema" : "https://github.com/citation-style-language/schema/raw/master/csl-citation.json" }</w:instrText>
      </w:r>
      <w:r w:rsidR="00521B38">
        <w:rPr>
          <w:rFonts w:ascii="Times New Roman" w:hAnsi="Times New Roman" w:cs="Times New Roman"/>
        </w:rPr>
        <w:fldChar w:fldCharType="separate"/>
      </w:r>
      <w:r w:rsidR="00D2719F" w:rsidRPr="00D2719F">
        <w:rPr>
          <w:rFonts w:ascii="Times New Roman" w:hAnsi="Times New Roman" w:cs="Times New Roman"/>
          <w:noProof/>
        </w:rPr>
        <w:t>[12–14]</w:t>
      </w:r>
      <w:r w:rsidR="00521B38">
        <w:rPr>
          <w:rFonts w:ascii="Times New Roman" w:hAnsi="Times New Roman" w:cs="Times New Roman"/>
        </w:rPr>
        <w:fldChar w:fldCharType="end"/>
      </w:r>
      <w:r w:rsidRPr="002573A7">
        <w:rPr>
          <w:rFonts w:ascii="Times New Roman" w:hAnsi="Times New Roman" w:cs="Times New Roman"/>
        </w:rPr>
        <w:t xml:space="preserve"> </w:t>
      </w:r>
      <w:r w:rsidR="00652E11" w:rsidRPr="002573A7">
        <w:rPr>
          <w:rFonts w:ascii="Times New Roman" w:hAnsi="Times New Roman" w:cs="Times New Roman"/>
        </w:rPr>
        <w:t xml:space="preserve">Whilst the diagnostic capabilities of each score have been assessed by the creating teams on an individual basis, there is no clear consensus of which tool has the best predictive capability. </w:t>
      </w:r>
      <w:r w:rsidR="00815FA9">
        <w:rPr>
          <w:rFonts w:ascii="Times New Roman" w:hAnsi="Times New Roman" w:cs="Times New Roman"/>
        </w:rPr>
        <w:t>No in-depth or comparative analysis of the scores ha</w:t>
      </w:r>
      <w:r w:rsidR="00A9399F">
        <w:rPr>
          <w:rFonts w:ascii="Times New Roman" w:hAnsi="Times New Roman" w:cs="Times New Roman"/>
        </w:rPr>
        <w:t>ve</w:t>
      </w:r>
      <w:r w:rsidR="00815FA9">
        <w:rPr>
          <w:rFonts w:ascii="Times New Roman" w:hAnsi="Times New Roman" w:cs="Times New Roman"/>
        </w:rPr>
        <w:t xml:space="preserve"> been performed and no systematic or scoping review has been conducted to date. </w:t>
      </w:r>
      <w:r w:rsidR="00BC6411">
        <w:rPr>
          <w:rFonts w:ascii="Times New Roman" w:hAnsi="Times New Roman" w:cs="Times New Roman"/>
        </w:rPr>
        <w:t>I</w:t>
      </w:r>
      <w:r w:rsidR="001976CC" w:rsidRPr="002573A7">
        <w:rPr>
          <w:rFonts w:ascii="Times New Roman" w:hAnsi="Times New Roman" w:cs="Times New Roman"/>
        </w:rPr>
        <w:t xml:space="preserve">t is </w:t>
      </w:r>
      <w:r w:rsidR="00BC6411">
        <w:rPr>
          <w:rFonts w:ascii="Times New Roman" w:hAnsi="Times New Roman" w:cs="Times New Roman"/>
        </w:rPr>
        <w:t xml:space="preserve">also </w:t>
      </w:r>
      <w:r w:rsidR="001976CC" w:rsidRPr="002573A7">
        <w:rPr>
          <w:rFonts w:ascii="Times New Roman" w:hAnsi="Times New Roman" w:cs="Times New Roman"/>
        </w:rPr>
        <w:t xml:space="preserve">unclear </w:t>
      </w:r>
      <w:r w:rsidR="00016638">
        <w:rPr>
          <w:rFonts w:ascii="Times New Roman" w:hAnsi="Times New Roman" w:cs="Times New Roman"/>
        </w:rPr>
        <w:t>whether</w:t>
      </w:r>
      <w:r w:rsidR="00016638" w:rsidRPr="002573A7">
        <w:rPr>
          <w:rFonts w:ascii="Times New Roman" w:hAnsi="Times New Roman" w:cs="Times New Roman"/>
        </w:rPr>
        <w:t xml:space="preserve"> </w:t>
      </w:r>
      <w:r w:rsidR="00016638">
        <w:rPr>
          <w:rFonts w:ascii="Times New Roman" w:hAnsi="Times New Roman" w:cs="Times New Roman"/>
        </w:rPr>
        <w:t xml:space="preserve">these </w:t>
      </w:r>
      <w:r w:rsidRPr="002573A7">
        <w:rPr>
          <w:rFonts w:ascii="Times New Roman" w:hAnsi="Times New Roman" w:cs="Times New Roman"/>
        </w:rPr>
        <w:t>tool</w:t>
      </w:r>
      <w:r w:rsidR="00650081" w:rsidRPr="002573A7">
        <w:rPr>
          <w:rFonts w:ascii="Times New Roman" w:hAnsi="Times New Roman" w:cs="Times New Roman"/>
        </w:rPr>
        <w:t>s</w:t>
      </w:r>
      <w:r w:rsidRPr="002573A7">
        <w:rPr>
          <w:rFonts w:ascii="Times New Roman" w:hAnsi="Times New Roman" w:cs="Times New Roman"/>
        </w:rPr>
        <w:t xml:space="preserve"> </w:t>
      </w:r>
      <w:r w:rsidR="00016638">
        <w:rPr>
          <w:rFonts w:ascii="Times New Roman" w:hAnsi="Times New Roman" w:cs="Times New Roman"/>
        </w:rPr>
        <w:t xml:space="preserve">have been </w:t>
      </w:r>
      <w:r w:rsidR="004A1E6F">
        <w:rPr>
          <w:rFonts w:ascii="Times New Roman" w:hAnsi="Times New Roman" w:cs="Times New Roman"/>
        </w:rPr>
        <w:t xml:space="preserve">utilized </w:t>
      </w:r>
      <w:r w:rsidR="0045774B">
        <w:rPr>
          <w:rFonts w:ascii="Times New Roman" w:hAnsi="Times New Roman" w:cs="Times New Roman"/>
        </w:rPr>
        <w:t xml:space="preserve">in recent </w:t>
      </w:r>
      <w:r w:rsidR="0031404A" w:rsidRPr="002573A7">
        <w:rPr>
          <w:rFonts w:ascii="Times New Roman" w:hAnsi="Times New Roman" w:cs="Times New Roman"/>
        </w:rPr>
        <w:t>or ongoing clinical trials</w:t>
      </w:r>
      <w:r w:rsidRPr="002573A7">
        <w:rPr>
          <w:rFonts w:ascii="Times New Roman" w:hAnsi="Times New Roman" w:cs="Times New Roman"/>
        </w:rPr>
        <w:t>.</w:t>
      </w:r>
      <w:r w:rsidR="005D7938">
        <w:rPr>
          <w:rFonts w:ascii="Times New Roman" w:hAnsi="Times New Roman" w:cs="Times New Roman"/>
        </w:rPr>
        <w:t xml:space="preserve"> </w:t>
      </w:r>
    </w:p>
    <w:p w14:paraId="0459D093" w14:textId="77777777" w:rsidR="00424957" w:rsidRPr="002573A7" w:rsidRDefault="00424957" w:rsidP="00E41083">
      <w:pPr>
        <w:spacing w:line="480" w:lineRule="auto"/>
        <w:contextualSpacing/>
        <w:rPr>
          <w:rFonts w:ascii="Times New Roman" w:hAnsi="Times New Roman" w:cs="Times New Roman"/>
          <w:b/>
        </w:rPr>
      </w:pPr>
    </w:p>
    <w:p w14:paraId="497C05A7" w14:textId="004E4A46" w:rsidR="00DA6A51" w:rsidRPr="002573A7" w:rsidRDefault="00424957" w:rsidP="00E41083">
      <w:pPr>
        <w:spacing w:line="480" w:lineRule="auto"/>
        <w:contextualSpacing/>
        <w:rPr>
          <w:rFonts w:ascii="Times New Roman" w:hAnsi="Times New Roman" w:cs="Times New Roman"/>
          <w:b/>
        </w:rPr>
      </w:pPr>
      <w:r w:rsidRPr="002573A7">
        <w:rPr>
          <w:rFonts w:ascii="Times New Roman" w:hAnsi="Times New Roman" w:cs="Times New Roman"/>
          <w:b/>
        </w:rPr>
        <w:t xml:space="preserve">Objective: </w:t>
      </w:r>
    </w:p>
    <w:p w14:paraId="67067307" w14:textId="097DD665" w:rsidR="007B74FD" w:rsidRDefault="00424957" w:rsidP="00E41083">
      <w:pPr>
        <w:spacing w:line="480" w:lineRule="auto"/>
        <w:contextualSpacing/>
        <w:rPr>
          <w:rFonts w:ascii="Times New Roman" w:hAnsi="Times New Roman" w:cs="Times New Roman"/>
        </w:rPr>
      </w:pPr>
      <w:r w:rsidRPr="002573A7">
        <w:rPr>
          <w:rFonts w:ascii="Times New Roman" w:hAnsi="Times New Roman" w:cs="Times New Roman"/>
        </w:rPr>
        <w:t xml:space="preserve">Perform a scoping review of the literature assessing the predictive capabilities and extent of use of hematoma expansion scores developed for </w:t>
      </w:r>
      <w:r w:rsidR="0045774B">
        <w:rPr>
          <w:rFonts w:ascii="Times New Roman" w:hAnsi="Times New Roman" w:cs="Times New Roman"/>
        </w:rPr>
        <w:t xml:space="preserve">use in </w:t>
      </w:r>
      <w:r w:rsidR="001104B6">
        <w:rPr>
          <w:rFonts w:ascii="Times New Roman" w:hAnsi="Times New Roman" w:cs="Times New Roman"/>
        </w:rPr>
        <w:t>clinical</w:t>
      </w:r>
      <w:r w:rsidRPr="002573A7">
        <w:rPr>
          <w:rFonts w:ascii="Times New Roman" w:hAnsi="Times New Roman" w:cs="Times New Roman"/>
        </w:rPr>
        <w:t xml:space="preserve"> treatment trials.</w:t>
      </w:r>
      <w:r w:rsidRPr="002573A7">
        <w:rPr>
          <w:rFonts w:ascii="Times New Roman" w:hAnsi="Times New Roman" w:cs="Times New Roman"/>
          <w:b/>
        </w:rPr>
        <w:t xml:space="preserve"> </w:t>
      </w:r>
      <w:r w:rsidRPr="002573A7">
        <w:rPr>
          <w:rFonts w:ascii="Times New Roman" w:hAnsi="Times New Roman" w:cs="Times New Roman"/>
        </w:rPr>
        <w:t xml:space="preserve">Using the PCC (Population, Concept, Context) elements our clinical </w:t>
      </w:r>
      <w:r w:rsidR="00B110EB">
        <w:rPr>
          <w:rFonts w:ascii="Times New Roman" w:hAnsi="Times New Roman" w:cs="Times New Roman"/>
        </w:rPr>
        <w:t>objectives</w:t>
      </w:r>
      <w:r w:rsidRPr="002573A7">
        <w:rPr>
          <w:rFonts w:ascii="Times New Roman" w:hAnsi="Times New Roman" w:cs="Times New Roman"/>
        </w:rPr>
        <w:t xml:space="preserve"> </w:t>
      </w:r>
      <w:r w:rsidR="00EC17E2">
        <w:rPr>
          <w:rFonts w:ascii="Times New Roman" w:hAnsi="Times New Roman" w:cs="Times New Roman"/>
        </w:rPr>
        <w:t>are</w:t>
      </w:r>
      <w:r w:rsidRPr="002573A7">
        <w:rPr>
          <w:rFonts w:ascii="Times New Roman" w:hAnsi="Times New Roman" w:cs="Times New Roman"/>
        </w:rPr>
        <w:t xml:space="preserve"> as follows: </w:t>
      </w:r>
    </w:p>
    <w:p w14:paraId="765416F7" w14:textId="77777777" w:rsidR="007B74FD" w:rsidRDefault="007B74FD" w:rsidP="00E41083">
      <w:pPr>
        <w:spacing w:line="480" w:lineRule="auto"/>
        <w:contextualSpacing/>
        <w:rPr>
          <w:rFonts w:ascii="Times New Roman" w:hAnsi="Times New Roman" w:cs="Times New Roman"/>
          <w:i/>
        </w:rPr>
      </w:pPr>
    </w:p>
    <w:p w14:paraId="7B1B2460" w14:textId="3F2C2203" w:rsidR="00303C2C" w:rsidRDefault="00424EC7" w:rsidP="00BE4489">
      <w:pPr>
        <w:pStyle w:val="ListParagraph"/>
        <w:numPr>
          <w:ilvl w:val="0"/>
          <w:numId w:val="28"/>
        </w:numPr>
        <w:spacing w:line="480" w:lineRule="auto"/>
        <w:rPr>
          <w:rFonts w:ascii="Times New Roman" w:hAnsi="Times New Roman" w:cs="Times New Roman"/>
        </w:rPr>
      </w:pPr>
      <w:r w:rsidRPr="00BE4489">
        <w:rPr>
          <w:rFonts w:ascii="Times New Roman" w:hAnsi="Times New Roman" w:cs="Times New Roman"/>
        </w:rPr>
        <w:t>Describe the characteristics of each score and how each score was developed</w:t>
      </w:r>
      <w:r w:rsidR="001E462B">
        <w:rPr>
          <w:rFonts w:ascii="Times New Roman" w:hAnsi="Times New Roman" w:cs="Times New Roman"/>
        </w:rPr>
        <w:t>.</w:t>
      </w:r>
    </w:p>
    <w:p w14:paraId="1B21AE6D" w14:textId="762D3D32" w:rsidR="001E462B" w:rsidRPr="00BE4489" w:rsidRDefault="001E462B" w:rsidP="00BE4489">
      <w:pPr>
        <w:pStyle w:val="ListParagraph"/>
        <w:numPr>
          <w:ilvl w:val="0"/>
          <w:numId w:val="28"/>
        </w:numPr>
        <w:spacing w:line="480" w:lineRule="auto"/>
        <w:rPr>
          <w:rFonts w:ascii="Times New Roman" w:hAnsi="Times New Roman" w:cs="Times New Roman"/>
        </w:rPr>
      </w:pPr>
      <w:r w:rsidRPr="00BE4489">
        <w:rPr>
          <w:rFonts w:ascii="Times New Roman" w:hAnsi="Times New Roman" w:cs="Times New Roman"/>
        </w:rPr>
        <w:t xml:space="preserve">Outside of the original derivation studies, </w:t>
      </w:r>
      <w:r>
        <w:rPr>
          <w:rFonts w:ascii="Times New Roman" w:hAnsi="Times New Roman" w:cs="Times New Roman"/>
        </w:rPr>
        <w:t>have</w:t>
      </w:r>
      <w:r w:rsidRPr="00BE4489">
        <w:rPr>
          <w:rFonts w:ascii="Times New Roman" w:hAnsi="Times New Roman" w:cs="Times New Roman"/>
        </w:rPr>
        <w:t xml:space="preserve"> scores </w:t>
      </w:r>
      <w:r>
        <w:rPr>
          <w:rFonts w:ascii="Times New Roman" w:hAnsi="Times New Roman" w:cs="Times New Roman"/>
        </w:rPr>
        <w:t xml:space="preserve">been externally validated, used in recent randomized controlled trials, or been </w:t>
      </w:r>
      <w:r w:rsidRPr="00BE4489">
        <w:rPr>
          <w:rFonts w:ascii="Times New Roman" w:hAnsi="Times New Roman" w:cs="Times New Roman"/>
        </w:rPr>
        <w:t>proposed for use in upcoming studies?</w:t>
      </w:r>
    </w:p>
    <w:p w14:paraId="00A32073" w14:textId="12610D1C" w:rsidR="00424EC7" w:rsidRPr="00BE4489" w:rsidRDefault="000D5662" w:rsidP="00BE4489">
      <w:pPr>
        <w:pStyle w:val="ListParagraph"/>
        <w:numPr>
          <w:ilvl w:val="0"/>
          <w:numId w:val="28"/>
        </w:numPr>
        <w:spacing w:line="480" w:lineRule="auto"/>
        <w:rPr>
          <w:rFonts w:ascii="Times New Roman" w:hAnsi="Times New Roman" w:cs="Times New Roman"/>
        </w:rPr>
      </w:pPr>
      <w:r>
        <w:rPr>
          <w:rFonts w:ascii="Times New Roman" w:hAnsi="Times New Roman" w:cs="Times New Roman"/>
        </w:rPr>
        <w:t>Collate and c</w:t>
      </w:r>
      <w:r w:rsidR="00424EC7" w:rsidRPr="00BE4489">
        <w:rPr>
          <w:rFonts w:ascii="Times New Roman" w:hAnsi="Times New Roman" w:cs="Times New Roman"/>
        </w:rPr>
        <w:t>ompare the di</w:t>
      </w:r>
      <w:r w:rsidR="000B56F2" w:rsidRPr="00BE4489">
        <w:rPr>
          <w:rFonts w:ascii="Times New Roman" w:hAnsi="Times New Roman" w:cs="Times New Roman"/>
        </w:rPr>
        <w:t>agnostic capabilities between scores (discrimination, calibration, sensitivity, specificity, positive predictive, negative predictive values)</w:t>
      </w:r>
    </w:p>
    <w:p w14:paraId="7231F087" w14:textId="3E174177" w:rsidR="003C1283" w:rsidRPr="00BE4489" w:rsidRDefault="003C1283" w:rsidP="00990C55">
      <w:pPr>
        <w:pStyle w:val="ListParagraph"/>
        <w:spacing w:line="480" w:lineRule="auto"/>
        <w:rPr>
          <w:rFonts w:ascii="Times New Roman" w:hAnsi="Times New Roman" w:cs="Times New Roman"/>
        </w:rPr>
      </w:pPr>
    </w:p>
    <w:p w14:paraId="27B737CB" w14:textId="480E9333" w:rsidR="00FD668E" w:rsidRPr="002573A7" w:rsidRDefault="00FD668E" w:rsidP="00E41083">
      <w:pPr>
        <w:spacing w:line="480" w:lineRule="auto"/>
        <w:contextualSpacing/>
        <w:rPr>
          <w:rFonts w:ascii="Times New Roman" w:hAnsi="Times New Roman" w:cs="Times New Roman"/>
        </w:rPr>
      </w:pPr>
      <w:r w:rsidRPr="002573A7">
        <w:rPr>
          <w:rFonts w:ascii="Times New Roman" w:hAnsi="Times New Roman" w:cs="Times New Roman"/>
          <w:b/>
        </w:rPr>
        <w:t>METHODS</w:t>
      </w:r>
      <w:r w:rsidR="00424957" w:rsidRPr="002573A7">
        <w:rPr>
          <w:rFonts w:ascii="Times New Roman" w:hAnsi="Times New Roman" w:cs="Times New Roman"/>
        </w:rPr>
        <w:t xml:space="preserve">: </w:t>
      </w:r>
    </w:p>
    <w:p w14:paraId="1DCFE529" w14:textId="77777777" w:rsidR="00FD668E" w:rsidRPr="002573A7" w:rsidRDefault="00FD668E" w:rsidP="00E41083">
      <w:pPr>
        <w:spacing w:line="480" w:lineRule="auto"/>
        <w:contextualSpacing/>
        <w:rPr>
          <w:rFonts w:ascii="Times New Roman" w:hAnsi="Times New Roman" w:cs="Times New Roman"/>
          <w:b/>
        </w:rPr>
      </w:pPr>
      <w:r w:rsidRPr="002573A7">
        <w:rPr>
          <w:rFonts w:ascii="Times New Roman" w:hAnsi="Times New Roman" w:cs="Times New Roman"/>
          <w:b/>
        </w:rPr>
        <w:t>Study Registration:</w:t>
      </w:r>
    </w:p>
    <w:p w14:paraId="68679632" w14:textId="73C401DD" w:rsidR="000D2C7F" w:rsidRPr="002573A7" w:rsidRDefault="00853405" w:rsidP="00E41083">
      <w:pPr>
        <w:spacing w:line="480" w:lineRule="auto"/>
        <w:contextualSpacing/>
        <w:rPr>
          <w:rFonts w:ascii="Times New Roman" w:hAnsi="Times New Roman" w:cs="Times New Roman"/>
        </w:rPr>
      </w:pPr>
      <w:r w:rsidRPr="002573A7">
        <w:rPr>
          <w:rFonts w:ascii="Times New Roman" w:hAnsi="Times New Roman" w:cs="Times New Roman"/>
        </w:rPr>
        <w:t>This study will be conducted based on the guidelines of the J</w:t>
      </w:r>
      <w:r w:rsidR="0056435F" w:rsidRPr="002573A7">
        <w:rPr>
          <w:rFonts w:ascii="Times New Roman" w:hAnsi="Times New Roman" w:cs="Times New Roman"/>
        </w:rPr>
        <w:t xml:space="preserve">ohana Briggs Institute </w:t>
      </w:r>
      <w:r w:rsidR="000D2C7F" w:rsidRPr="002573A7">
        <w:rPr>
          <w:rFonts w:ascii="Times New Roman" w:hAnsi="Times New Roman" w:cs="Times New Roman"/>
        </w:rPr>
        <w:t xml:space="preserve">(JBI) </w:t>
      </w:r>
      <w:r w:rsidR="005B28A2" w:rsidRPr="002573A7">
        <w:rPr>
          <w:rFonts w:ascii="Times New Roman" w:hAnsi="Times New Roman" w:cs="Times New Roman"/>
        </w:rPr>
        <w:t>Methodology for Scoping Reviews</w:t>
      </w:r>
      <w:r w:rsidRPr="002573A7">
        <w:rPr>
          <w:rFonts w:ascii="Times New Roman" w:hAnsi="Times New Roman" w:cs="Times New Roman"/>
        </w:rPr>
        <w:t>.</w:t>
      </w:r>
      <w:r w:rsidR="00C02A79">
        <w:rPr>
          <w:rFonts w:ascii="Times New Roman" w:hAnsi="Times New Roman" w:cs="Times New Roman"/>
        </w:rPr>
        <w:fldChar w:fldCharType="begin" w:fldLock="1"/>
      </w:r>
      <w:r w:rsidR="00D2719F">
        <w:rPr>
          <w:rFonts w:ascii="Times New Roman" w:hAnsi="Times New Roman" w:cs="Times New Roman"/>
        </w:rPr>
        <w:instrText>ADDIN CSL_CITATION { "citationItems" : [ { "id" : "ITEM-1", "itemData" : { "author" : [ { "dropping-particle" : "", "family" : "Institute", "given" : "The Joanna Briggs", "non-dropping-particle" : "", "parse-names" : false, "suffix" : "" } ], "id" : "ITEM-1", "issued" : { "date-parts" : [ [ "2015" ] ] }, "number-of-pages" : "1-24", "publisher" : "The Joanna Briggs Institute", "publisher-place" : "Adelaide", "title" : "Methdology for Scoping Reviews: Joanna Briggs Institute Reviewers\u2019 Manual: 2015 edition / Supplement", "type" : "book" }, "uris" : [ "http://www.mendeley.com/documents/?uuid=7f2d5995-bb1a-439e-9d58-daa0747bab7b" ] } ], "mendeley" : { "formattedCitation" : "[15]", "plainTextFormattedCitation" : "[15]", "previouslyFormattedCitation" : "[13]" }, "properties" : { "noteIndex" : 0 }, "schema" : "https://github.com/citation-style-language/schema/raw/master/csl-citation.json" }</w:instrText>
      </w:r>
      <w:r w:rsidR="00C02A79">
        <w:rPr>
          <w:rFonts w:ascii="Times New Roman" w:hAnsi="Times New Roman" w:cs="Times New Roman"/>
        </w:rPr>
        <w:fldChar w:fldCharType="separate"/>
      </w:r>
      <w:r w:rsidR="00D2719F" w:rsidRPr="00D2719F">
        <w:rPr>
          <w:rFonts w:ascii="Times New Roman" w:hAnsi="Times New Roman" w:cs="Times New Roman"/>
          <w:noProof/>
        </w:rPr>
        <w:t>[15]</w:t>
      </w:r>
      <w:r w:rsidR="00C02A79">
        <w:rPr>
          <w:rFonts w:ascii="Times New Roman" w:hAnsi="Times New Roman" w:cs="Times New Roman"/>
        </w:rPr>
        <w:fldChar w:fldCharType="end"/>
      </w:r>
      <w:r w:rsidR="005B28A2" w:rsidRPr="002573A7">
        <w:rPr>
          <w:rFonts w:ascii="Times New Roman" w:hAnsi="Times New Roman" w:cs="Times New Roman"/>
        </w:rPr>
        <w:t xml:space="preserve"> </w:t>
      </w:r>
      <w:r w:rsidR="002E2555" w:rsidRPr="002573A7">
        <w:rPr>
          <w:rFonts w:ascii="Times New Roman" w:hAnsi="Times New Roman" w:cs="Times New Roman"/>
        </w:rPr>
        <w:t xml:space="preserve"> </w:t>
      </w:r>
      <w:r w:rsidR="009A35C6" w:rsidRPr="002573A7">
        <w:rPr>
          <w:rFonts w:ascii="Times New Roman" w:hAnsi="Times New Roman" w:cs="Times New Roman"/>
        </w:rPr>
        <w:t xml:space="preserve">The findings of this study will be reported using the Preferred Reporting Items for Systematic Reviews and Meta-Analyses extension statement for reporting of </w:t>
      </w:r>
      <w:r w:rsidR="0016042D" w:rsidRPr="002573A7">
        <w:rPr>
          <w:rFonts w:ascii="Times New Roman" w:hAnsi="Times New Roman" w:cs="Times New Roman"/>
        </w:rPr>
        <w:t>scoping reviews (PRISMA-SCR).</w:t>
      </w:r>
      <w:r w:rsidR="009A35C6" w:rsidRPr="002573A7">
        <w:rPr>
          <w:rFonts w:ascii="Times New Roman" w:hAnsi="Times New Roman" w:cs="Times New Roman"/>
        </w:rPr>
        <w:t xml:space="preserve"> </w:t>
      </w:r>
      <w:r w:rsidR="009B2399">
        <w:rPr>
          <w:rFonts w:ascii="Times New Roman" w:hAnsi="Times New Roman" w:cs="Times New Roman"/>
        </w:rPr>
        <w:t>This</w:t>
      </w:r>
      <w:r w:rsidR="00424957" w:rsidRPr="002573A7">
        <w:rPr>
          <w:rFonts w:ascii="Times New Roman" w:hAnsi="Times New Roman" w:cs="Times New Roman"/>
        </w:rPr>
        <w:t xml:space="preserve"> protocol will be </w:t>
      </w:r>
      <w:r w:rsidR="000D2C7F" w:rsidRPr="002573A7">
        <w:rPr>
          <w:rFonts w:ascii="Times New Roman" w:hAnsi="Times New Roman" w:cs="Times New Roman"/>
        </w:rPr>
        <w:t>reported</w:t>
      </w:r>
      <w:r w:rsidR="00424957" w:rsidRPr="002573A7">
        <w:rPr>
          <w:rFonts w:ascii="Times New Roman" w:hAnsi="Times New Roman" w:cs="Times New Roman"/>
        </w:rPr>
        <w:t xml:space="preserve">, using PRISMA-P </w:t>
      </w:r>
      <w:r w:rsidR="00D71870" w:rsidRPr="002573A7">
        <w:rPr>
          <w:rFonts w:ascii="Times New Roman" w:hAnsi="Times New Roman" w:cs="Times New Roman"/>
        </w:rPr>
        <w:t xml:space="preserve">and </w:t>
      </w:r>
      <w:r w:rsidR="000D2C7F" w:rsidRPr="002573A7">
        <w:rPr>
          <w:rFonts w:ascii="Times New Roman" w:hAnsi="Times New Roman" w:cs="Times New Roman"/>
        </w:rPr>
        <w:t>JBI guidelines</w:t>
      </w:r>
      <w:r w:rsidR="00424957" w:rsidRPr="002573A7">
        <w:rPr>
          <w:rFonts w:ascii="Times New Roman" w:hAnsi="Times New Roman" w:cs="Times New Roman"/>
        </w:rPr>
        <w:t>.</w:t>
      </w:r>
      <w:r w:rsidR="00B77712">
        <w:rPr>
          <w:rFonts w:ascii="Times New Roman" w:hAnsi="Times New Roman" w:cs="Times New Roman"/>
        </w:rPr>
        <w:fldChar w:fldCharType="begin" w:fldLock="1"/>
      </w:r>
      <w:r w:rsidR="00D2719F">
        <w:rPr>
          <w:rFonts w:ascii="Times New Roman" w:hAnsi="Times New Roman" w:cs="Times New Roman"/>
        </w:rPr>
        <w:instrText>ADDIN CSL_CITATION { "citationItems" : [ { "id" : "ITEM-1", "itemData" : { "DOI" : "10.1186/2046-4053-4-1", "ISSN" : "2046-4053", "PMID" : "25554246", "abstract" : "Systematic reviews should build on a protocol that describes the rationale, hypothesis, and planned methods of the review; few reviews report whether a protocol exists. Detailed, well-described protocols can facilitate the understanding and appraisal of the review methods, as well as the detection of modifications to methods and selective reporting in completed reviews. We describe the development of a reporting guideline, the Preferred Reporting Items for Systematic reviews and Meta-Analyses for Protocols 2015 (PRISMA-P 2015). PRISMA-P consists of a 17-item checklist intended to facilitate the preparation and reporting of a robust protocol for the systematic review. Funders and those commissioning reviews might consider mandating the use of the checklist to facilitate the submission of relevant protocol information in funding applications. Similarly, peer reviewers and editors can use the guidance to gauge the completeness and transparency of a systematic review protocol submitted for publication in a journal or other medium.", "author" : [ { "dropping-particle" : "", "family" : "Moher", "given" : "David", "non-dropping-particle" : "", "parse-names" : false, "suffix" : "" }, { "dropping-particle" : "", "family" : "Shamseer", "given" : "Larissa", "non-dropping-particle" : "", "parse-names" : false, "suffix" : "" }, { "dropping-particle" : "", "family" : "Clarke", "given" : "Mike", "non-dropping-particle" : "", "parse-names" : false, "suffix" : "" }, { "dropping-particle" : "", "family" : "Ghersi", "given" : "Davina", "non-dropping-particle" : "", "parse-names" : false, "suffix" : "" }, { "dropping-particle" : "", "family" : "Liberati", "given" : "Alessandro", "non-dropping-particle" : "", "parse-names" : false, "suffix" : "" }, { "dropping-particle" : "", "family" : "Petticrew", "given" : "Mark", "non-dropping-particle" : "", "parse-names" : false, "suffix" : "" }, { "dropping-particle" : "", "family" : "Shekelle", "given" : "Paul", "non-dropping-particle" : "", "parse-names" : false, "suffix" : "" }, { "dropping-particle" : "", "family" : "Stewart", "given" : "Lesley A", "non-dropping-particle" : "", "parse-names" : false, "suffix" : "" }, { "dropping-particle" : "", "family" : "PRISMA-P Group", "given" : "", "non-dropping-particle" : "", "parse-names" : false, "suffix" : "" } ], "container-title" : "Systematic reviews", "id" : "ITEM-1", "issued" : { "date-parts" : [ [ "2015", "1", "1" ] ] }, "page" : "1", "title" : "Preferred reporting items for systematic review and meta-analysis protocols (PRISMA-P) 2015 statement.", "type" : "article-journal", "volume" : "4" }, "uris" : [ "http://www.mendeley.com/documents/?uuid=525ba8e8-5965-437a-a44e-df096b614de8" ] }, { "id" : "ITEM-2", "itemData" : { "author" : [ { "dropping-particle" : "", "family" : "Institute", "given" : "The Joanna Briggs", "non-dropping-particle" : "", "parse-names" : false, "suffix" : "" } ], "id" : "ITEM-2", "issued" : { "date-parts" : [ [ "2015" ] ] }, "number-of-pages" : "1-24", "publisher" : "The Joanna Briggs Institute", "publisher-place" : "Adelaide", "title" : "Methdology for Scoping Reviews: Joanna Briggs Institute Reviewers\u2019 Manual: 2015 edition / Supplement", "type" : "book" }, "uris" : [ "http://www.mendeley.com/documents/?uuid=7f2d5995-bb1a-439e-9d58-daa0747bab7b" ] } ], "mendeley" : { "formattedCitation" : "[15,16]", "plainTextFormattedCitation" : "[15,16]", "previouslyFormattedCitation" : "[13,14]" }, "properties" : { "noteIndex" : 0 }, "schema" : "https://github.com/citation-style-language/schema/raw/master/csl-citation.json" }</w:instrText>
      </w:r>
      <w:r w:rsidR="00B77712">
        <w:rPr>
          <w:rFonts w:ascii="Times New Roman" w:hAnsi="Times New Roman" w:cs="Times New Roman"/>
        </w:rPr>
        <w:fldChar w:fldCharType="separate"/>
      </w:r>
      <w:r w:rsidR="00D2719F" w:rsidRPr="00D2719F">
        <w:rPr>
          <w:rFonts w:ascii="Times New Roman" w:hAnsi="Times New Roman" w:cs="Times New Roman"/>
          <w:noProof/>
        </w:rPr>
        <w:t>[15,16]</w:t>
      </w:r>
      <w:r w:rsidR="00B77712">
        <w:rPr>
          <w:rFonts w:ascii="Times New Roman" w:hAnsi="Times New Roman" w:cs="Times New Roman"/>
        </w:rPr>
        <w:fldChar w:fldCharType="end"/>
      </w:r>
      <w:r w:rsidR="00424957" w:rsidRPr="002573A7">
        <w:rPr>
          <w:rFonts w:ascii="Times New Roman" w:hAnsi="Times New Roman" w:cs="Times New Roman"/>
        </w:rPr>
        <w:t xml:space="preserve"> </w:t>
      </w:r>
    </w:p>
    <w:p w14:paraId="56009A1A" w14:textId="0E32F1E2" w:rsidR="000D2C7F" w:rsidRPr="002573A7" w:rsidRDefault="000D2C7F" w:rsidP="00E41083">
      <w:pPr>
        <w:spacing w:line="480" w:lineRule="auto"/>
        <w:contextualSpacing/>
        <w:rPr>
          <w:rFonts w:ascii="Times New Roman" w:hAnsi="Times New Roman" w:cs="Times New Roman"/>
        </w:rPr>
      </w:pPr>
    </w:p>
    <w:p w14:paraId="6D1F229A" w14:textId="77777777" w:rsidR="009C2C0D" w:rsidRDefault="009C2C0D" w:rsidP="00E41083">
      <w:pPr>
        <w:spacing w:line="480" w:lineRule="auto"/>
        <w:contextualSpacing/>
        <w:rPr>
          <w:rFonts w:ascii="Times New Roman" w:hAnsi="Times New Roman" w:cs="Times New Roman"/>
          <w:b/>
        </w:rPr>
      </w:pPr>
    </w:p>
    <w:p w14:paraId="3DC7AD4D" w14:textId="77777777" w:rsidR="006F4811" w:rsidRDefault="006F4811" w:rsidP="00E41083">
      <w:pPr>
        <w:spacing w:line="480" w:lineRule="auto"/>
        <w:contextualSpacing/>
        <w:rPr>
          <w:rFonts w:ascii="Times New Roman" w:hAnsi="Times New Roman" w:cs="Times New Roman"/>
          <w:b/>
        </w:rPr>
      </w:pPr>
    </w:p>
    <w:p w14:paraId="53761762" w14:textId="3040B760" w:rsidR="00BB51C5" w:rsidRPr="002573A7" w:rsidRDefault="00BB51C5" w:rsidP="00E41083">
      <w:pPr>
        <w:spacing w:line="480" w:lineRule="auto"/>
        <w:contextualSpacing/>
        <w:rPr>
          <w:rFonts w:ascii="Times New Roman" w:hAnsi="Times New Roman" w:cs="Times New Roman"/>
          <w:b/>
        </w:rPr>
      </w:pPr>
      <w:r w:rsidRPr="002573A7">
        <w:rPr>
          <w:rFonts w:ascii="Times New Roman" w:hAnsi="Times New Roman" w:cs="Times New Roman"/>
          <w:b/>
        </w:rPr>
        <w:lastRenderedPageBreak/>
        <w:t>Inclusion/Exclusion Criteria:</w:t>
      </w:r>
    </w:p>
    <w:p w14:paraId="2F982C53" w14:textId="7F388CF2" w:rsidR="00767BF8" w:rsidRDefault="00767BF8" w:rsidP="00767BF8">
      <w:pPr>
        <w:spacing w:line="480" w:lineRule="auto"/>
        <w:contextualSpacing/>
        <w:rPr>
          <w:rFonts w:ascii="Times New Roman" w:hAnsi="Times New Roman" w:cs="Times New Roman"/>
        </w:rPr>
      </w:pPr>
      <w:r>
        <w:rPr>
          <w:rFonts w:ascii="Times New Roman" w:hAnsi="Times New Roman" w:cs="Times New Roman"/>
        </w:rPr>
        <w:t xml:space="preserve">Eligibility criteria </w:t>
      </w:r>
      <w:r w:rsidR="00892914">
        <w:rPr>
          <w:rFonts w:ascii="Times New Roman" w:hAnsi="Times New Roman" w:cs="Times New Roman"/>
        </w:rPr>
        <w:t>was</w:t>
      </w:r>
      <w:r>
        <w:rPr>
          <w:rFonts w:ascii="Times New Roman" w:hAnsi="Times New Roman" w:cs="Times New Roman"/>
        </w:rPr>
        <w:t xml:space="preserve"> established </w:t>
      </w:r>
      <w:r w:rsidR="00892914">
        <w:rPr>
          <w:rFonts w:ascii="Times New Roman" w:hAnsi="Times New Roman" w:cs="Times New Roman"/>
        </w:rPr>
        <w:t>using the</w:t>
      </w:r>
      <w:r>
        <w:rPr>
          <w:rFonts w:ascii="Times New Roman" w:hAnsi="Times New Roman" w:cs="Times New Roman"/>
        </w:rPr>
        <w:t xml:space="preserve"> PCC (Population, Concept, Context) framework. </w:t>
      </w:r>
      <w:r w:rsidRPr="005020AB">
        <w:rPr>
          <w:rFonts w:ascii="Times New Roman" w:hAnsi="Times New Roman" w:cs="Times New Roman"/>
        </w:rPr>
        <w:t xml:space="preserve">Studies will be selected according to the </w:t>
      </w:r>
      <w:r>
        <w:rPr>
          <w:rFonts w:ascii="Times New Roman" w:hAnsi="Times New Roman" w:cs="Times New Roman"/>
        </w:rPr>
        <w:t xml:space="preserve">following </w:t>
      </w:r>
      <w:r w:rsidRPr="005020AB">
        <w:rPr>
          <w:rFonts w:ascii="Times New Roman" w:hAnsi="Times New Roman" w:cs="Times New Roman"/>
        </w:rPr>
        <w:t>criteria</w:t>
      </w:r>
      <w:r>
        <w:rPr>
          <w:rFonts w:ascii="Times New Roman" w:hAnsi="Times New Roman" w:cs="Times New Roman"/>
        </w:rPr>
        <w:t>:</w:t>
      </w:r>
    </w:p>
    <w:p w14:paraId="257F6BE8" w14:textId="245B7734" w:rsidR="00A97828" w:rsidRDefault="00A97828" w:rsidP="00767BF8">
      <w:pPr>
        <w:spacing w:line="480" w:lineRule="auto"/>
        <w:contextualSpacing/>
        <w:rPr>
          <w:rFonts w:ascii="Times New Roman" w:hAnsi="Times New Roman" w:cs="Times New Roman"/>
        </w:rPr>
      </w:pPr>
    </w:p>
    <w:p w14:paraId="5A6FFFDA" w14:textId="77777777" w:rsidR="00A97828" w:rsidRPr="005020AB" w:rsidRDefault="00A97828" w:rsidP="00A97828">
      <w:pPr>
        <w:spacing w:line="480" w:lineRule="auto"/>
        <w:contextualSpacing/>
        <w:rPr>
          <w:rFonts w:ascii="Times New Roman" w:hAnsi="Times New Roman" w:cs="Times New Roman"/>
        </w:rPr>
      </w:pPr>
      <w:r w:rsidRPr="005020AB">
        <w:rPr>
          <w:rFonts w:ascii="Times New Roman" w:hAnsi="Times New Roman" w:cs="Times New Roman"/>
        </w:rPr>
        <w:t>Participants:</w:t>
      </w:r>
    </w:p>
    <w:p w14:paraId="63F8CA26" w14:textId="07A5DC7D" w:rsidR="00A97828" w:rsidRDefault="00A97828" w:rsidP="00A97828">
      <w:pPr>
        <w:spacing w:line="480" w:lineRule="auto"/>
        <w:contextualSpacing/>
        <w:rPr>
          <w:rFonts w:ascii="Times New Roman" w:hAnsi="Times New Roman" w:cs="Times New Roman"/>
        </w:rPr>
      </w:pPr>
      <w:r>
        <w:rPr>
          <w:rFonts w:ascii="Times New Roman" w:hAnsi="Times New Roman" w:cs="Times New Roman"/>
        </w:rPr>
        <w:t>I</w:t>
      </w:r>
      <w:r w:rsidRPr="005020AB">
        <w:rPr>
          <w:rFonts w:ascii="Times New Roman" w:hAnsi="Times New Roman" w:cs="Times New Roman"/>
        </w:rPr>
        <w:t>ncluded studies will involve adult patients (≥ 18 years of age) presenting with spontaneous intracerebral hemorrhage</w:t>
      </w:r>
      <w:r w:rsidR="00335AC7">
        <w:rPr>
          <w:rFonts w:ascii="Times New Roman" w:hAnsi="Times New Roman" w:cs="Times New Roman"/>
        </w:rPr>
        <w:t xml:space="preserve"> (hemorrhagic stroke)</w:t>
      </w:r>
      <w:r w:rsidRPr="005020AB">
        <w:rPr>
          <w:rFonts w:ascii="Times New Roman" w:hAnsi="Times New Roman" w:cs="Times New Roman"/>
        </w:rPr>
        <w:t>, confirmed with either CT or MRI.</w:t>
      </w:r>
      <w:r w:rsidR="00416774">
        <w:rPr>
          <w:rFonts w:ascii="Times New Roman" w:hAnsi="Times New Roman" w:cs="Times New Roman"/>
        </w:rPr>
        <w:t xml:space="preserve"> Eighteen is the threshold age for adulthood used in </w:t>
      </w:r>
      <w:proofErr w:type="gramStart"/>
      <w:r w:rsidR="00416774">
        <w:rPr>
          <w:rFonts w:ascii="Times New Roman" w:hAnsi="Times New Roman" w:cs="Times New Roman"/>
        </w:rPr>
        <w:t>the majority of</w:t>
      </w:r>
      <w:proofErr w:type="gramEnd"/>
      <w:r w:rsidR="00416774">
        <w:rPr>
          <w:rFonts w:ascii="Times New Roman" w:hAnsi="Times New Roman" w:cs="Times New Roman"/>
        </w:rPr>
        <w:t xml:space="preserve"> hemorrhage trials. Pediatric intracerebral hemorrhage </w:t>
      </w:r>
      <w:r w:rsidR="008B581F">
        <w:rPr>
          <w:rFonts w:ascii="Times New Roman" w:hAnsi="Times New Roman" w:cs="Times New Roman"/>
        </w:rPr>
        <w:t xml:space="preserve">is more often secondary to intravascular lesions and malignancy and hence will not be included in this review. </w:t>
      </w:r>
      <w:r w:rsidR="005975D3">
        <w:rPr>
          <w:rFonts w:ascii="Times New Roman" w:hAnsi="Times New Roman" w:cs="Times New Roman"/>
        </w:rPr>
        <w:t xml:space="preserve">Patients presenting solely with a hemorrhage of another type (subarachnoid, subdural, </w:t>
      </w:r>
      <w:r w:rsidR="00FF33ED">
        <w:rPr>
          <w:rFonts w:ascii="Times New Roman" w:hAnsi="Times New Roman" w:cs="Times New Roman"/>
        </w:rPr>
        <w:t xml:space="preserve">epidural) </w:t>
      </w:r>
      <w:r w:rsidR="00CF59C6">
        <w:rPr>
          <w:rFonts w:ascii="Times New Roman" w:hAnsi="Times New Roman" w:cs="Times New Roman"/>
        </w:rPr>
        <w:t xml:space="preserve">with </w:t>
      </w:r>
      <w:r w:rsidR="00FF33ED">
        <w:rPr>
          <w:rFonts w:ascii="Times New Roman" w:hAnsi="Times New Roman" w:cs="Times New Roman"/>
        </w:rPr>
        <w:t xml:space="preserve">not be included in this review. </w:t>
      </w:r>
      <w:r w:rsidR="00335AC7">
        <w:rPr>
          <w:rFonts w:ascii="Times New Roman" w:hAnsi="Times New Roman" w:cs="Times New Roman"/>
        </w:rPr>
        <w:t>Hemorrhages</w:t>
      </w:r>
      <w:r w:rsidR="00655C8F">
        <w:rPr>
          <w:rFonts w:ascii="Times New Roman" w:hAnsi="Times New Roman" w:cs="Times New Roman"/>
        </w:rPr>
        <w:t xml:space="preserve"> with a known secondary etiology (</w:t>
      </w:r>
      <w:r w:rsidR="00B0597F">
        <w:rPr>
          <w:rFonts w:ascii="Times New Roman" w:hAnsi="Times New Roman" w:cs="Times New Roman"/>
        </w:rPr>
        <w:t xml:space="preserve">tumor, vascular malformation, trauma) </w:t>
      </w:r>
      <w:r w:rsidR="00FF33ED">
        <w:rPr>
          <w:rFonts w:ascii="Times New Roman" w:hAnsi="Times New Roman" w:cs="Times New Roman"/>
        </w:rPr>
        <w:t>will also be excluded.</w:t>
      </w:r>
    </w:p>
    <w:p w14:paraId="29531A8C" w14:textId="742E3D1B" w:rsidR="00B0597F" w:rsidRDefault="00B0597F" w:rsidP="00A97828">
      <w:pPr>
        <w:spacing w:line="480" w:lineRule="auto"/>
        <w:contextualSpacing/>
        <w:rPr>
          <w:rFonts w:ascii="Times New Roman" w:hAnsi="Times New Roman" w:cs="Times New Roman"/>
        </w:rPr>
      </w:pPr>
    </w:p>
    <w:p w14:paraId="2CEB2341" w14:textId="3894B016" w:rsidR="00B0597F" w:rsidRDefault="00B0597F" w:rsidP="00A97828">
      <w:pPr>
        <w:spacing w:line="480" w:lineRule="auto"/>
        <w:contextualSpacing/>
        <w:rPr>
          <w:rFonts w:ascii="Times New Roman" w:hAnsi="Times New Roman" w:cs="Times New Roman"/>
        </w:rPr>
      </w:pPr>
      <w:r>
        <w:rPr>
          <w:rFonts w:ascii="Times New Roman" w:hAnsi="Times New Roman" w:cs="Times New Roman"/>
        </w:rPr>
        <w:t>Concept:</w:t>
      </w:r>
    </w:p>
    <w:p w14:paraId="5829B333" w14:textId="0D004FCC" w:rsidR="002B4936" w:rsidRDefault="001E47ED" w:rsidP="00A97828">
      <w:pPr>
        <w:spacing w:line="480" w:lineRule="auto"/>
        <w:contextualSpacing/>
        <w:rPr>
          <w:rFonts w:ascii="Times New Roman" w:hAnsi="Times New Roman" w:cs="Times New Roman"/>
        </w:rPr>
      </w:pPr>
      <w:r>
        <w:rPr>
          <w:rFonts w:ascii="Times New Roman" w:hAnsi="Times New Roman" w:cs="Times New Roman"/>
        </w:rPr>
        <w:t xml:space="preserve">The major concepts we hope to explore </w:t>
      </w:r>
      <w:r w:rsidR="000D1937">
        <w:rPr>
          <w:rFonts w:ascii="Times New Roman" w:hAnsi="Times New Roman" w:cs="Times New Roman"/>
        </w:rPr>
        <w:t xml:space="preserve">in this scoping review </w:t>
      </w:r>
      <w:r>
        <w:rPr>
          <w:rFonts w:ascii="Times New Roman" w:hAnsi="Times New Roman" w:cs="Times New Roman"/>
        </w:rPr>
        <w:t xml:space="preserve">is </w:t>
      </w:r>
      <w:r w:rsidR="004E2BED">
        <w:rPr>
          <w:rFonts w:ascii="Times New Roman" w:hAnsi="Times New Roman" w:cs="Times New Roman"/>
        </w:rPr>
        <w:t xml:space="preserve">hematoma expansion and </w:t>
      </w:r>
      <w:r w:rsidR="000D1937">
        <w:rPr>
          <w:rFonts w:ascii="Times New Roman" w:hAnsi="Times New Roman" w:cs="Times New Roman"/>
        </w:rPr>
        <w:t xml:space="preserve">the </w:t>
      </w:r>
      <w:r w:rsidR="004E2BED">
        <w:rPr>
          <w:rFonts w:ascii="Times New Roman" w:hAnsi="Times New Roman" w:cs="Times New Roman"/>
        </w:rPr>
        <w:t>predictive models</w:t>
      </w:r>
      <w:r w:rsidR="000D1937">
        <w:rPr>
          <w:rFonts w:ascii="Times New Roman" w:hAnsi="Times New Roman" w:cs="Times New Roman"/>
        </w:rPr>
        <w:t>, hematoma expansion scores,</w:t>
      </w:r>
      <w:r w:rsidR="004E2BED">
        <w:rPr>
          <w:rFonts w:ascii="Times New Roman" w:hAnsi="Times New Roman" w:cs="Times New Roman"/>
        </w:rPr>
        <w:t xml:space="preserve"> that have been developed to try and accurately predict this phenomenon in patients presenting with acute intracerebral hemorrhage. </w:t>
      </w:r>
      <w:r w:rsidR="0092680D">
        <w:rPr>
          <w:rFonts w:ascii="Times New Roman" w:hAnsi="Times New Roman" w:cs="Times New Roman"/>
        </w:rPr>
        <w:t xml:space="preserve">An expansion score is defined as a collection of </w:t>
      </w:r>
      <w:r w:rsidR="00223C3E">
        <w:rPr>
          <w:rFonts w:ascii="Times New Roman" w:hAnsi="Times New Roman" w:cs="Times New Roman"/>
        </w:rPr>
        <w:t>variables</w:t>
      </w:r>
      <w:r w:rsidR="00205A51">
        <w:rPr>
          <w:rFonts w:ascii="Times New Roman" w:hAnsi="Times New Roman" w:cs="Times New Roman"/>
        </w:rPr>
        <w:t>, clinical, radiological, or both,</w:t>
      </w:r>
      <w:r w:rsidR="00223C3E">
        <w:rPr>
          <w:rFonts w:ascii="Times New Roman" w:hAnsi="Times New Roman" w:cs="Times New Roman"/>
        </w:rPr>
        <w:t xml:space="preserve"> that have been identified and weighted in a way </w:t>
      </w:r>
      <w:r w:rsidR="00205A51">
        <w:rPr>
          <w:rFonts w:ascii="Times New Roman" w:hAnsi="Times New Roman" w:cs="Times New Roman"/>
        </w:rPr>
        <w:t xml:space="preserve">such that </w:t>
      </w:r>
      <w:r w:rsidR="00FB22E6">
        <w:rPr>
          <w:rFonts w:ascii="Times New Roman" w:hAnsi="Times New Roman" w:cs="Times New Roman"/>
        </w:rPr>
        <w:t xml:space="preserve">patients presenting with higher </w:t>
      </w:r>
      <w:r w:rsidR="00472F10">
        <w:rPr>
          <w:rFonts w:ascii="Times New Roman" w:hAnsi="Times New Roman" w:cs="Times New Roman"/>
        </w:rPr>
        <w:t>cumulative</w:t>
      </w:r>
      <w:r w:rsidR="00FB22E6">
        <w:rPr>
          <w:rFonts w:ascii="Times New Roman" w:hAnsi="Times New Roman" w:cs="Times New Roman"/>
        </w:rPr>
        <w:t xml:space="preserve"> scores are at a higher risk of exhibiting an expansion of their baseline hematoma</w:t>
      </w:r>
      <w:r w:rsidR="007819CC">
        <w:rPr>
          <w:rFonts w:ascii="Times New Roman" w:hAnsi="Times New Roman" w:cs="Times New Roman"/>
        </w:rPr>
        <w:t xml:space="preserve">. </w:t>
      </w:r>
      <w:r w:rsidR="00643EA8">
        <w:rPr>
          <w:rFonts w:ascii="Times New Roman" w:hAnsi="Times New Roman" w:cs="Times New Roman"/>
        </w:rPr>
        <w:t xml:space="preserve">We aim to look at </w:t>
      </w:r>
      <w:r w:rsidR="006C22E1">
        <w:rPr>
          <w:rFonts w:ascii="Times New Roman" w:hAnsi="Times New Roman" w:cs="Times New Roman"/>
        </w:rPr>
        <w:t xml:space="preserve">the original studies which derived a respective score, </w:t>
      </w:r>
      <w:r w:rsidR="001812C2">
        <w:rPr>
          <w:rFonts w:ascii="Times New Roman" w:hAnsi="Times New Roman" w:cs="Times New Roman"/>
        </w:rPr>
        <w:t>subsequent studies that validated and compared different scores to each other</w:t>
      </w:r>
      <w:r w:rsidR="008773E5">
        <w:rPr>
          <w:rFonts w:ascii="Times New Roman" w:hAnsi="Times New Roman" w:cs="Times New Roman"/>
        </w:rPr>
        <w:t>,</w:t>
      </w:r>
      <w:r w:rsidR="001812C2">
        <w:rPr>
          <w:rFonts w:ascii="Times New Roman" w:hAnsi="Times New Roman" w:cs="Times New Roman"/>
        </w:rPr>
        <w:t xml:space="preserve"> and clinical</w:t>
      </w:r>
      <w:r w:rsidR="008F4351">
        <w:rPr>
          <w:rFonts w:ascii="Times New Roman" w:hAnsi="Times New Roman" w:cs="Times New Roman"/>
        </w:rPr>
        <w:t xml:space="preserve"> </w:t>
      </w:r>
      <w:r w:rsidR="00B927CD">
        <w:rPr>
          <w:rFonts w:ascii="Times New Roman" w:hAnsi="Times New Roman" w:cs="Times New Roman"/>
        </w:rPr>
        <w:t xml:space="preserve">trials </w:t>
      </w:r>
      <w:r w:rsidR="008F4351">
        <w:rPr>
          <w:rFonts w:ascii="Times New Roman" w:hAnsi="Times New Roman" w:cs="Times New Roman"/>
        </w:rPr>
        <w:t xml:space="preserve">or observational </w:t>
      </w:r>
      <w:r w:rsidR="00B927CD">
        <w:rPr>
          <w:rFonts w:ascii="Times New Roman" w:hAnsi="Times New Roman" w:cs="Times New Roman"/>
        </w:rPr>
        <w:t>cohorts</w:t>
      </w:r>
      <w:r w:rsidR="001812C2">
        <w:rPr>
          <w:rFonts w:ascii="Times New Roman" w:hAnsi="Times New Roman" w:cs="Times New Roman"/>
        </w:rPr>
        <w:t xml:space="preserve"> which </w:t>
      </w:r>
      <w:r w:rsidR="008773E5">
        <w:rPr>
          <w:rFonts w:ascii="Times New Roman" w:hAnsi="Times New Roman" w:cs="Times New Roman"/>
        </w:rPr>
        <w:t>used</w:t>
      </w:r>
      <w:r w:rsidR="001812C2">
        <w:rPr>
          <w:rFonts w:ascii="Times New Roman" w:hAnsi="Times New Roman" w:cs="Times New Roman"/>
        </w:rPr>
        <w:t xml:space="preserve"> these scores </w:t>
      </w:r>
      <w:r w:rsidR="00415586">
        <w:rPr>
          <w:rFonts w:ascii="Times New Roman" w:hAnsi="Times New Roman" w:cs="Times New Roman"/>
        </w:rPr>
        <w:t>as a clinical tool</w:t>
      </w:r>
      <w:r w:rsidR="008F4351">
        <w:rPr>
          <w:rFonts w:ascii="Times New Roman" w:hAnsi="Times New Roman" w:cs="Times New Roman"/>
        </w:rPr>
        <w:t xml:space="preserve">. </w:t>
      </w:r>
      <w:r w:rsidR="0087462C">
        <w:rPr>
          <w:rFonts w:ascii="Times New Roman" w:hAnsi="Times New Roman" w:cs="Times New Roman"/>
        </w:rPr>
        <w:t xml:space="preserve">Because </w:t>
      </w:r>
      <w:r w:rsidR="00F27BBD">
        <w:rPr>
          <w:rFonts w:ascii="Times New Roman" w:hAnsi="Times New Roman" w:cs="Times New Roman"/>
        </w:rPr>
        <w:t>our primary objective is to</w:t>
      </w:r>
      <w:r w:rsidR="0087462C">
        <w:rPr>
          <w:rFonts w:ascii="Times New Roman" w:hAnsi="Times New Roman" w:cs="Times New Roman"/>
        </w:rPr>
        <w:t xml:space="preserve"> learn about both the diagnostic capability and prevalence of use of these scores</w:t>
      </w:r>
      <w:r w:rsidR="00F27BBD">
        <w:rPr>
          <w:rFonts w:ascii="Times New Roman" w:hAnsi="Times New Roman" w:cs="Times New Roman"/>
        </w:rPr>
        <w:t>,</w:t>
      </w:r>
      <w:r w:rsidR="0087462C">
        <w:rPr>
          <w:rFonts w:ascii="Times New Roman" w:hAnsi="Times New Roman" w:cs="Times New Roman"/>
        </w:rPr>
        <w:t xml:space="preserve"> we will be evaluating </w:t>
      </w:r>
      <w:r w:rsidR="00BB50C4">
        <w:rPr>
          <w:rFonts w:ascii="Times New Roman" w:hAnsi="Times New Roman" w:cs="Times New Roman"/>
        </w:rPr>
        <w:t xml:space="preserve">original research contributions, systematic reviews, meta-analysis, and guideline documents where appropriate. </w:t>
      </w:r>
      <w:r w:rsidR="00265173">
        <w:rPr>
          <w:rFonts w:ascii="Times New Roman" w:hAnsi="Times New Roman" w:cs="Times New Roman"/>
        </w:rPr>
        <w:t>Studies</w:t>
      </w:r>
      <w:r w:rsidR="00F27BBD">
        <w:rPr>
          <w:rFonts w:ascii="Times New Roman" w:hAnsi="Times New Roman" w:cs="Times New Roman"/>
        </w:rPr>
        <w:t xml:space="preserve"> focused solely on</w:t>
      </w:r>
      <w:r w:rsidR="00265173">
        <w:rPr>
          <w:rFonts w:ascii="Times New Roman" w:hAnsi="Times New Roman" w:cs="Times New Roman"/>
        </w:rPr>
        <w:t xml:space="preserve"> </w:t>
      </w:r>
      <w:r w:rsidR="001E246C">
        <w:rPr>
          <w:rFonts w:ascii="Times New Roman" w:hAnsi="Times New Roman" w:cs="Times New Roman"/>
        </w:rPr>
        <w:t xml:space="preserve">a </w:t>
      </w:r>
      <w:r w:rsidR="00265173">
        <w:rPr>
          <w:rFonts w:ascii="Times New Roman" w:hAnsi="Times New Roman" w:cs="Times New Roman"/>
        </w:rPr>
        <w:t>single clinical</w:t>
      </w:r>
      <w:r w:rsidR="001E246C">
        <w:rPr>
          <w:rFonts w:ascii="Times New Roman" w:hAnsi="Times New Roman" w:cs="Times New Roman"/>
        </w:rPr>
        <w:t xml:space="preserve"> or</w:t>
      </w:r>
      <w:r w:rsidR="00265173">
        <w:rPr>
          <w:rFonts w:ascii="Times New Roman" w:hAnsi="Times New Roman" w:cs="Times New Roman"/>
        </w:rPr>
        <w:t xml:space="preserve"> radiological predictor</w:t>
      </w:r>
      <w:r w:rsidR="001E246C">
        <w:rPr>
          <w:rFonts w:ascii="Times New Roman" w:hAnsi="Times New Roman" w:cs="Times New Roman"/>
        </w:rPr>
        <w:t xml:space="preserve"> </w:t>
      </w:r>
      <w:r w:rsidR="009F08CB">
        <w:rPr>
          <w:rFonts w:ascii="Times New Roman" w:hAnsi="Times New Roman" w:cs="Times New Roman"/>
        </w:rPr>
        <w:t>(e.g</w:t>
      </w:r>
      <w:r w:rsidR="005155D6">
        <w:rPr>
          <w:rFonts w:ascii="Times New Roman" w:hAnsi="Times New Roman" w:cs="Times New Roman"/>
        </w:rPr>
        <w:t>.</w:t>
      </w:r>
      <w:r w:rsidR="009F08CB">
        <w:rPr>
          <w:rFonts w:ascii="Times New Roman" w:hAnsi="Times New Roman" w:cs="Times New Roman"/>
        </w:rPr>
        <w:t xml:space="preserve"> blend sign) </w:t>
      </w:r>
      <w:r w:rsidR="001E246C">
        <w:rPr>
          <w:rFonts w:ascii="Times New Roman" w:hAnsi="Times New Roman" w:cs="Times New Roman"/>
        </w:rPr>
        <w:t xml:space="preserve">will be excluded from </w:t>
      </w:r>
      <w:r w:rsidR="001E246C">
        <w:rPr>
          <w:rFonts w:ascii="Times New Roman" w:hAnsi="Times New Roman" w:cs="Times New Roman"/>
        </w:rPr>
        <w:lastRenderedPageBreak/>
        <w:t>our analysis</w:t>
      </w:r>
      <w:r w:rsidR="00F27BBD">
        <w:rPr>
          <w:rFonts w:ascii="Times New Roman" w:hAnsi="Times New Roman" w:cs="Times New Roman"/>
        </w:rPr>
        <w:t>.</w:t>
      </w:r>
      <w:r w:rsidR="00A3794F">
        <w:rPr>
          <w:rFonts w:ascii="Times New Roman" w:hAnsi="Times New Roman" w:cs="Times New Roman"/>
        </w:rPr>
        <w:t xml:space="preserve"> </w:t>
      </w:r>
      <w:r w:rsidR="00F27BBD">
        <w:rPr>
          <w:rFonts w:ascii="Times New Roman" w:hAnsi="Times New Roman" w:cs="Times New Roman"/>
        </w:rPr>
        <w:t>T</w:t>
      </w:r>
      <w:r w:rsidR="00A3794F">
        <w:rPr>
          <w:rFonts w:ascii="Times New Roman" w:hAnsi="Times New Roman" w:cs="Times New Roman"/>
        </w:rPr>
        <w:t xml:space="preserve">here is clear evidence to show that no single variable adequately </w:t>
      </w:r>
      <w:r w:rsidR="00666EEA">
        <w:rPr>
          <w:rFonts w:ascii="Times New Roman" w:hAnsi="Times New Roman" w:cs="Times New Roman"/>
        </w:rPr>
        <w:t>predicts hematoma expansion</w:t>
      </w:r>
      <w:r w:rsidR="001F5D16">
        <w:rPr>
          <w:rFonts w:ascii="Times New Roman" w:hAnsi="Times New Roman" w:cs="Times New Roman"/>
        </w:rPr>
        <w:t>.</w:t>
      </w:r>
      <w:r w:rsidR="004D7873">
        <w:rPr>
          <w:rFonts w:ascii="Times New Roman" w:hAnsi="Times New Roman" w:cs="Times New Roman"/>
        </w:rPr>
        <w:fldChar w:fldCharType="begin" w:fldLock="1"/>
      </w:r>
      <w:r w:rsidR="00D2719F">
        <w:rPr>
          <w:rFonts w:ascii="Times New Roman" w:hAnsi="Times New Roman" w:cs="Times New Roman"/>
        </w:rPr>
        <w:instrText>ADDIN CSL_CITATION { "citationItems" : [ { "id" : "ITEM-1", "itemData" : { "DOI" : "10.1161/STROKEAHA.115.012012", "ISSN" : "1524-4628", "PMID" : "26846857", "abstract" : "BACKGROUND AND PURPOSE Hematoma expansion after acute intracerebral hemorrhage is common and is associated with early deterioration and poor clinical outcome. The computed tomographic angiography (CTA) spot sign is a promising predictor of expansion; however, frequency and predictive values are variable across studies, possibly because of differences in onset-to-CTA time. We performed a patient-level meta-analysis to define the relationship between onset-to-CTA time and frequency and predictive ability of the spot sign. METHODS We completed a systematic review for studies of CTA spot sign and hematoma expansion. We subsequently pooled patient-level data on the frequency and predictive values for significant hematoma expansion according to 5 predefined categorized onset-to-CTA times. We calculated spot-sign frequency both as raw and frequency-adjusted rates. RESULTS Among 2051 studies identified, 12 met our inclusion criteria. Baseline hematoma volume, spot-sign status, and time-to-CTA were available for 1176 patients, and 1039 patients had follow-up computed tomographies for hematoma expansion analysis. The overall spot sign frequency was 26%, decreasing from 39% within 2 hours of onset to 13% beyond 8 hours (P&lt;0.001). There was a significant decrease in hematoma expansion in spot-positive patients as onset-to-CTA time increased (P=0.004), with positive predictive values decreasing from 53% to 33%. CONCLUSIONS The frequency of the CTA spot sign is inversely related to intracerebral hemorrhage onset-to-CTA time. Furthermore, the positive predictive value of the spot sign for significant hematoma expansion decreases as time-to-CTA increases. Our results offer more precise risk stratification for patients with acute intracerebral hemorrhage and will help refine clinical prediction rules for intracerebral hemorrhage expansion.", "author" : [ { "dropping-particle" : "", "family" : "Dowlatshahi", "given" : "Dar", "non-dropping-particle" : "", "parse-names" : false, "suffix" : "" }, { "dropping-particle" : "", "family" : "Brouwers", "given" : "H Bart", "non-dropping-particle" : "", "parse-names" : false, "suffix" : "" }, { "dropping-particle" : "", "family" : "Demchuk", "given" : "Andrew M", "non-dropping-particle" : "", "parse-names" : false, "suffix" : "" }, { "dropping-particle" : "", "family" : "Hill", "given" : "Michael D", "non-dropping-particle" : "", "parse-names" : false, "suffix" : "" }, { "dropping-particle" : "", "family" : "Aviv", "given" : "Richard I", "non-dropping-particle" : "", "parse-names" : false, "suffix" : "" }, { "dropping-particle" : "", "family" : "Ufholz", "given" : "Lee-Anne", "non-dropping-particle" : "", "parse-names" : false, "suffix" : "" }, { "dropping-particle" : "", "family" : "Reaume", "given" : "Michael", "non-dropping-particle" : "", "parse-names" : false, "suffix" : "" }, { "dropping-particle" : "", "family" : "Wintermark", "given" : "Max", "non-dropping-particle" : "", "parse-names" : false, "suffix" : "" }, { "dropping-particle" : "", "family" : "Hemphill", "given" : "J Claude", "non-dropping-particle" : "", "parse-names" : false, "suffix" : "" }, { "dropping-particle" : "", "family" : "Murai", "given" : "Yasuo", "non-dropping-particle" : "", "parse-names" : false, "suffix" : "" }, { "dropping-particle" : "", "family" : "Wang", "given" : "Yongjun", "non-dropping-particle" : "", "parse-names" : false, "suffix" : "" }, { "dropping-particle" : "", "family" : "Zhao", "given" : "Xingquan", "non-dropping-particle" : "", "parse-names" : false, "suffix" : "" }, { "dropping-particle" : "", "family" : "Wang", "given" : "Yilong", "non-dropping-particle" : "", "parse-names" : false, "suffix" : "" }, { "dropping-particle" : "", "family" : "Li", "given" : "Na", "non-dropping-particle" : "", "parse-names" : false, "suffix" : "" }, { "dropping-particle" : "", "family" : "Sorimachi", "given" : "Takatoshi", "non-dropping-particle" : "", "parse-names" : false, "suffix" : "" }, { "dropping-particle" : "", "family" : "Matsumae", "given" : "Mitsunori", "non-dropping-particle" : "", "parse-names" : false, "suffix" : "" }, { "dropping-particle" : "", "family" : "Steiner", "given" : "Thorsten", "non-dropping-particle" : "", "parse-names" : false, "suffix" : "" }, { "dropping-particle" : "", "family" : "Rizos", "given" : "Timolaos", "non-dropping-particle" : "", "parse-names" : false, "suffix" : "" }, { "dropping-particle" : "", "family" : "Greenberg", "given" : "Steven M", "non-dropping-particle" : "", "parse-names" : false, "suffix" : "" }, { "dropping-particle" : "", "family" : "Romero", "given" : "Javier M", "non-dropping-particle" : "", "parse-names" : false, "suffix" : "" }, { "dropping-particle" : "", "family" : "Rosand", "given" : "Jonathan", "non-dropping-particle" : "", "parse-names" : false, "suffix" : "" }, { "dropping-particle" : "", "family" : "Goldstein", "given" : "Joshua N", "non-dropping-particle" : "", "parse-names" : false, "suffix" : "" }, { "dropping-particle" : "", "family" : "Sharma", "given" : "Mukul", "non-dropping-particle" : "", "parse-names" : false, "suffix" : "" } ], "container-title" : "Stroke", "id" : "ITEM-1", "issue" : "3", "issued" : { "date-parts" : [ [ "2016", "3" ] ] }, "page" : "695-700", "title" : "Predicting Intracerebral Hemorrhage Growth With the Spot Sign: The Effect of Onset-to-Scan Time.", "type" : "article-journal", "volume" : "47" }, "uris" : [ "http://www.mendeley.com/documents/?uuid=482e2f53-c112-43e1-bd2e-227628a42737" ] }, { "id" : "ITEM-2", "itemData" : { "DOI" : "10.1161/STROKEAHA.116.015062", "ISSN" : "1524-4628", "PMID" : "28289239", "author" : [ { "dropping-particle" : "", "family" : "Boulouis", "given" : "Gregoire", "non-dropping-particle" : "", "parse-names" : false, "suffix" : "" }, { "dropping-particle" : "", "family" : "Morotti", "given" : "Andrea", "non-dropping-particle" : "", "parse-names" : false, "suffix" : "" }, { "dropping-particle" : "", "family" : "Charidimou", "given" : "Andreas", "non-dropping-particle" : "", "parse-names" : false, "suffix" : "" }, { "dropping-particle" : "", "family" : "Dowlatshahi", "given" : "Dar", "non-dropping-particle" : "", "parse-names" : false, "suffix" : "" }, { "dropping-particle" : "", "family" : "Goldstein", "given" : "Joshua N", "non-dropping-particle" : "", "parse-names" : false, "suffix" : "" } ], "container-title" : "Stroke", "id" : "ITEM-2", "issue" : "4", "issued" : { "date-parts" : [ [ "2017", "4" ] ] }, "page" : "1120-1125", "title" : "Noncontrast Computed Tomography Markers of Intracerebral Hemorrhage Expansion.", "type" : "article-journal", "volume" : "48" }, "uris" : [ "http://www.mendeley.com/documents/?uuid=0f6c24e9-ca3d-42d8-a790-f20489536a69" ] } ], "mendeley" : { "formattedCitation" : "[9,17]", "plainTextFormattedCitation" : "[9,17]", "previouslyFormattedCitation" : "[7,15]" }, "properties" : { "noteIndex" : 0 }, "schema" : "https://github.com/citation-style-language/schema/raw/master/csl-citation.json" }</w:instrText>
      </w:r>
      <w:r w:rsidR="004D7873">
        <w:rPr>
          <w:rFonts w:ascii="Times New Roman" w:hAnsi="Times New Roman" w:cs="Times New Roman"/>
        </w:rPr>
        <w:fldChar w:fldCharType="separate"/>
      </w:r>
      <w:r w:rsidR="00D2719F" w:rsidRPr="00D2719F">
        <w:rPr>
          <w:rFonts w:ascii="Times New Roman" w:hAnsi="Times New Roman" w:cs="Times New Roman"/>
          <w:noProof/>
        </w:rPr>
        <w:t>[9,17]</w:t>
      </w:r>
      <w:r w:rsidR="004D7873">
        <w:rPr>
          <w:rFonts w:ascii="Times New Roman" w:hAnsi="Times New Roman" w:cs="Times New Roman"/>
        </w:rPr>
        <w:fldChar w:fldCharType="end"/>
      </w:r>
      <w:r w:rsidR="001F5D16">
        <w:rPr>
          <w:rFonts w:ascii="Times New Roman" w:hAnsi="Times New Roman" w:cs="Times New Roman"/>
        </w:rPr>
        <w:t xml:space="preserve"> </w:t>
      </w:r>
    </w:p>
    <w:p w14:paraId="0BAC52BF" w14:textId="77777777" w:rsidR="002B4936" w:rsidRDefault="002B4936" w:rsidP="00A97828">
      <w:pPr>
        <w:spacing w:line="480" w:lineRule="auto"/>
        <w:contextualSpacing/>
        <w:rPr>
          <w:rFonts w:ascii="Times New Roman" w:hAnsi="Times New Roman" w:cs="Times New Roman"/>
        </w:rPr>
      </w:pPr>
    </w:p>
    <w:p w14:paraId="3B341887" w14:textId="1016F1EA" w:rsidR="00B0597F" w:rsidRDefault="002B4936" w:rsidP="00A97828">
      <w:pPr>
        <w:spacing w:line="480" w:lineRule="auto"/>
        <w:contextualSpacing/>
        <w:rPr>
          <w:rFonts w:ascii="Times New Roman" w:hAnsi="Times New Roman" w:cs="Times New Roman"/>
        </w:rPr>
      </w:pPr>
      <w:r>
        <w:rPr>
          <w:rFonts w:ascii="Times New Roman" w:hAnsi="Times New Roman" w:cs="Times New Roman"/>
        </w:rPr>
        <w:t>Hematoma expansion acts as the outcome of interest in this scoping review.</w:t>
      </w:r>
      <w:r w:rsidR="00265173">
        <w:rPr>
          <w:rFonts w:ascii="Times New Roman" w:hAnsi="Times New Roman" w:cs="Times New Roman"/>
        </w:rPr>
        <w:t xml:space="preserve"> </w:t>
      </w:r>
      <w:r w:rsidR="00915BB1">
        <w:rPr>
          <w:rFonts w:ascii="Times New Roman" w:hAnsi="Times New Roman" w:cs="Times New Roman"/>
        </w:rPr>
        <w:t xml:space="preserve">Expansion is evaluated by </w:t>
      </w:r>
      <w:r w:rsidR="001D4C71">
        <w:rPr>
          <w:rFonts w:ascii="Times New Roman" w:hAnsi="Times New Roman" w:cs="Times New Roman"/>
        </w:rPr>
        <w:t xml:space="preserve">assessing the change in hematoma volume at initial presentation to </w:t>
      </w:r>
      <w:r w:rsidR="00AB5AC9">
        <w:rPr>
          <w:rFonts w:ascii="Times New Roman" w:hAnsi="Times New Roman" w:cs="Times New Roman"/>
        </w:rPr>
        <w:t xml:space="preserve">follow-up imaging usually performed at the </w:t>
      </w:r>
      <w:proofErr w:type="gramStart"/>
      <w:r w:rsidR="00AB5AC9">
        <w:rPr>
          <w:rFonts w:ascii="Times New Roman" w:hAnsi="Times New Roman" w:cs="Times New Roman"/>
        </w:rPr>
        <w:t>24-48 hour</w:t>
      </w:r>
      <w:proofErr w:type="gramEnd"/>
      <w:r w:rsidR="00AB5AC9">
        <w:rPr>
          <w:rFonts w:ascii="Times New Roman" w:hAnsi="Times New Roman" w:cs="Times New Roman"/>
        </w:rPr>
        <w:t xml:space="preserve"> mark. </w:t>
      </w:r>
      <w:r w:rsidR="00596448">
        <w:rPr>
          <w:rFonts w:ascii="Times New Roman" w:hAnsi="Times New Roman" w:cs="Times New Roman"/>
        </w:rPr>
        <w:t xml:space="preserve">Expansion can be </w:t>
      </w:r>
      <w:r w:rsidR="00AD092B">
        <w:rPr>
          <w:rFonts w:ascii="Times New Roman" w:hAnsi="Times New Roman" w:cs="Times New Roman"/>
        </w:rPr>
        <w:t xml:space="preserve">reported as the net change in volume or as a dichotomous </w:t>
      </w:r>
      <w:r w:rsidR="00E5644F">
        <w:rPr>
          <w:rFonts w:ascii="Times New Roman" w:hAnsi="Times New Roman" w:cs="Times New Roman"/>
        </w:rPr>
        <w:t xml:space="preserve">outcome via a predetermined definition of hematoma expansion (e.g. hematoma </w:t>
      </w:r>
      <w:r w:rsidR="00D505EE">
        <w:rPr>
          <w:rFonts w:ascii="Times New Roman" w:hAnsi="Times New Roman" w:cs="Times New Roman"/>
        </w:rPr>
        <w:t>enlargement</w:t>
      </w:r>
      <w:r w:rsidR="00E5644F">
        <w:rPr>
          <w:rFonts w:ascii="Times New Roman" w:hAnsi="Times New Roman" w:cs="Times New Roman"/>
        </w:rPr>
        <w:t xml:space="preserve"> &gt; 6 mL)</w:t>
      </w:r>
      <w:r w:rsidR="00D505EE">
        <w:rPr>
          <w:rFonts w:ascii="Times New Roman" w:hAnsi="Times New Roman" w:cs="Times New Roman"/>
        </w:rPr>
        <w:t xml:space="preserve">. </w:t>
      </w:r>
      <w:r w:rsidR="00E5747A">
        <w:rPr>
          <w:rFonts w:ascii="Times New Roman" w:hAnsi="Times New Roman" w:cs="Times New Roman"/>
        </w:rPr>
        <w:t>There are several definitions o</w:t>
      </w:r>
      <w:r w:rsidR="00900993">
        <w:rPr>
          <w:rFonts w:ascii="Times New Roman" w:hAnsi="Times New Roman" w:cs="Times New Roman"/>
        </w:rPr>
        <w:t>f hematoma expansion in current use today</w:t>
      </w:r>
      <w:r w:rsidR="00D3489F">
        <w:rPr>
          <w:rFonts w:ascii="Times New Roman" w:hAnsi="Times New Roman" w:cs="Times New Roman"/>
        </w:rPr>
        <w:t xml:space="preserve"> and w</w:t>
      </w:r>
      <w:r w:rsidR="00900993">
        <w:rPr>
          <w:rFonts w:ascii="Times New Roman" w:hAnsi="Times New Roman" w:cs="Times New Roman"/>
        </w:rPr>
        <w:t>e wil</w:t>
      </w:r>
      <w:r w:rsidR="00E30D6D">
        <w:rPr>
          <w:rFonts w:ascii="Times New Roman" w:hAnsi="Times New Roman" w:cs="Times New Roman"/>
        </w:rPr>
        <w:t xml:space="preserve">l utilize </w:t>
      </w:r>
      <w:r w:rsidR="00D3489F">
        <w:rPr>
          <w:rFonts w:ascii="Times New Roman" w:hAnsi="Times New Roman" w:cs="Times New Roman"/>
        </w:rPr>
        <w:t xml:space="preserve">whichever </w:t>
      </w:r>
      <w:r w:rsidR="00E30D6D">
        <w:rPr>
          <w:rFonts w:ascii="Times New Roman" w:hAnsi="Times New Roman" w:cs="Times New Roman"/>
        </w:rPr>
        <w:t xml:space="preserve">definitions </w:t>
      </w:r>
      <w:r w:rsidR="00D3489F">
        <w:rPr>
          <w:rFonts w:ascii="Times New Roman" w:hAnsi="Times New Roman" w:cs="Times New Roman"/>
        </w:rPr>
        <w:t xml:space="preserve">have been decided upon by the </w:t>
      </w:r>
      <w:r w:rsidR="00E30D6D">
        <w:rPr>
          <w:rFonts w:ascii="Times New Roman" w:hAnsi="Times New Roman" w:cs="Times New Roman"/>
        </w:rPr>
        <w:t>study authors</w:t>
      </w:r>
      <w:r w:rsidR="00D3489F">
        <w:rPr>
          <w:rFonts w:ascii="Times New Roman" w:hAnsi="Times New Roman" w:cs="Times New Roman"/>
        </w:rPr>
        <w:t>.</w:t>
      </w:r>
      <w:r w:rsidR="00B72B56">
        <w:rPr>
          <w:rFonts w:ascii="Times New Roman" w:hAnsi="Times New Roman" w:cs="Times New Roman"/>
        </w:rPr>
        <w:t xml:space="preserve"> However, only studies that provide a dichotomous definition of hematoma expansion </w:t>
      </w:r>
      <w:r w:rsidR="00C15DCA">
        <w:rPr>
          <w:rFonts w:ascii="Times New Roman" w:hAnsi="Times New Roman" w:cs="Times New Roman"/>
        </w:rPr>
        <w:t>would</w:t>
      </w:r>
      <w:r w:rsidR="00B72B56">
        <w:rPr>
          <w:rFonts w:ascii="Times New Roman" w:hAnsi="Times New Roman" w:cs="Times New Roman"/>
        </w:rPr>
        <w:t xml:space="preserve"> be utilized in any subsequent</w:t>
      </w:r>
      <w:r w:rsidR="00D505EE">
        <w:rPr>
          <w:rFonts w:ascii="Times New Roman" w:hAnsi="Times New Roman" w:cs="Times New Roman"/>
        </w:rPr>
        <w:t xml:space="preserve"> summary analysis.</w:t>
      </w:r>
      <w:r w:rsidR="00B72B56">
        <w:rPr>
          <w:rFonts w:ascii="Times New Roman" w:hAnsi="Times New Roman" w:cs="Times New Roman"/>
        </w:rPr>
        <w:t xml:space="preserve"> </w:t>
      </w:r>
    </w:p>
    <w:p w14:paraId="5CD1DDAF" w14:textId="77777777" w:rsidR="00D039DA" w:rsidRDefault="00D039DA" w:rsidP="00A97828">
      <w:pPr>
        <w:spacing w:line="480" w:lineRule="auto"/>
        <w:contextualSpacing/>
        <w:rPr>
          <w:rFonts w:ascii="Times New Roman" w:hAnsi="Times New Roman" w:cs="Times New Roman"/>
        </w:rPr>
      </w:pPr>
    </w:p>
    <w:p w14:paraId="1C68DB42" w14:textId="03D686E4" w:rsidR="00D3489F" w:rsidRDefault="00D3489F" w:rsidP="00A97828">
      <w:pPr>
        <w:spacing w:line="480" w:lineRule="auto"/>
        <w:contextualSpacing/>
        <w:rPr>
          <w:rFonts w:ascii="Times New Roman" w:hAnsi="Times New Roman" w:cs="Times New Roman"/>
        </w:rPr>
      </w:pPr>
      <w:r>
        <w:rPr>
          <w:rFonts w:ascii="Times New Roman" w:hAnsi="Times New Roman" w:cs="Times New Roman"/>
        </w:rPr>
        <w:t>Context:</w:t>
      </w:r>
    </w:p>
    <w:p w14:paraId="58018748" w14:textId="59581EED" w:rsidR="00D3489F" w:rsidRDefault="00BB498D" w:rsidP="00A97828">
      <w:pPr>
        <w:spacing w:line="480" w:lineRule="auto"/>
        <w:contextualSpacing/>
        <w:rPr>
          <w:rFonts w:ascii="Times New Roman" w:hAnsi="Times New Roman" w:cs="Times New Roman"/>
        </w:rPr>
      </w:pPr>
      <w:r>
        <w:rPr>
          <w:rFonts w:ascii="Times New Roman" w:hAnsi="Times New Roman" w:cs="Times New Roman"/>
        </w:rPr>
        <w:t xml:space="preserve">There is no restriction on </w:t>
      </w:r>
      <w:r w:rsidR="00531853">
        <w:rPr>
          <w:rFonts w:ascii="Times New Roman" w:hAnsi="Times New Roman" w:cs="Times New Roman"/>
        </w:rPr>
        <w:t>healthcare locations</w:t>
      </w:r>
      <w:r>
        <w:rPr>
          <w:rFonts w:ascii="Times New Roman" w:hAnsi="Times New Roman" w:cs="Times New Roman"/>
        </w:rPr>
        <w:t xml:space="preserve">, albeit we expect </w:t>
      </w:r>
      <w:r w:rsidR="00755535">
        <w:rPr>
          <w:rFonts w:ascii="Times New Roman" w:hAnsi="Times New Roman" w:cs="Times New Roman"/>
        </w:rPr>
        <w:t>most studies will involve patients who were treated in an emergency room, intensive care unit, or neurological/neurosurgical ward. We also have no restriction</w:t>
      </w:r>
      <w:r w:rsidR="00C86B3A">
        <w:rPr>
          <w:rFonts w:ascii="Times New Roman" w:hAnsi="Times New Roman" w:cs="Times New Roman"/>
        </w:rPr>
        <w:t xml:space="preserve">s on </w:t>
      </w:r>
      <w:r w:rsidR="0078009B">
        <w:rPr>
          <w:rFonts w:ascii="Times New Roman" w:hAnsi="Times New Roman" w:cs="Times New Roman"/>
        </w:rPr>
        <w:t>country of study</w:t>
      </w:r>
      <w:r w:rsidR="00557809">
        <w:rPr>
          <w:rFonts w:ascii="Times New Roman" w:hAnsi="Times New Roman" w:cs="Times New Roman"/>
        </w:rPr>
        <w:t xml:space="preserve">, </w:t>
      </w:r>
      <w:r w:rsidR="0078009B">
        <w:rPr>
          <w:rFonts w:ascii="Times New Roman" w:hAnsi="Times New Roman" w:cs="Times New Roman"/>
        </w:rPr>
        <w:t xml:space="preserve">ethnicity, </w:t>
      </w:r>
      <w:r w:rsidR="00557809">
        <w:rPr>
          <w:rFonts w:ascii="Times New Roman" w:hAnsi="Times New Roman" w:cs="Times New Roman"/>
        </w:rPr>
        <w:t>gender, or socio-economic status.</w:t>
      </w:r>
    </w:p>
    <w:p w14:paraId="38007F0A" w14:textId="2E5F0D1F" w:rsidR="0095051C" w:rsidRPr="002573A7" w:rsidRDefault="0095051C" w:rsidP="00E41083">
      <w:pPr>
        <w:spacing w:line="480" w:lineRule="auto"/>
        <w:contextualSpacing/>
        <w:rPr>
          <w:rFonts w:ascii="Times New Roman" w:hAnsi="Times New Roman" w:cs="Times New Roman"/>
        </w:rPr>
      </w:pPr>
    </w:p>
    <w:p w14:paraId="0F873422" w14:textId="74B62B0B" w:rsidR="00C00F64" w:rsidRPr="002573A7" w:rsidRDefault="00C00F64" w:rsidP="00E41083">
      <w:pPr>
        <w:spacing w:line="480" w:lineRule="auto"/>
        <w:contextualSpacing/>
        <w:rPr>
          <w:rFonts w:ascii="Times New Roman" w:hAnsi="Times New Roman" w:cs="Times New Roman"/>
          <w:b/>
        </w:rPr>
      </w:pPr>
      <w:r w:rsidRPr="002573A7">
        <w:rPr>
          <w:rFonts w:ascii="Times New Roman" w:hAnsi="Times New Roman" w:cs="Times New Roman"/>
          <w:b/>
        </w:rPr>
        <w:t>Information Sources and Search Strategy:</w:t>
      </w:r>
    </w:p>
    <w:p w14:paraId="56D4027B" w14:textId="0BB8ABAA" w:rsidR="00456473" w:rsidRDefault="00643D30" w:rsidP="00E41083">
      <w:pPr>
        <w:spacing w:line="480" w:lineRule="auto"/>
        <w:contextualSpacing/>
        <w:rPr>
          <w:rFonts w:ascii="Times New Roman" w:hAnsi="Times New Roman" w:cs="Times New Roman"/>
        </w:rPr>
      </w:pPr>
      <w:r>
        <w:rPr>
          <w:rFonts w:ascii="Times New Roman" w:hAnsi="Times New Roman" w:cs="Times New Roman"/>
        </w:rPr>
        <w:t>For the purposes of our scoping review, w</w:t>
      </w:r>
      <w:r w:rsidR="00FD6775">
        <w:rPr>
          <w:rFonts w:ascii="Times New Roman" w:hAnsi="Times New Roman" w:cs="Times New Roman"/>
        </w:rPr>
        <w:t>e will include</w:t>
      </w:r>
      <w:r w:rsidR="008139AF">
        <w:rPr>
          <w:rFonts w:ascii="Times New Roman" w:hAnsi="Times New Roman" w:cs="Times New Roman"/>
        </w:rPr>
        <w:t xml:space="preserve"> data from</w:t>
      </w:r>
      <w:r w:rsidR="00FD6775">
        <w:rPr>
          <w:rFonts w:ascii="Times New Roman" w:hAnsi="Times New Roman" w:cs="Times New Roman"/>
        </w:rPr>
        <w:t xml:space="preserve"> </w:t>
      </w:r>
      <w:r w:rsidR="00553E4D">
        <w:rPr>
          <w:rFonts w:ascii="Times New Roman" w:hAnsi="Times New Roman" w:cs="Times New Roman"/>
        </w:rPr>
        <w:t>primary research studies</w:t>
      </w:r>
      <w:r w:rsidR="00341DF2">
        <w:rPr>
          <w:rFonts w:ascii="Times New Roman" w:hAnsi="Times New Roman" w:cs="Times New Roman"/>
        </w:rPr>
        <w:t xml:space="preserve"> (with no limitation to study design)</w:t>
      </w:r>
      <w:r w:rsidR="00553E4D">
        <w:rPr>
          <w:rFonts w:ascii="Times New Roman" w:hAnsi="Times New Roman" w:cs="Times New Roman"/>
        </w:rPr>
        <w:t xml:space="preserve">, </w:t>
      </w:r>
      <w:r w:rsidR="00611207">
        <w:rPr>
          <w:rFonts w:ascii="Times New Roman" w:hAnsi="Times New Roman" w:cs="Times New Roman"/>
        </w:rPr>
        <w:t xml:space="preserve">previously published systematic reviews, meta-analysis, and guidelines </w:t>
      </w:r>
      <w:r>
        <w:rPr>
          <w:rFonts w:ascii="Times New Roman" w:hAnsi="Times New Roman" w:cs="Times New Roman"/>
        </w:rPr>
        <w:t>that pertain to the topic</w:t>
      </w:r>
      <w:r w:rsidR="008139AF">
        <w:rPr>
          <w:rFonts w:ascii="Times New Roman" w:hAnsi="Times New Roman" w:cs="Times New Roman"/>
        </w:rPr>
        <w:t>s</w:t>
      </w:r>
      <w:r>
        <w:rPr>
          <w:rFonts w:ascii="Times New Roman" w:hAnsi="Times New Roman" w:cs="Times New Roman"/>
        </w:rPr>
        <w:t xml:space="preserve"> of hematoma expansion and predictive scores. </w:t>
      </w:r>
      <w:r w:rsidR="00EB4E10" w:rsidRPr="00EB4E10">
        <w:rPr>
          <w:rFonts w:ascii="Times New Roman" w:hAnsi="Times New Roman" w:cs="Times New Roman"/>
        </w:rPr>
        <w:t>We will only include studies that are presented in the English language due to constraints in translational resources.</w:t>
      </w:r>
      <w:r w:rsidR="00CA64E3">
        <w:rPr>
          <w:rFonts w:ascii="Times New Roman" w:hAnsi="Times New Roman" w:cs="Times New Roman"/>
        </w:rPr>
        <w:t xml:space="preserve"> A</w:t>
      </w:r>
      <w:r w:rsidR="00CA64E3" w:rsidRPr="002573A7">
        <w:rPr>
          <w:rFonts w:ascii="Times New Roman" w:hAnsi="Times New Roman" w:cs="Times New Roman"/>
        </w:rPr>
        <w:t xml:space="preserve"> search strategy </w:t>
      </w:r>
      <w:r w:rsidR="00CA64E3">
        <w:rPr>
          <w:rFonts w:ascii="Times New Roman" w:hAnsi="Times New Roman" w:cs="Times New Roman"/>
        </w:rPr>
        <w:t xml:space="preserve">was developed </w:t>
      </w:r>
      <w:r w:rsidR="00CA64E3" w:rsidRPr="002573A7">
        <w:rPr>
          <w:rFonts w:ascii="Times New Roman" w:hAnsi="Times New Roman" w:cs="Times New Roman"/>
        </w:rPr>
        <w:t>(see appendix)</w:t>
      </w:r>
      <w:r w:rsidR="00CA64E3">
        <w:rPr>
          <w:rFonts w:ascii="Times New Roman" w:hAnsi="Times New Roman" w:cs="Times New Roman"/>
        </w:rPr>
        <w:t xml:space="preserve"> u</w:t>
      </w:r>
      <w:r w:rsidR="0009678E" w:rsidRPr="002573A7">
        <w:rPr>
          <w:rFonts w:ascii="Times New Roman" w:hAnsi="Times New Roman" w:cs="Times New Roman"/>
        </w:rPr>
        <w:t xml:space="preserve">sing keywords and </w:t>
      </w:r>
      <w:proofErr w:type="spellStart"/>
      <w:r w:rsidR="0009678E" w:rsidRPr="002573A7">
        <w:rPr>
          <w:rFonts w:ascii="Times New Roman" w:hAnsi="Times New Roman" w:cs="Times New Roman"/>
        </w:rPr>
        <w:t>MeSH</w:t>
      </w:r>
      <w:proofErr w:type="spellEnd"/>
      <w:r w:rsidR="0009678E" w:rsidRPr="002573A7">
        <w:rPr>
          <w:rFonts w:ascii="Times New Roman" w:hAnsi="Times New Roman" w:cs="Times New Roman"/>
        </w:rPr>
        <w:t xml:space="preserve"> terms relating to intracerebral hemorrhage and hematoma expansion</w:t>
      </w:r>
      <w:r w:rsidR="00CA64E3">
        <w:rPr>
          <w:rFonts w:ascii="Times New Roman" w:hAnsi="Times New Roman" w:cs="Times New Roman"/>
        </w:rPr>
        <w:t xml:space="preserve">. </w:t>
      </w:r>
      <w:r w:rsidR="00193280">
        <w:rPr>
          <w:rFonts w:ascii="Times New Roman" w:hAnsi="Times New Roman" w:cs="Times New Roman"/>
        </w:rPr>
        <w:t xml:space="preserve">This search strategy will be used on the </w:t>
      </w:r>
      <w:r w:rsidR="0009678E" w:rsidRPr="002573A7">
        <w:rPr>
          <w:rFonts w:ascii="Times New Roman" w:hAnsi="Times New Roman" w:cs="Times New Roman"/>
        </w:rPr>
        <w:t>following four</w:t>
      </w:r>
      <w:r w:rsidR="00424957" w:rsidRPr="002573A7">
        <w:rPr>
          <w:rFonts w:ascii="Times New Roman" w:hAnsi="Times New Roman" w:cs="Times New Roman"/>
        </w:rPr>
        <w:t xml:space="preserve"> databases</w:t>
      </w:r>
      <w:r w:rsidR="0009678E" w:rsidRPr="002573A7">
        <w:rPr>
          <w:rFonts w:ascii="Times New Roman" w:hAnsi="Times New Roman" w:cs="Times New Roman"/>
        </w:rPr>
        <w:t>: M</w:t>
      </w:r>
      <w:r w:rsidR="00424957" w:rsidRPr="002573A7">
        <w:rPr>
          <w:rFonts w:ascii="Times New Roman" w:hAnsi="Times New Roman" w:cs="Times New Roman"/>
        </w:rPr>
        <w:t>EDLINE</w:t>
      </w:r>
      <w:r w:rsidR="00722646">
        <w:rPr>
          <w:rFonts w:ascii="Times New Roman" w:hAnsi="Times New Roman" w:cs="Times New Roman"/>
        </w:rPr>
        <w:t xml:space="preserve"> (via Ovid)</w:t>
      </w:r>
      <w:r w:rsidR="00424957" w:rsidRPr="002573A7">
        <w:rPr>
          <w:rFonts w:ascii="Times New Roman" w:hAnsi="Times New Roman" w:cs="Times New Roman"/>
        </w:rPr>
        <w:t xml:space="preserve">, </w:t>
      </w:r>
      <w:proofErr w:type="spellStart"/>
      <w:r w:rsidR="00424957" w:rsidRPr="002573A7">
        <w:rPr>
          <w:rFonts w:ascii="Times New Roman" w:hAnsi="Times New Roman" w:cs="Times New Roman"/>
        </w:rPr>
        <w:t>Embase</w:t>
      </w:r>
      <w:proofErr w:type="spellEnd"/>
      <w:r w:rsidR="00722646">
        <w:rPr>
          <w:rFonts w:ascii="Times New Roman" w:hAnsi="Times New Roman" w:cs="Times New Roman"/>
        </w:rPr>
        <w:t xml:space="preserve"> (via Ovid)</w:t>
      </w:r>
      <w:r w:rsidR="00424957" w:rsidRPr="002573A7">
        <w:rPr>
          <w:rFonts w:ascii="Times New Roman" w:hAnsi="Times New Roman" w:cs="Times New Roman"/>
        </w:rPr>
        <w:t>, Pub</w:t>
      </w:r>
      <w:r w:rsidR="00722646">
        <w:rPr>
          <w:rFonts w:ascii="Times New Roman" w:hAnsi="Times New Roman" w:cs="Times New Roman"/>
        </w:rPr>
        <w:t>M</w:t>
      </w:r>
      <w:r w:rsidR="00424957" w:rsidRPr="002573A7">
        <w:rPr>
          <w:rFonts w:ascii="Times New Roman" w:hAnsi="Times New Roman" w:cs="Times New Roman"/>
        </w:rPr>
        <w:t xml:space="preserve">ed, </w:t>
      </w:r>
      <w:r w:rsidR="00722646">
        <w:rPr>
          <w:rFonts w:ascii="Times New Roman" w:hAnsi="Times New Roman" w:cs="Times New Roman"/>
        </w:rPr>
        <w:t xml:space="preserve">Cochrane </w:t>
      </w:r>
      <w:r w:rsidR="00424957" w:rsidRPr="002573A7">
        <w:rPr>
          <w:rFonts w:ascii="Times New Roman" w:hAnsi="Times New Roman" w:cs="Times New Roman"/>
        </w:rPr>
        <w:t>CENTRAL</w:t>
      </w:r>
      <w:r w:rsidR="00722646">
        <w:rPr>
          <w:rFonts w:ascii="Times New Roman" w:hAnsi="Times New Roman" w:cs="Times New Roman"/>
        </w:rPr>
        <w:t xml:space="preserve"> (via Ovid), from date of inception </w:t>
      </w:r>
      <w:r w:rsidR="001151D5" w:rsidRPr="002573A7">
        <w:rPr>
          <w:rFonts w:ascii="Times New Roman" w:hAnsi="Times New Roman" w:cs="Times New Roman"/>
        </w:rPr>
        <w:t xml:space="preserve">to </w:t>
      </w:r>
      <w:r w:rsidR="006F4811">
        <w:rPr>
          <w:rFonts w:ascii="Times New Roman" w:hAnsi="Times New Roman" w:cs="Times New Roman"/>
        </w:rPr>
        <w:t>June</w:t>
      </w:r>
      <w:r w:rsidR="001151D5" w:rsidRPr="002573A7">
        <w:rPr>
          <w:rFonts w:ascii="Times New Roman" w:hAnsi="Times New Roman" w:cs="Times New Roman"/>
        </w:rPr>
        <w:t xml:space="preserve"> 2018</w:t>
      </w:r>
      <w:r w:rsidR="00424957" w:rsidRPr="002573A7">
        <w:rPr>
          <w:rFonts w:ascii="Times New Roman" w:hAnsi="Times New Roman" w:cs="Times New Roman"/>
        </w:rPr>
        <w:t xml:space="preserve">. </w:t>
      </w:r>
      <w:r w:rsidR="00232651" w:rsidRPr="002573A7">
        <w:rPr>
          <w:rFonts w:ascii="Times New Roman" w:hAnsi="Times New Roman" w:cs="Times New Roman"/>
        </w:rPr>
        <w:t>Supplemental search</w:t>
      </w:r>
      <w:r w:rsidR="00D34B99">
        <w:rPr>
          <w:rFonts w:ascii="Times New Roman" w:hAnsi="Times New Roman" w:cs="Times New Roman"/>
        </w:rPr>
        <w:t>es</w:t>
      </w:r>
      <w:r w:rsidR="00456473" w:rsidRPr="002573A7">
        <w:rPr>
          <w:rFonts w:ascii="Times New Roman" w:hAnsi="Times New Roman" w:cs="Times New Roman"/>
        </w:rPr>
        <w:t xml:space="preserve"> will include scanning</w:t>
      </w:r>
      <w:r w:rsidR="00232651" w:rsidRPr="002573A7">
        <w:rPr>
          <w:rFonts w:ascii="Times New Roman" w:hAnsi="Times New Roman" w:cs="Times New Roman"/>
        </w:rPr>
        <w:t xml:space="preserve"> the reference list of included studies </w:t>
      </w:r>
      <w:r w:rsidR="003E62FC">
        <w:rPr>
          <w:rFonts w:ascii="Times New Roman" w:hAnsi="Times New Roman" w:cs="Times New Roman"/>
        </w:rPr>
        <w:t xml:space="preserve">and </w:t>
      </w:r>
      <w:r w:rsidR="00232651" w:rsidRPr="002573A7">
        <w:rPr>
          <w:rFonts w:ascii="Times New Roman" w:hAnsi="Times New Roman" w:cs="Times New Roman"/>
        </w:rPr>
        <w:t xml:space="preserve">reviews identified through </w:t>
      </w:r>
      <w:r w:rsidR="00705EAB">
        <w:rPr>
          <w:rFonts w:ascii="Times New Roman" w:hAnsi="Times New Roman" w:cs="Times New Roman"/>
        </w:rPr>
        <w:t>the primary</w:t>
      </w:r>
      <w:r w:rsidR="00232651" w:rsidRPr="002573A7">
        <w:rPr>
          <w:rFonts w:ascii="Times New Roman" w:hAnsi="Times New Roman" w:cs="Times New Roman"/>
        </w:rPr>
        <w:t xml:space="preserve"> search. Released abstracts from the last </w:t>
      </w:r>
      <w:r w:rsidR="00F66633">
        <w:rPr>
          <w:rFonts w:ascii="Times New Roman" w:hAnsi="Times New Roman" w:cs="Times New Roman"/>
        </w:rPr>
        <w:t>10</w:t>
      </w:r>
      <w:r w:rsidR="00232651" w:rsidRPr="002573A7">
        <w:rPr>
          <w:rFonts w:ascii="Times New Roman" w:hAnsi="Times New Roman" w:cs="Times New Roman"/>
        </w:rPr>
        <w:t xml:space="preserve"> years in the International Stroke </w:t>
      </w:r>
      <w:r w:rsidR="00232651" w:rsidRPr="002573A7">
        <w:rPr>
          <w:rFonts w:ascii="Times New Roman" w:hAnsi="Times New Roman" w:cs="Times New Roman"/>
        </w:rPr>
        <w:lastRenderedPageBreak/>
        <w:t>Conference</w:t>
      </w:r>
      <w:r w:rsidR="00AE3D3C">
        <w:rPr>
          <w:rFonts w:ascii="Times New Roman" w:hAnsi="Times New Roman" w:cs="Times New Roman"/>
        </w:rPr>
        <w:t>,</w:t>
      </w:r>
      <w:r w:rsidR="00232651" w:rsidRPr="002573A7">
        <w:rPr>
          <w:rFonts w:ascii="Times New Roman" w:hAnsi="Times New Roman" w:cs="Times New Roman"/>
        </w:rPr>
        <w:t xml:space="preserve"> European Stroke Organization Conference</w:t>
      </w:r>
      <w:r w:rsidR="00AE3D3C">
        <w:rPr>
          <w:rFonts w:ascii="Times New Roman" w:hAnsi="Times New Roman" w:cs="Times New Roman"/>
        </w:rPr>
        <w:t>, or American Academy of Neurology Annual Meeting</w:t>
      </w:r>
      <w:r w:rsidR="00232651" w:rsidRPr="002573A7">
        <w:rPr>
          <w:rFonts w:ascii="Times New Roman" w:hAnsi="Times New Roman" w:cs="Times New Roman"/>
        </w:rPr>
        <w:t xml:space="preserve"> </w:t>
      </w:r>
      <w:r w:rsidR="00AE3D3C">
        <w:rPr>
          <w:rFonts w:ascii="Times New Roman" w:hAnsi="Times New Roman" w:cs="Times New Roman"/>
        </w:rPr>
        <w:t>t</w:t>
      </w:r>
      <w:r w:rsidR="00232651" w:rsidRPr="002573A7">
        <w:rPr>
          <w:rFonts w:ascii="Times New Roman" w:hAnsi="Times New Roman" w:cs="Times New Roman"/>
        </w:rPr>
        <w:t xml:space="preserve">hat have not been published in full manuscript form will </w:t>
      </w:r>
      <w:r w:rsidR="00456473" w:rsidRPr="002573A7">
        <w:rPr>
          <w:rFonts w:ascii="Times New Roman" w:hAnsi="Times New Roman" w:cs="Times New Roman"/>
        </w:rPr>
        <w:t xml:space="preserve">also </w:t>
      </w:r>
      <w:r w:rsidR="00232651" w:rsidRPr="002573A7">
        <w:rPr>
          <w:rFonts w:ascii="Times New Roman" w:hAnsi="Times New Roman" w:cs="Times New Roman"/>
        </w:rPr>
        <w:t>be screened to ensure completeness.</w:t>
      </w:r>
      <w:r w:rsidR="00456473" w:rsidRPr="002573A7">
        <w:rPr>
          <w:rFonts w:ascii="Times New Roman" w:hAnsi="Times New Roman" w:cs="Times New Roman"/>
        </w:rPr>
        <w:t xml:space="preserve"> </w:t>
      </w:r>
      <w:r w:rsidR="00576A1E">
        <w:rPr>
          <w:rFonts w:ascii="Times New Roman" w:hAnsi="Times New Roman" w:cs="Times New Roman"/>
        </w:rPr>
        <w:t xml:space="preserve">Study authors will be contacted for further information as required. </w:t>
      </w:r>
    </w:p>
    <w:p w14:paraId="73CE9A4F" w14:textId="77777777" w:rsidR="00D505EE" w:rsidRPr="002573A7" w:rsidRDefault="00D505EE" w:rsidP="00E41083">
      <w:pPr>
        <w:spacing w:line="480" w:lineRule="auto"/>
        <w:contextualSpacing/>
        <w:rPr>
          <w:rFonts w:ascii="Times New Roman" w:hAnsi="Times New Roman" w:cs="Times New Roman"/>
        </w:rPr>
      </w:pPr>
    </w:p>
    <w:p w14:paraId="2FB464DF" w14:textId="63532388" w:rsidR="001F707F" w:rsidRPr="002573A7" w:rsidRDefault="001F707F" w:rsidP="001F707F">
      <w:pPr>
        <w:spacing w:line="480" w:lineRule="auto"/>
        <w:contextualSpacing/>
        <w:rPr>
          <w:rFonts w:ascii="Times New Roman" w:hAnsi="Times New Roman" w:cs="Times New Roman"/>
        </w:rPr>
      </w:pPr>
      <w:r w:rsidRPr="002573A7">
        <w:rPr>
          <w:rFonts w:ascii="Times New Roman" w:hAnsi="Times New Roman" w:cs="Times New Roman"/>
          <w:b/>
        </w:rPr>
        <w:t>Study Records</w:t>
      </w:r>
      <w:r w:rsidRPr="002573A7">
        <w:rPr>
          <w:rFonts w:ascii="Times New Roman" w:hAnsi="Times New Roman" w:cs="Times New Roman"/>
        </w:rPr>
        <w:t>:</w:t>
      </w:r>
    </w:p>
    <w:p w14:paraId="368E8093" w14:textId="77777777" w:rsidR="001F707F" w:rsidRPr="002573A7" w:rsidRDefault="001F707F" w:rsidP="001F707F">
      <w:pPr>
        <w:spacing w:line="480" w:lineRule="auto"/>
        <w:contextualSpacing/>
        <w:rPr>
          <w:rFonts w:ascii="Times New Roman" w:hAnsi="Times New Roman" w:cs="Times New Roman"/>
        </w:rPr>
      </w:pPr>
      <w:r w:rsidRPr="002573A7">
        <w:rPr>
          <w:rFonts w:ascii="Times New Roman" w:hAnsi="Times New Roman" w:cs="Times New Roman"/>
        </w:rPr>
        <w:t>Data Management:</w:t>
      </w:r>
    </w:p>
    <w:p w14:paraId="13E75EC6" w14:textId="18CE5DCA" w:rsidR="001F707F" w:rsidRDefault="001F707F" w:rsidP="001F707F">
      <w:pPr>
        <w:spacing w:line="480" w:lineRule="auto"/>
        <w:contextualSpacing/>
        <w:rPr>
          <w:rFonts w:ascii="Times New Roman" w:hAnsi="Times New Roman" w:cs="Times New Roman"/>
        </w:rPr>
      </w:pPr>
      <w:r w:rsidRPr="002573A7">
        <w:rPr>
          <w:rFonts w:ascii="Times New Roman" w:hAnsi="Times New Roman" w:cs="Times New Roman"/>
        </w:rPr>
        <w:t xml:space="preserve">Database search results will be downloaded and imported to EndNote Reference Manager Software (Clarivate Analytics, Philadelphia, PA, USA) and then transferred to </w:t>
      </w:r>
      <w:proofErr w:type="spellStart"/>
      <w:r w:rsidR="00E7592E" w:rsidRPr="002573A7">
        <w:rPr>
          <w:rFonts w:ascii="Times New Roman" w:hAnsi="Times New Roman" w:cs="Times New Roman"/>
        </w:rPr>
        <w:t>Covidence</w:t>
      </w:r>
      <w:proofErr w:type="spellEnd"/>
      <w:r w:rsidRPr="002573A7">
        <w:rPr>
          <w:rFonts w:ascii="Times New Roman" w:hAnsi="Times New Roman" w:cs="Times New Roman"/>
        </w:rPr>
        <w:t xml:space="preserve"> Systematic Review Software (</w:t>
      </w:r>
      <w:proofErr w:type="spellStart"/>
      <w:r w:rsidR="000E638D" w:rsidRPr="002573A7">
        <w:rPr>
          <w:rFonts w:ascii="Times New Roman" w:hAnsi="Times New Roman" w:cs="Times New Roman"/>
        </w:rPr>
        <w:t>Covidence</w:t>
      </w:r>
      <w:proofErr w:type="spellEnd"/>
      <w:r w:rsidRPr="002573A7">
        <w:rPr>
          <w:rFonts w:ascii="Times New Roman" w:hAnsi="Times New Roman" w:cs="Times New Roman"/>
        </w:rPr>
        <w:t xml:space="preserve">, </w:t>
      </w:r>
      <w:r w:rsidR="000E638D" w:rsidRPr="002573A7">
        <w:rPr>
          <w:rFonts w:ascii="Times New Roman" w:hAnsi="Times New Roman" w:cs="Times New Roman"/>
        </w:rPr>
        <w:t>Melbourne, VIC,</w:t>
      </w:r>
      <w:r w:rsidRPr="002573A7">
        <w:rPr>
          <w:rFonts w:ascii="Times New Roman" w:hAnsi="Times New Roman" w:cs="Times New Roman"/>
        </w:rPr>
        <w:t xml:space="preserve"> </w:t>
      </w:r>
      <w:r w:rsidR="000E638D" w:rsidRPr="002573A7">
        <w:rPr>
          <w:rFonts w:ascii="Times New Roman" w:hAnsi="Times New Roman" w:cs="Times New Roman"/>
        </w:rPr>
        <w:t>Australia</w:t>
      </w:r>
      <w:r w:rsidRPr="002573A7">
        <w:rPr>
          <w:rFonts w:ascii="Times New Roman" w:hAnsi="Times New Roman" w:cs="Times New Roman"/>
        </w:rPr>
        <w:t>). After removal of duplicate results, citation titles and abstracts will be screened.</w:t>
      </w:r>
    </w:p>
    <w:p w14:paraId="5C3FDBF1" w14:textId="77777777" w:rsidR="005A3891" w:rsidRDefault="005A3891" w:rsidP="00915CE0">
      <w:pPr>
        <w:spacing w:line="480" w:lineRule="auto"/>
        <w:contextualSpacing/>
        <w:rPr>
          <w:rFonts w:ascii="Times New Roman" w:hAnsi="Times New Roman" w:cs="Times New Roman"/>
        </w:rPr>
      </w:pPr>
    </w:p>
    <w:p w14:paraId="738BACBD" w14:textId="010C9F17" w:rsidR="00915CE0" w:rsidRPr="002573A7" w:rsidRDefault="00915CE0" w:rsidP="00915CE0">
      <w:pPr>
        <w:spacing w:line="480" w:lineRule="auto"/>
        <w:contextualSpacing/>
        <w:rPr>
          <w:rFonts w:ascii="Times New Roman" w:hAnsi="Times New Roman" w:cs="Times New Roman"/>
        </w:rPr>
      </w:pPr>
      <w:r w:rsidRPr="002573A7">
        <w:rPr>
          <w:rFonts w:ascii="Times New Roman" w:hAnsi="Times New Roman" w:cs="Times New Roman"/>
        </w:rPr>
        <w:t>Selection Process:</w:t>
      </w:r>
    </w:p>
    <w:p w14:paraId="3846A3BB" w14:textId="0BD64AA1" w:rsidR="00915CE0" w:rsidRPr="002573A7" w:rsidRDefault="00796F7E" w:rsidP="00915CE0">
      <w:pPr>
        <w:spacing w:line="480" w:lineRule="auto"/>
        <w:contextualSpacing/>
        <w:rPr>
          <w:rFonts w:ascii="Times New Roman" w:hAnsi="Times New Roman" w:cs="Times New Roman"/>
        </w:rPr>
      </w:pPr>
      <w:r>
        <w:rPr>
          <w:rFonts w:ascii="Times New Roman" w:hAnsi="Times New Roman" w:cs="Times New Roman"/>
        </w:rPr>
        <w:t>At least two r</w:t>
      </w:r>
      <w:r w:rsidR="00915CE0" w:rsidRPr="002573A7">
        <w:rPr>
          <w:rFonts w:ascii="Times New Roman" w:hAnsi="Times New Roman" w:cs="Times New Roman"/>
        </w:rPr>
        <w:t xml:space="preserve">eviewers will independently screen articles in a two-level process. Level one will involve a title and abstract screening for potentially eligible studies. Studies that score a “Yes” or “Unsure” in this phase will be brought forward for full-text (level two) evaluation. Full-text screening will use a pre-created article screening form. In the event of a disagreement between the two authors in either stage, a </w:t>
      </w:r>
      <w:proofErr w:type="gramStart"/>
      <w:r w:rsidR="00915CE0" w:rsidRPr="002573A7">
        <w:rPr>
          <w:rFonts w:ascii="Times New Roman" w:hAnsi="Times New Roman" w:cs="Times New Roman"/>
        </w:rPr>
        <w:t>third party</w:t>
      </w:r>
      <w:proofErr w:type="gramEnd"/>
      <w:r w:rsidR="00915CE0" w:rsidRPr="002573A7">
        <w:rPr>
          <w:rFonts w:ascii="Times New Roman" w:hAnsi="Times New Roman" w:cs="Times New Roman"/>
        </w:rPr>
        <w:t xml:space="preserve"> </w:t>
      </w:r>
      <w:r>
        <w:rPr>
          <w:rFonts w:ascii="Times New Roman" w:hAnsi="Times New Roman" w:cs="Times New Roman"/>
        </w:rPr>
        <w:t xml:space="preserve">neurologist </w:t>
      </w:r>
      <w:r w:rsidR="00915CE0" w:rsidRPr="002573A7">
        <w:rPr>
          <w:rFonts w:ascii="Times New Roman" w:hAnsi="Times New Roman" w:cs="Times New Roman"/>
        </w:rPr>
        <w:t>will adjudicate. The process of study selection will be described using a PRISMA flow diagram.</w:t>
      </w:r>
    </w:p>
    <w:p w14:paraId="75B55CC6" w14:textId="4AED3CBC" w:rsidR="00915CE0" w:rsidRDefault="00915CE0" w:rsidP="00915CE0">
      <w:pPr>
        <w:spacing w:line="480" w:lineRule="auto"/>
        <w:contextualSpacing/>
        <w:rPr>
          <w:rFonts w:ascii="Times New Roman" w:hAnsi="Times New Roman" w:cs="Times New Roman"/>
        </w:rPr>
      </w:pPr>
    </w:p>
    <w:p w14:paraId="5052F905" w14:textId="2F8A7E62" w:rsidR="003C672F" w:rsidRPr="005020AB" w:rsidRDefault="003C672F" w:rsidP="003C672F">
      <w:pPr>
        <w:spacing w:line="480" w:lineRule="auto"/>
        <w:contextualSpacing/>
        <w:rPr>
          <w:rFonts w:ascii="Times New Roman" w:hAnsi="Times New Roman" w:cs="Times New Roman"/>
        </w:rPr>
      </w:pPr>
      <w:r w:rsidRPr="005020AB">
        <w:rPr>
          <w:rFonts w:ascii="Times New Roman" w:hAnsi="Times New Roman" w:cs="Times New Roman"/>
        </w:rPr>
        <w:t xml:space="preserve">Data </w:t>
      </w:r>
      <w:r w:rsidR="008A7660">
        <w:rPr>
          <w:rFonts w:ascii="Times New Roman" w:hAnsi="Times New Roman" w:cs="Times New Roman"/>
        </w:rPr>
        <w:t>Extraction</w:t>
      </w:r>
      <w:r w:rsidRPr="005020AB">
        <w:rPr>
          <w:rFonts w:ascii="Times New Roman" w:hAnsi="Times New Roman" w:cs="Times New Roman"/>
        </w:rPr>
        <w:t xml:space="preserve"> Process</w:t>
      </w:r>
      <w:r w:rsidR="007A0F51">
        <w:rPr>
          <w:rFonts w:ascii="Times New Roman" w:hAnsi="Times New Roman" w:cs="Times New Roman"/>
        </w:rPr>
        <w:t xml:space="preserve"> and Summarization of Results</w:t>
      </w:r>
      <w:r w:rsidRPr="005020AB">
        <w:rPr>
          <w:rFonts w:ascii="Times New Roman" w:hAnsi="Times New Roman" w:cs="Times New Roman"/>
        </w:rPr>
        <w:t>:</w:t>
      </w:r>
    </w:p>
    <w:p w14:paraId="0A3FE579" w14:textId="7E2887BA" w:rsidR="003C672F" w:rsidRDefault="003C672F" w:rsidP="003C672F">
      <w:pPr>
        <w:spacing w:line="480" w:lineRule="auto"/>
        <w:contextualSpacing/>
        <w:rPr>
          <w:rFonts w:ascii="Times New Roman" w:hAnsi="Times New Roman" w:cs="Times New Roman"/>
        </w:rPr>
      </w:pPr>
      <w:r>
        <w:rPr>
          <w:rFonts w:ascii="Times New Roman" w:hAnsi="Times New Roman" w:cs="Times New Roman"/>
        </w:rPr>
        <w:t>R</w:t>
      </w:r>
      <w:r w:rsidRPr="005020AB">
        <w:rPr>
          <w:rFonts w:ascii="Times New Roman" w:hAnsi="Times New Roman" w:cs="Times New Roman"/>
        </w:rPr>
        <w:t>eviewers will independently extract data from the included studies</w:t>
      </w:r>
      <w:r>
        <w:rPr>
          <w:rFonts w:ascii="Times New Roman" w:hAnsi="Times New Roman" w:cs="Times New Roman"/>
        </w:rPr>
        <w:t xml:space="preserve"> using an a priori</w:t>
      </w:r>
      <w:r w:rsidRPr="005020AB">
        <w:rPr>
          <w:rFonts w:ascii="Times New Roman" w:hAnsi="Times New Roman" w:cs="Times New Roman"/>
        </w:rPr>
        <w:t xml:space="preserve"> </w:t>
      </w:r>
      <w:r>
        <w:rPr>
          <w:rFonts w:ascii="Times New Roman" w:hAnsi="Times New Roman" w:cs="Times New Roman"/>
        </w:rPr>
        <w:t xml:space="preserve">designed </w:t>
      </w:r>
      <w:r w:rsidRPr="005020AB">
        <w:rPr>
          <w:rFonts w:ascii="Times New Roman" w:hAnsi="Times New Roman" w:cs="Times New Roman"/>
        </w:rPr>
        <w:t xml:space="preserve">data extraction form. </w:t>
      </w:r>
      <w:r w:rsidR="00761F13">
        <w:rPr>
          <w:rFonts w:ascii="Times New Roman" w:hAnsi="Times New Roman" w:cs="Times New Roman"/>
        </w:rPr>
        <w:t xml:space="preserve">We will collect basic publication </w:t>
      </w:r>
      <w:r w:rsidR="008B3693">
        <w:rPr>
          <w:rFonts w:ascii="Times New Roman" w:hAnsi="Times New Roman" w:cs="Times New Roman"/>
        </w:rPr>
        <w:t>data</w:t>
      </w:r>
      <w:r w:rsidR="00761F13">
        <w:rPr>
          <w:rFonts w:ascii="Times New Roman" w:hAnsi="Times New Roman" w:cs="Times New Roman"/>
        </w:rPr>
        <w:t xml:space="preserve"> (e.g. year and journal of publication, authorship list, funding), study population</w:t>
      </w:r>
      <w:r w:rsidR="003C4B38">
        <w:rPr>
          <w:rFonts w:ascii="Times New Roman" w:hAnsi="Times New Roman" w:cs="Times New Roman"/>
        </w:rPr>
        <w:t xml:space="preserve"> information</w:t>
      </w:r>
      <w:r w:rsidR="00761F13">
        <w:rPr>
          <w:rFonts w:ascii="Times New Roman" w:hAnsi="Times New Roman" w:cs="Times New Roman"/>
        </w:rPr>
        <w:t xml:space="preserve"> (demographic and medical history measures), </w:t>
      </w:r>
      <w:r w:rsidR="003F2E47">
        <w:rPr>
          <w:rFonts w:ascii="Times New Roman" w:hAnsi="Times New Roman" w:cs="Times New Roman"/>
        </w:rPr>
        <w:t xml:space="preserve">details on </w:t>
      </w:r>
      <w:r w:rsidR="00814064">
        <w:rPr>
          <w:rFonts w:ascii="Times New Roman" w:hAnsi="Times New Roman" w:cs="Times New Roman"/>
        </w:rPr>
        <w:t>score development</w:t>
      </w:r>
      <w:r w:rsidR="00761F13">
        <w:rPr>
          <w:rFonts w:ascii="Times New Roman" w:hAnsi="Times New Roman" w:cs="Times New Roman"/>
        </w:rPr>
        <w:t xml:space="preserve"> (</w:t>
      </w:r>
      <w:r w:rsidR="00FE3E89">
        <w:rPr>
          <w:rFonts w:ascii="Times New Roman" w:hAnsi="Times New Roman" w:cs="Times New Roman"/>
        </w:rPr>
        <w:t>variables</w:t>
      </w:r>
      <w:r w:rsidR="00F95602">
        <w:rPr>
          <w:rFonts w:ascii="Times New Roman" w:hAnsi="Times New Roman" w:cs="Times New Roman"/>
        </w:rPr>
        <w:t xml:space="preserve"> involved</w:t>
      </w:r>
      <w:r w:rsidR="005D6E4F">
        <w:rPr>
          <w:rFonts w:ascii="Times New Roman" w:hAnsi="Times New Roman" w:cs="Times New Roman"/>
        </w:rPr>
        <w:t xml:space="preserve">, development </w:t>
      </w:r>
      <w:r w:rsidR="00F95602">
        <w:rPr>
          <w:rFonts w:ascii="Times New Roman" w:hAnsi="Times New Roman" w:cs="Times New Roman"/>
        </w:rPr>
        <w:t xml:space="preserve">or validation </w:t>
      </w:r>
      <w:r w:rsidR="005D6E4F">
        <w:rPr>
          <w:rFonts w:ascii="Times New Roman" w:hAnsi="Times New Roman" w:cs="Times New Roman"/>
        </w:rPr>
        <w:t>method</w:t>
      </w:r>
      <w:r w:rsidR="00F95602">
        <w:rPr>
          <w:rFonts w:ascii="Times New Roman" w:hAnsi="Times New Roman" w:cs="Times New Roman"/>
        </w:rPr>
        <w:t>ology</w:t>
      </w:r>
      <w:r w:rsidR="00761F13">
        <w:rPr>
          <w:rFonts w:ascii="Times New Roman" w:hAnsi="Times New Roman" w:cs="Times New Roman"/>
        </w:rPr>
        <w:t xml:space="preserve">), </w:t>
      </w:r>
      <w:r w:rsidR="00EE16AF">
        <w:rPr>
          <w:rFonts w:ascii="Times New Roman" w:hAnsi="Times New Roman" w:cs="Times New Roman"/>
        </w:rPr>
        <w:t xml:space="preserve">definition of hematoma expansion used, </w:t>
      </w:r>
      <w:r w:rsidR="00FB5F23">
        <w:rPr>
          <w:rFonts w:ascii="Times New Roman" w:hAnsi="Times New Roman" w:cs="Times New Roman"/>
        </w:rPr>
        <w:t xml:space="preserve">and markers of </w:t>
      </w:r>
      <w:r w:rsidR="005D6E4F">
        <w:rPr>
          <w:rFonts w:ascii="Times New Roman" w:hAnsi="Times New Roman" w:cs="Times New Roman"/>
        </w:rPr>
        <w:t xml:space="preserve">diagnostic </w:t>
      </w:r>
      <w:r w:rsidR="00FB5F23">
        <w:rPr>
          <w:rFonts w:ascii="Times New Roman" w:hAnsi="Times New Roman" w:cs="Times New Roman"/>
        </w:rPr>
        <w:t>accuracy</w:t>
      </w:r>
      <w:r w:rsidR="00761F13">
        <w:rPr>
          <w:rFonts w:ascii="Times New Roman" w:hAnsi="Times New Roman" w:cs="Times New Roman"/>
        </w:rPr>
        <w:t xml:space="preserve"> (</w:t>
      </w:r>
      <w:r w:rsidR="005D6E4F">
        <w:rPr>
          <w:rFonts w:ascii="Times New Roman" w:hAnsi="Times New Roman" w:cs="Times New Roman"/>
        </w:rPr>
        <w:t xml:space="preserve">c-statistic, </w:t>
      </w:r>
      <w:r w:rsidR="009A4286">
        <w:rPr>
          <w:rFonts w:ascii="Times New Roman" w:hAnsi="Times New Roman" w:cs="Times New Roman"/>
        </w:rPr>
        <w:t xml:space="preserve">calibration, </w:t>
      </w:r>
      <w:r w:rsidR="005D6E4F">
        <w:rPr>
          <w:rFonts w:ascii="Times New Roman" w:hAnsi="Times New Roman" w:cs="Times New Roman"/>
        </w:rPr>
        <w:t>sensitivity/specificity/positive and negative predictive values</w:t>
      </w:r>
      <w:r w:rsidR="009A4286">
        <w:rPr>
          <w:rFonts w:ascii="Times New Roman" w:hAnsi="Times New Roman" w:cs="Times New Roman"/>
        </w:rPr>
        <w:t>)</w:t>
      </w:r>
      <w:r w:rsidR="00761F13">
        <w:rPr>
          <w:rFonts w:ascii="Times New Roman" w:hAnsi="Times New Roman" w:cs="Times New Roman"/>
        </w:rPr>
        <w:t>.</w:t>
      </w:r>
      <w:r w:rsidR="007A0F51">
        <w:rPr>
          <w:rFonts w:ascii="Times New Roman" w:hAnsi="Times New Roman" w:cs="Times New Roman"/>
        </w:rPr>
        <w:t xml:space="preserve"> </w:t>
      </w:r>
      <w:r w:rsidR="00477D4A">
        <w:rPr>
          <w:rFonts w:ascii="Times New Roman" w:hAnsi="Times New Roman" w:cs="Times New Roman"/>
        </w:rPr>
        <w:t xml:space="preserve">The basic </w:t>
      </w:r>
      <w:r w:rsidR="00F820C6">
        <w:rPr>
          <w:rFonts w:ascii="Times New Roman" w:hAnsi="Times New Roman" w:cs="Times New Roman"/>
        </w:rPr>
        <w:t xml:space="preserve">make-up </w:t>
      </w:r>
      <w:r w:rsidR="00477D4A">
        <w:rPr>
          <w:rFonts w:ascii="Times New Roman" w:hAnsi="Times New Roman" w:cs="Times New Roman"/>
        </w:rPr>
        <w:t>of each</w:t>
      </w:r>
      <w:r w:rsidR="007129CE">
        <w:rPr>
          <w:rFonts w:ascii="Times New Roman" w:hAnsi="Times New Roman" w:cs="Times New Roman"/>
        </w:rPr>
        <w:t xml:space="preserve"> score will be compared side-to-side in </w:t>
      </w:r>
      <w:r w:rsidR="00477D4A">
        <w:rPr>
          <w:rFonts w:ascii="Times New Roman" w:hAnsi="Times New Roman" w:cs="Times New Roman"/>
        </w:rPr>
        <w:t xml:space="preserve">a </w:t>
      </w:r>
      <w:r w:rsidR="007129CE">
        <w:rPr>
          <w:rFonts w:ascii="Times New Roman" w:hAnsi="Times New Roman" w:cs="Times New Roman"/>
        </w:rPr>
        <w:lastRenderedPageBreak/>
        <w:t xml:space="preserve">tabular format. The underlying </w:t>
      </w:r>
      <w:r w:rsidR="00D262E2">
        <w:rPr>
          <w:rFonts w:ascii="Times New Roman" w:hAnsi="Times New Roman" w:cs="Times New Roman"/>
        </w:rPr>
        <w:t>methodology</w:t>
      </w:r>
      <w:r w:rsidR="00477D4A">
        <w:rPr>
          <w:rFonts w:ascii="Times New Roman" w:hAnsi="Times New Roman" w:cs="Times New Roman"/>
        </w:rPr>
        <w:t xml:space="preserve"> used to develop each score will be </w:t>
      </w:r>
      <w:r w:rsidR="005A2EAC">
        <w:rPr>
          <w:rFonts w:ascii="Times New Roman" w:hAnsi="Times New Roman" w:cs="Times New Roman"/>
        </w:rPr>
        <w:t xml:space="preserve">described descriptively. </w:t>
      </w:r>
      <w:r w:rsidR="00673621">
        <w:rPr>
          <w:rFonts w:ascii="Times New Roman" w:hAnsi="Times New Roman" w:cs="Times New Roman"/>
        </w:rPr>
        <w:t>Study authors will be contacted for further information on score development if deemed necessary.</w:t>
      </w:r>
      <w:r w:rsidR="000D3B6E">
        <w:rPr>
          <w:rFonts w:ascii="Times New Roman" w:hAnsi="Times New Roman" w:cs="Times New Roman"/>
        </w:rPr>
        <w:t xml:space="preserve"> </w:t>
      </w:r>
    </w:p>
    <w:p w14:paraId="77F3FF78" w14:textId="77777777" w:rsidR="003C672F" w:rsidRPr="002573A7" w:rsidRDefault="003C672F" w:rsidP="003C672F">
      <w:pPr>
        <w:spacing w:line="480" w:lineRule="auto"/>
        <w:contextualSpacing/>
        <w:rPr>
          <w:rFonts w:ascii="Times New Roman" w:hAnsi="Times New Roman" w:cs="Times New Roman"/>
        </w:rPr>
      </w:pPr>
    </w:p>
    <w:p w14:paraId="07290F2A" w14:textId="70C78162" w:rsidR="00424957" w:rsidRDefault="002C29E7" w:rsidP="00E41083">
      <w:pPr>
        <w:spacing w:line="480" w:lineRule="auto"/>
        <w:contextualSpacing/>
        <w:rPr>
          <w:rFonts w:ascii="Times New Roman" w:hAnsi="Times New Roman" w:cs="Times New Roman"/>
        </w:rPr>
      </w:pPr>
      <w:r>
        <w:rPr>
          <w:rFonts w:ascii="Times New Roman" w:hAnsi="Times New Roman" w:cs="Times New Roman"/>
        </w:rPr>
        <w:t>The a</w:t>
      </w:r>
      <w:r w:rsidR="00424957" w:rsidRPr="002573A7">
        <w:rPr>
          <w:rFonts w:ascii="Times New Roman" w:hAnsi="Times New Roman" w:cs="Times New Roman"/>
        </w:rPr>
        <w:t>nalysis of</w:t>
      </w:r>
      <w:r>
        <w:rPr>
          <w:rFonts w:ascii="Times New Roman" w:hAnsi="Times New Roman" w:cs="Times New Roman"/>
        </w:rPr>
        <w:t xml:space="preserve"> diagnostic summary markers </w:t>
      </w:r>
      <w:r w:rsidR="00975C2E">
        <w:rPr>
          <w:rFonts w:ascii="Times New Roman" w:hAnsi="Times New Roman" w:cs="Times New Roman"/>
        </w:rPr>
        <w:t xml:space="preserve">will ultimately be dependent on the data we are able to </w:t>
      </w:r>
      <w:r w:rsidR="00424957" w:rsidRPr="002573A7">
        <w:rPr>
          <w:rFonts w:ascii="Times New Roman" w:hAnsi="Times New Roman" w:cs="Times New Roman"/>
        </w:rPr>
        <w:t>extract</w:t>
      </w:r>
      <w:r w:rsidR="00975C2E">
        <w:rPr>
          <w:rFonts w:ascii="Times New Roman" w:hAnsi="Times New Roman" w:cs="Times New Roman"/>
        </w:rPr>
        <w:t xml:space="preserve"> from each study.</w:t>
      </w:r>
      <w:r w:rsidR="00424957" w:rsidRPr="002573A7">
        <w:rPr>
          <w:rFonts w:ascii="Times New Roman" w:hAnsi="Times New Roman" w:cs="Times New Roman"/>
        </w:rPr>
        <w:t xml:space="preserve"> </w:t>
      </w:r>
      <w:r w:rsidR="00975C2E">
        <w:rPr>
          <w:rFonts w:ascii="Times New Roman" w:hAnsi="Times New Roman" w:cs="Times New Roman"/>
        </w:rPr>
        <w:t xml:space="preserve">If possible, we aim to </w:t>
      </w:r>
      <w:r w:rsidR="00E63C0C">
        <w:rPr>
          <w:rFonts w:ascii="Times New Roman" w:hAnsi="Times New Roman" w:cs="Times New Roman"/>
        </w:rPr>
        <w:t xml:space="preserve">compare the accuracy of each score </w:t>
      </w:r>
      <w:r w:rsidR="00323EA4">
        <w:rPr>
          <w:rFonts w:ascii="Times New Roman" w:hAnsi="Times New Roman" w:cs="Times New Roman"/>
        </w:rPr>
        <w:t xml:space="preserve">through </w:t>
      </w:r>
      <w:r w:rsidR="002C6E55">
        <w:rPr>
          <w:rFonts w:ascii="Times New Roman" w:hAnsi="Times New Roman" w:cs="Times New Roman"/>
        </w:rPr>
        <w:t xml:space="preserve">multiple </w:t>
      </w:r>
      <w:r w:rsidR="009775F3">
        <w:rPr>
          <w:rFonts w:ascii="Times New Roman" w:hAnsi="Times New Roman" w:cs="Times New Roman"/>
        </w:rPr>
        <w:t>pairwise comparisons</w:t>
      </w:r>
      <w:r w:rsidR="00E63C0C">
        <w:rPr>
          <w:rFonts w:ascii="Times New Roman" w:hAnsi="Times New Roman" w:cs="Times New Roman"/>
        </w:rPr>
        <w:t>.</w:t>
      </w:r>
      <w:r w:rsidR="00CF1A0B">
        <w:rPr>
          <w:rFonts w:ascii="Times New Roman" w:hAnsi="Times New Roman" w:cs="Times New Roman"/>
        </w:rPr>
        <w:t xml:space="preserve"> </w:t>
      </w:r>
      <w:r w:rsidR="00BC3A52">
        <w:rPr>
          <w:rFonts w:ascii="Times New Roman" w:hAnsi="Times New Roman" w:cs="Times New Roman"/>
        </w:rPr>
        <w:t xml:space="preserve">Because each score </w:t>
      </w:r>
      <w:r w:rsidR="00A77B5D">
        <w:rPr>
          <w:rFonts w:ascii="Times New Roman" w:hAnsi="Times New Roman" w:cs="Times New Roman"/>
        </w:rPr>
        <w:t xml:space="preserve">is reported on a </w:t>
      </w:r>
      <w:r w:rsidR="00FE0B8B">
        <w:rPr>
          <w:rFonts w:ascii="Times New Roman" w:hAnsi="Times New Roman" w:cs="Times New Roman"/>
        </w:rPr>
        <w:t>continuous scale</w:t>
      </w:r>
      <w:r w:rsidR="00AB46D8">
        <w:rPr>
          <w:rFonts w:ascii="Times New Roman" w:hAnsi="Times New Roman" w:cs="Times New Roman"/>
        </w:rPr>
        <w:t xml:space="preserve">, </w:t>
      </w:r>
      <w:r w:rsidR="00FE0B8B">
        <w:rPr>
          <w:rFonts w:ascii="Times New Roman" w:hAnsi="Times New Roman" w:cs="Times New Roman"/>
        </w:rPr>
        <w:t xml:space="preserve">multiple positivity thresholds may exist. </w:t>
      </w:r>
      <w:r w:rsidR="003A2A62">
        <w:rPr>
          <w:rFonts w:ascii="Times New Roman" w:hAnsi="Times New Roman" w:cs="Times New Roman"/>
        </w:rPr>
        <w:t xml:space="preserve">In this case we </w:t>
      </w:r>
      <w:r w:rsidR="00C6774D">
        <w:rPr>
          <w:rFonts w:ascii="Times New Roman" w:hAnsi="Times New Roman" w:cs="Times New Roman"/>
        </w:rPr>
        <w:t xml:space="preserve">would aim to make comparisons based on summary ROC curves. </w:t>
      </w:r>
      <w:r w:rsidR="008A31E8">
        <w:rPr>
          <w:rFonts w:ascii="Times New Roman" w:hAnsi="Times New Roman" w:cs="Times New Roman"/>
        </w:rPr>
        <w:t xml:space="preserve">Due to the potential concern of data paucity, we </w:t>
      </w:r>
      <w:r w:rsidR="00E8328B">
        <w:rPr>
          <w:rFonts w:ascii="Times New Roman" w:hAnsi="Times New Roman" w:cs="Times New Roman"/>
        </w:rPr>
        <w:t>plan to utilize test accuracy data from all eligible studies that have evaluated one or more of these scores</w:t>
      </w:r>
      <w:r w:rsidR="0002346F">
        <w:rPr>
          <w:rFonts w:ascii="Times New Roman" w:hAnsi="Times New Roman" w:cs="Times New Roman"/>
        </w:rPr>
        <w:t xml:space="preserve"> and will include data from both derivation and validation cohorts</w:t>
      </w:r>
      <w:r w:rsidR="001702C7">
        <w:rPr>
          <w:rFonts w:ascii="Times New Roman" w:hAnsi="Times New Roman" w:cs="Times New Roman"/>
        </w:rPr>
        <w:t>.</w:t>
      </w:r>
      <w:r w:rsidR="004C7ED3">
        <w:rPr>
          <w:rFonts w:ascii="Times New Roman" w:hAnsi="Times New Roman" w:cs="Times New Roman"/>
        </w:rPr>
        <w:t xml:space="preserve"> If possible data from validation cohorts will be examined separately </w:t>
      </w:r>
      <w:r w:rsidR="00425A03">
        <w:rPr>
          <w:rFonts w:ascii="Times New Roman" w:hAnsi="Times New Roman" w:cs="Times New Roman"/>
        </w:rPr>
        <w:t>in a sensitivity analysis.</w:t>
      </w:r>
      <w:r w:rsidR="001702C7">
        <w:rPr>
          <w:rFonts w:ascii="Times New Roman" w:hAnsi="Times New Roman" w:cs="Times New Roman"/>
        </w:rPr>
        <w:t xml:space="preserve"> </w:t>
      </w:r>
      <w:r w:rsidR="001F5025">
        <w:rPr>
          <w:rFonts w:ascii="Times New Roman" w:hAnsi="Times New Roman" w:cs="Times New Roman"/>
        </w:rPr>
        <w:t xml:space="preserve">To account for changes in clinical practice and ICH management, studies published in differing time periods </w:t>
      </w:r>
      <w:r w:rsidR="009E60AF">
        <w:rPr>
          <w:rFonts w:ascii="Times New Roman" w:hAnsi="Times New Roman" w:cs="Times New Roman"/>
        </w:rPr>
        <w:t xml:space="preserve">or studies with significant differences in baseline populations </w:t>
      </w:r>
      <w:r w:rsidR="001F5025">
        <w:rPr>
          <w:rFonts w:ascii="Times New Roman" w:hAnsi="Times New Roman" w:cs="Times New Roman"/>
        </w:rPr>
        <w:t xml:space="preserve">may be assessed separately in sensitivity analysis. </w:t>
      </w:r>
      <w:r w:rsidR="00841731">
        <w:rPr>
          <w:rFonts w:ascii="Times New Roman" w:hAnsi="Times New Roman" w:cs="Times New Roman"/>
        </w:rPr>
        <w:t xml:space="preserve">If the data extracted makes </w:t>
      </w:r>
      <w:r w:rsidR="001263EF">
        <w:rPr>
          <w:rFonts w:ascii="Times New Roman" w:hAnsi="Times New Roman" w:cs="Times New Roman"/>
        </w:rPr>
        <w:t>meta-analysis</w:t>
      </w:r>
      <w:r w:rsidR="00C53031">
        <w:rPr>
          <w:rFonts w:ascii="Times New Roman" w:hAnsi="Times New Roman" w:cs="Times New Roman"/>
        </w:rPr>
        <w:t xml:space="preserve"> not possible, we will </w:t>
      </w:r>
      <w:r w:rsidR="001263EF">
        <w:rPr>
          <w:rFonts w:ascii="Times New Roman" w:hAnsi="Times New Roman" w:cs="Times New Roman"/>
        </w:rPr>
        <w:t xml:space="preserve">compare the </w:t>
      </w:r>
      <w:r w:rsidR="00E84604">
        <w:rPr>
          <w:rFonts w:ascii="Times New Roman" w:hAnsi="Times New Roman" w:cs="Times New Roman"/>
        </w:rPr>
        <w:t>diagnostic summary markers descriptively.</w:t>
      </w:r>
      <w:r w:rsidR="00C53031">
        <w:rPr>
          <w:rFonts w:ascii="Times New Roman" w:hAnsi="Times New Roman" w:cs="Times New Roman"/>
        </w:rPr>
        <w:t xml:space="preserve"> </w:t>
      </w:r>
      <w:r w:rsidR="008852CD">
        <w:rPr>
          <w:rFonts w:ascii="Times New Roman" w:hAnsi="Times New Roman" w:cs="Times New Roman"/>
        </w:rPr>
        <w:t xml:space="preserve">As </w:t>
      </w:r>
      <w:r w:rsidR="00CF1A0B">
        <w:rPr>
          <w:rFonts w:ascii="Times New Roman" w:hAnsi="Times New Roman" w:cs="Times New Roman"/>
        </w:rPr>
        <w:t xml:space="preserve">data synthesis is not the primary aim of a scoping review, </w:t>
      </w:r>
      <w:r w:rsidR="00711D78" w:rsidRPr="00711D78">
        <w:rPr>
          <w:rFonts w:ascii="Times New Roman" w:hAnsi="Times New Roman" w:cs="Times New Roman"/>
        </w:rPr>
        <w:t xml:space="preserve">a formal assessment of methodological quality of the included studies </w:t>
      </w:r>
      <w:r w:rsidR="00711D78">
        <w:rPr>
          <w:rFonts w:ascii="Times New Roman" w:hAnsi="Times New Roman" w:cs="Times New Roman"/>
        </w:rPr>
        <w:t>will</w:t>
      </w:r>
      <w:r w:rsidR="00711D78" w:rsidRPr="00711D78">
        <w:rPr>
          <w:rFonts w:ascii="Times New Roman" w:hAnsi="Times New Roman" w:cs="Times New Roman"/>
        </w:rPr>
        <w:t xml:space="preserve"> not performed</w:t>
      </w:r>
      <w:r w:rsidR="00711D78">
        <w:rPr>
          <w:rFonts w:ascii="Times New Roman" w:hAnsi="Times New Roman" w:cs="Times New Roman"/>
        </w:rPr>
        <w:t>.</w:t>
      </w:r>
      <w:r w:rsidR="00424957" w:rsidRPr="002573A7">
        <w:rPr>
          <w:rFonts w:ascii="Times New Roman" w:hAnsi="Times New Roman" w:cs="Times New Roman"/>
        </w:rPr>
        <w:t xml:space="preserve"> </w:t>
      </w:r>
    </w:p>
    <w:p w14:paraId="4B04B39C" w14:textId="77777777" w:rsidR="00EA53AC" w:rsidRPr="002573A7" w:rsidRDefault="00EA53AC" w:rsidP="00E41083">
      <w:pPr>
        <w:spacing w:line="480" w:lineRule="auto"/>
        <w:contextualSpacing/>
        <w:rPr>
          <w:rFonts w:ascii="Times New Roman" w:hAnsi="Times New Roman" w:cs="Times New Roman"/>
        </w:rPr>
      </w:pPr>
    </w:p>
    <w:p w14:paraId="3C0F640D" w14:textId="16FA3DBF" w:rsidR="00285A2B" w:rsidRPr="00990C55" w:rsidRDefault="00634DC5" w:rsidP="00E41083">
      <w:pPr>
        <w:spacing w:line="480" w:lineRule="auto"/>
        <w:contextualSpacing/>
        <w:rPr>
          <w:rFonts w:ascii="Times New Roman" w:hAnsi="Times New Roman" w:cs="Times New Roman"/>
          <w:b/>
        </w:rPr>
      </w:pPr>
      <w:r w:rsidRPr="00990C55">
        <w:rPr>
          <w:rFonts w:ascii="Times New Roman" w:hAnsi="Times New Roman" w:cs="Times New Roman"/>
          <w:b/>
        </w:rPr>
        <w:t>PATIENT AND PUBLIC INVOLVEMENT:</w:t>
      </w:r>
    </w:p>
    <w:p w14:paraId="3A02B661" w14:textId="78FC32B2" w:rsidR="00634DC5" w:rsidRDefault="00640D02" w:rsidP="00E41083">
      <w:pPr>
        <w:spacing w:line="480" w:lineRule="auto"/>
        <w:contextualSpacing/>
        <w:rPr>
          <w:rFonts w:ascii="Times New Roman" w:hAnsi="Times New Roman" w:cs="Times New Roman"/>
        </w:rPr>
      </w:pPr>
      <w:r w:rsidRPr="00990C55">
        <w:rPr>
          <w:rFonts w:ascii="Times New Roman" w:hAnsi="Times New Roman" w:cs="Times New Roman"/>
        </w:rPr>
        <w:t xml:space="preserve">Because the </w:t>
      </w:r>
      <w:r w:rsidR="001F3B42" w:rsidRPr="00990C55">
        <w:rPr>
          <w:rFonts w:ascii="Times New Roman" w:hAnsi="Times New Roman" w:cs="Times New Roman"/>
        </w:rPr>
        <w:t xml:space="preserve">collected </w:t>
      </w:r>
      <w:r w:rsidRPr="00990C55">
        <w:rPr>
          <w:rFonts w:ascii="Times New Roman" w:hAnsi="Times New Roman" w:cs="Times New Roman"/>
        </w:rPr>
        <w:t>data</w:t>
      </w:r>
      <w:r w:rsidR="001F3B42" w:rsidRPr="00990C55">
        <w:rPr>
          <w:rFonts w:ascii="Times New Roman" w:hAnsi="Times New Roman" w:cs="Times New Roman"/>
        </w:rPr>
        <w:t xml:space="preserve"> within this</w:t>
      </w:r>
      <w:r w:rsidRPr="00990C55">
        <w:rPr>
          <w:rFonts w:ascii="Times New Roman" w:hAnsi="Times New Roman" w:cs="Times New Roman"/>
        </w:rPr>
        <w:t xml:space="preserve"> scoping review</w:t>
      </w:r>
      <w:r w:rsidR="001F3B42" w:rsidRPr="00990C55">
        <w:rPr>
          <w:rFonts w:ascii="Times New Roman" w:hAnsi="Times New Roman" w:cs="Times New Roman"/>
        </w:rPr>
        <w:t xml:space="preserve"> originates from previously published studies</w:t>
      </w:r>
      <w:r w:rsidR="00315EFE" w:rsidRPr="00990C55">
        <w:rPr>
          <w:rFonts w:ascii="Times New Roman" w:hAnsi="Times New Roman" w:cs="Times New Roman"/>
        </w:rPr>
        <w:t xml:space="preserve">, patients and the </w:t>
      </w:r>
      <w:proofErr w:type="gramStart"/>
      <w:r w:rsidR="00315EFE" w:rsidRPr="00990C55">
        <w:rPr>
          <w:rFonts w:ascii="Times New Roman" w:hAnsi="Times New Roman" w:cs="Times New Roman"/>
        </w:rPr>
        <w:t>general public</w:t>
      </w:r>
      <w:proofErr w:type="gramEnd"/>
      <w:r w:rsidR="00315EFE" w:rsidRPr="00990C55">
        <w:rPr>
          <w:rFonts w:ascii="Times New Roman" w:hAnsi="Times New Roman" w:cs="Times New Roman"/>
        </w:rPr>
        <w:t xml:space="preserve"> were not involved </w:t>
      </w:r>
      <w:r w:rsidR="0068290A" w:rsidRPr="00990C55">
        <w:rPr>
          <w:rFonts w:ascii="Times New Roman" w:hAnsi="Times New Roman" w:cs="Times New Roman"/>
        </w:rPr>
        <w:t xml:space="preserve">in the development of the research question or choice of outcome measures </w:t>
      </w:r>
      <w:r w:rsidR="0077506E">
        <w:rPr>
          <w:rFonts w:ascii="Times New Roman" w:hAnsi="Times New Roman" w:cs="Times New Roman"/>
        </w:rPr>
        <w:t xml:space="preserve">that </w:t>
      </w:r>
      <w:r w:rsidR="00DB2BA6">
        <w:rPr>
          <w:rFonts w:ascii="Times New Roman" w:hAnsi="Times New Roman" w:cs="Times New Roman"/>
        </w:rPr>
        <w:t>we wanted to</w:t>
      </w:r>
      <w:r w:rsidR="0068290A" w:rsidRPr="00990C55">
        <w:rPr>
          <w:rFonts w:ascii="Times New Roman" w:hAnsi="Times New Roman" w:cs="Times New Roman"/>
        </w:rPr>
        <w:t xml:space="preserve"> assess. </w:t>
      </w:r>
      <w:r w:rsidRPr="00990C55">
        <w:rPr>
          <w:rFonts w:ascii="Times New Roman" w:hAnsi="Times New Roman" w:cs="Times New Roman"/>
        </w:rPr>
        <w:t xml:space="preserve"> </w:t>
      </w:r>
    </w:p>
    <w:p w14:paraId="30ABC61F" w14:textId="77777777" w:rsidR="00EA53AC" w:rsidRPr="00990C55" w:rsidRDefault="00EA53AC" w:rsidP="00E41083">
      <w:pPr>
        <w:spacing w:line="480" w:lineRule="auto"/>
        <w:contextualSpacing/>
        <w:rPr>
          <w:rFonts w:ascii="Times New Roman" w:hAnsi="Times New Roman" w:cs="Times New Roman"/>
        </w:rPr>
      </w:pPr>
    </w:p>
    <w:p w14:paraId="1A872DC2" w14:textId="77777777" w:rsidR="00511245" w:rsidRPr="005020AB" w:rsidRDefault="00511245" w:rsidP="00511245">
      <w:pPr>
        <w:spacing w:line="480" w:lineRule="auto"/>
        <w:rPr>
          <w:rFonts w:ascii="Times New Roman" w:hAnsi="Times New Roman" w:cs="Times New Roman"/>
        </w:rPr>
      </w:pPr>
      <w:r w:rsidRPr="005020AB">
        <w:rPr>
          <w:rFonts w:ascii="Times New Roman" w:hAnsi="Times New Roman" w:cs="Times New Roman"/>
          <w:b/>
        </w:rPr>
        <w:t>ETHICS AND DISSEMINATION</w:t>
      </w:r>
      <w:r w:rsidRPr="005020AB">
        <w:rPr>
          <w:rFonts w:ascii="Times New Roman" w:hAnsi="Times New Roman" w:cs="Times New Roman"/>
        </w:rPr>
        <w:t>:</w:t>
      </w:r>
    </w:p>
    <w:p w14:paraId="4EF32A1E" w14:textId="66454618" w:rsidR="00511245" w:rsidRDefault="004B5AA2" w:rsidP="00511245">
      <w:pPr>
        <w:spacing w:line="480" w:lineRule="auto"/>
        <w:contextualSpacing/>
        <w:rPr>
          <w:rFonts w:ascii="Times New Roman" w:hAnsi="Times New Roman" w:cs="Times New Roman"/>
        </w:rPr>
      </w:pPr>
      <w:r>
        <w:rPr>
          <w:rFonts w:ascii="Times New Roman" w:hAnsi="Times New Roman" w:cs="Times New Roman"/>
        </w:rPr>
        <w:t>This study does not require primary data collection</w:t>
      </w:r>
      <w:r w:rsidR="00E54A10">
        <w:rPr>
          <w:rFonts w:ascii="Times New Roman" w:hAnsi="Times New Roman" w:cs="Times New Roman"/>
        </w:rPr>
        <w:t xml:space="preserve"> and n</w:t>
      </w:r>
      <w:r w:rsidR="00511245" w:rsidRPr="005020AB">
        <w:rPr>
          <w:rFonts w:ascii="Times New Roman" w:hAnsi="Times New Roman" w:cs="Times New Roman"/>
        </w:rPr>
        <w:t xml:space="preserve">o local research ethics board approvals </w:t>
      </w:r>
      <w:r w:rsidR="00E54A10">
        <w:rPr>
          <w:rFonts w:ascii="Times New Roman" w:hAnsi="Times New Roman" w:cs="Times New Roman"/>
        </w:rPr>
        <w:t>was</w:t>
      </w:r>
      <w:r w:rsidR="00511245" w:rsidRPr="005020AB">
        <w:rPr>
          <w:rFonts w:ascii="Times New Roman" w:hAnsi="Times New Roman" w:cs="Times New Roman"/>
        </w:rPr>
        <w:t xml:space="preserve"> </w:t>
      </w:r>
      <w:r w:rsidR="00E54A10">
        <w:rPr>
          <w:rFonts w:ascii="Times New Roman" w:hAnsi="Times New Roman" w:cs="Times New Roman"/>
        </w:rPr>
        <w:t xml:space="preserve">acquired. </w:t>
      </w:r>
      <w:r w:rsidR="00511245" w:rsidRPr="005020AB">
        <w:rPr>
          <w:rFonts w:ascii="Times New Roman" w:hAnsi="Times New Roman" w:cs="Times New Roman"/>
        </w:rPr>
        <w:t xml:space="preserve">The findings of this review and analysis may aid </w:t>
      </w:r>
      <w:r w:rsidR="00A17A61">
        <w:rPr>
          <w:rFonts w:ascii="Times New Roman" w:hAnsi="Times New Roman" w:cs="Times New Roman"/>
        </w:rPr>
        <w:t>scientists</w:t>
      </w:r>
      <w:r w:rsidR="00511245" w:rsidRPr="005020AB">
        <w:rPr>
          <w:rFonts w:ascii="Times New Roman" w:hAnsi="Times New Roman" w:cs="Times New Roman"/>
        </w:rPr>
        <w:t xml:space="preserve"> in future </w:t>
      </w:r>
      <w:r w:rsidR="00636FF6">
        <w:rPr>
          <w:rFonts w:ascii="Times New Roman" w:hAnsi="Times New Roman" w:cs="Times New Roman"/>
        </w:rPr>
        <w:t>clinical trial</w:t>
      </w:r>
      <w:r w:rsidR="00511245" w:rsidRPr="005020AB">
        <w:rPr>
          <w:rFonts w:ascii="Times New Roman" w:hAnsi="Times New Roman" w:cs="Times New Roman"/>
        </w:rPr>
        <w:t xml:space="preserve"> development and guide future research endeavors</w:t>
      </w:r>
      <w:r w:rsidR="00B94491">
        <w:rPr>
          <w:rFonts w:ascii="Times New Roman" w:hAnsi="Times New Roman" w:cs="Times New Roman"/>
        </w:rPr>
        <w:t xml:space="preserve">, </w:t>
      </w:r>
      <w:r w:rsidR="00BE35BC">
        <w:rPr>
          <w:rFonts w:ascii="Times New Roman" w:hAnsi="Times New Roman" w:cs="Times New Roman"/>
        </w:rPr>
        <w:t>includ</w:t>
      </w:r>
      <w:r w:rsidR="00B94491">
        <w:rPr>
          <w:rFonts w:ascii="Times New Roman" w:hAnsi="Times New Roman" w:cs="Times New Roman"/>
        </w:rPr>
        <w:t xml:space="preserve">ing the development of a formal diagnostic test accuracy </w:t>
      </w:r>
      <w:r w:rsidR="00B94491">
        <w:rPr>
          <w:rFonts w:ascii="Times New Roman" w:hAnsi="Times New Roman" w:cs="Times New Roman"/>
        </w:rPr>
        <w:lastRenderedPageBreak/>
        <w:t>systematic review.</w:t>
      </w:r>
      <w:r w:rsidR="00BE35BC">
        <w:rPr>
          <w:rFonts w:ascii="Times New Roman" w:hAnsi="Times New Roman" w:cs="Times New Roman"/>
        </w:rPr>
        <w:t xml:space="preserve"> </w:t>
      </w:r>
      <w:r w:rsidR="00511245" w:rsidRPr="005020AB">
        <w:rPr>
          <w:rFonts w:ascii="Times New Roman" w:hAnsi="Times New Roman" w:cs="Times New Roman"/>
        </w:rPr>
        <w:t>We will therefore disseminate the findings of our work through conference presentations, the popular press, and a peer-reviewed publication.</w:t>
      </w:r>
    </w:p>
    <w:p w14:paraId="6BC79BB9" w14:textId="63ADFA52" w:rsidR="004544E1" w:rsidRDefault="004544E1" w:rsidP="00511245">
      <w:pPr>
        <w:spacing w:line="480" w:lineRule="auto"/>
        <w:contextualSpacing/>
        <w:rPr>
          <w:rFonts w:ascii="Times New Roman" w:hAnsi="Times New Roman" w:cs="Times New Roman"/>
        </w:rPr>
      </w:pPr>
    </w:p>
    <w:p w14:paraId="24690E35" w14:textId="165AF42F" w:rsidR="004544E1" w:rsidRDefault="004544E1" w:rsidP="00511245">
      <w:pPr>
        <w:spacing w:line="480" w:lineRule="auto"/>
        <w:contextualSpacing/>
        <w:rPr>
          <w:rFonts w:ascii="Times New Roman" w:hAnsi="Times New Roman" w:cs="Times New Roman"/>
        </w:rPr>
      </w:pPr>
      <w:r w:rsidRPr="004544E1">
        <w:rPr>
          <w:rFonts w:ascii="Times New Roman" w:hAnsi="Times New Roman" w:cs="Times New Roman"/>
          <w:b/>
        </w:rPr>
        <w:t>CONCLUSION</w:t>
      </w:r>
      <w:r>
        <w:rPr>
          <w:rFonts w:ascii="Times New Roman" w:hAnsi="Times New Roman" w:cs="Times New Roman"/>
        </w:rPr>
        <w:t>:</w:t>
      </w:r>
    </w:p>
    <w:p w14:paraId="3A567F53" w14:textId="48D89CB1" w:rsidR="00F66633" w:rsidRDefault="00262874" w:rsidP="00511245">
      <w:pPr>
        <w:spacing w:line="480" w:lineRule="auto"/>
        <w:contextualSpacing/>
        <w:rPr>
          <w:rFonts w:ascii="Times New Roman" w:hAnsi="Times New Roman" w:cs="Times New Roman"/>
        </w:rPr>
      </w:pPr>
      <w:r>
        <w:rPr>
          <w:rFonts w:ascii="Times New Roman" w:hAnsi="Times New Roman" w:cs="Times New Roman"/>
        </w:rPr>
        <w:t>Early hematoma expansion presents a compelling therapeutic target</w:t>
      </w:r>
      <w:r w:rsidR="007E7B26">
        <w:rPr>
          <w:rFonts w:ascii="Times New Roman" w:hAnsi="Times New Roman" w:cs="Times New Roman"/>
        </w:rPr>
        <w:t xml:space="preserve"> for spontaneous intracerebral hemorrhage. </w:t>
      </w:r>
      <w:r>
        <w:rPr>
          <w:rFonts w:ascii="Times New Roman" w:hAnsi="Times New Roman" w:cs="Times New Roman"/>
        </w:rPr>
        <w:t>O</w:t>
      </w:r>
      <w:r w:rsidR="00730B22">
        <w:rPr>
          <w:rFonts w:ascii="Times New Roman" w:hAnsi="Times New Roman" w:cs="Times New Roman"/>
        </w:rPr>
        <w:t>ptimal patient selection</w:t>
      </w:r>
      <w:r w:rsidR="00201B0C">
        <w:rPr>
          <w:rFonts w:ascii="Times New Roman" w:hAnsi="Times New Roman" w:cs="Times New Roman"/>
        </w:rPr>
        <w:t xml:space="preserve"> is critical</w:t>
      </w:r>
      <w:r w:rsidR="00730B22">
        <w:rPr>
          <w:rFonts w:ascii="Times New Roman" w:hAnsi="Times New Roman" w:cs="Times New Roman"/>
        </w:rPr>
        <w:t xml:space="preserve"> </w:t>
      </w:r>
      <w:r w:rsidR="00946F58">
        <w:rPr>
          <w:rFonts w:ascii="Times New Roman" w:hAnsi="Times New Roman" w:cs="Times New Roman"/>
        </w:rPr>
        <w:t xml:space="preserve">to identify those at highest risk of expansion </w:t>
      </w:r>
      <w:r w:rsidR="00013197">
        <w:rPr>
          <w:rFonts w:ascii="Times New Roman" w:hAnsi="Times New Roman" w:cs="Times New Roman"/>
        </w:rPr>
        <w:t xml:space="preserve">for enrollment </w:t>
      </w:r>
      <w:r w:rsidR="00730B22">
        <w:rPr>
          <w:rFonts w:ascii="Times New Roman" w:hAnsi="Times New Roman" w:cs="Times New Roman"/>
        </w:rPr>
        <w:t>in</w:t>
      </w:r>
      <w:r w:rsidR="00013197">
        <w:rPr>
          <w:rFonts w:ascii="Times New Roman" w:hAnsi="Times New Roman" w:cs="Times New Roman"/>
        </w:rPr>
        <w:t>to</w:t>
      </w:r>
      <w:r w:rsidR="00730B22">
        <w:rPr>
          <w:rFonts w:ascii="Times New Roman" w:hAnsi="Times New Roman" w:cs="Times New Roman"/>
        </w:rPr>
        <w:t xml:space="preserve"> </w:t>
      </w:r>
      <w:r w:rsidR="00DC2FD9">
        <w:rPr>
          <w:rFonts w:ascii="Times New Roman" w:hAnsi="Times New Roman" w:cs="Times New Roman"/>
        </w:rPr>
        <w:t xml:space="preserve">future intracerebral hemorrhage trials. </w:t>
      </w:r>
      <w:r w:rsidR="0093265B">
        <w:rPr>
          <w:rFonts w:ascii="Times New Roman" w:hAnsi="Times New Roman" w:cs="Times New Roman"/>
        </w:rPr>
        <w:t xml:space="preserve">Expansion scores </w:t>
      </w:r>
      <w:r w:rsidR="00ED3F87">
        <w:rPr>
          <w:rFonts w:ascii="Times New Roman" w:hAnsi="Times New Roman" w:cs="Times New Roman"/>
        </w:rPr>
        <w:t xml:space="preserve">have been proposed as a method </w:t>
      </w:r>
      <w:r w:rsidR="002620D6">
        <w:rPr>
          <w:rFonts w:ascii="Times New Roman" w:hAnsi="Times New Roman" w:cs="Times New Roman"/>
        </w:rPr>
        <w:t xml:space="preserve">to improve </w:t>
      </w:r>
      <w:r w:rsidR="00ED3F87">
        <w:rPr>
          <w:rFonts w:ascii="Times New Roman" w:hAnsi="Times New Roman" w:cs="Times New Roman"/>
        </w:rPr>
        <w:t>patient selection.</w:t>
      </w:r>
      <w:r w:rsidR="002620D6">
        <w:rPr>
          <w:rFonts w:ascii="Times New Roman" w:hAnsi="Times New Roman" w:cs="Times New Roman"/>
        </w:rPr>
        <w:t xml:space="preserve"> Our study </w:t>
      </w:r>
      <w:r w:rsidR="00DF3101">
        <w:rPr>
          <w:rFonts w:ascii="Times New Roman" w:hAnsi="Times New Roman" w:cs="Times New Roman"/>
        </w:rPr>
        <w:t>will inform future clinical trials by</w:t>
      </w:r>
      <w:r w:rsidR="00263BBA">
        <w:rPr>
          <w:rFonts w:ascii="Times New Roman" w:hAnsi="Times New Roman" w:cs="Times New Roman"/>
        </w:rPr>
        <w:t xml:space="preserve"> </w:t>
      </w:r>
      <w:r w:rsidR="00C32DBC">
        <w:rPr>
          <w:rFonts w:ascii="Times New Roman" w:hAnsi="Times New Roman" w:cs="Times New Roman"/>
        </w:rPr>
        <w:t>systematically assess</w:t>
      </w:r>
      <w:r w:rsidR="00DF3101">
        <w:rPr>
          <w:rFonts w:ascii="Times New Roman" w:hAnsi="Times New Roman" w:cs="Times New Roman"/>
        </w:rPr>
        <w:t>ing</w:t>
      </w:r>
      <w:r w:rsidR="00C32DBC">
        <w:rPr>
          <w:rFonts w:ascii="Times New Roman" w:hAnsi="Times New Roman" w:cs="Times New Roman"/>
        </w:rPr>
        <w:t xml:space="preserve"> the literature </w:t>
      </w:r>
      <w:r w:rsidR="00035687">
        <w:rPr>
          <w:rFonts w:ascii="Times New Roman" w:hAnsi="Times New Roman" w:cs="Times New Roman"/>
        </w:rPr>
        <w:t xml:space="preserve">to identify and </w:t>
      </w:r>
      <w:r w:rsidR="00C32DBC">
        <w:rPr>
          <w:rFonts w:ascii="Times New Roman" w:hAnsi="Times New Roman" w:cs="Times New Roman"/>
        </w:rPr>
        <w:t xml:space="preserve">analyze the </w:t>
      </w:r>
      <w:r w:rsidR="00BF2513">
        <w:rPr>
          <w:rFonts w:ascii="Times New Roman" w:hAnsi="Times New Roman" w:cs="Times New Roman"/>
        </w:rPr>
        <w:t xml:space="preserve">diagnostic abilities and potential limitations </w:t>
      </w:r>
      <w:r w:rsidR="00690599">
        <w:rPr>
          <w:rFonts w:ascii="Times New Roman" w:hAnsi="Times New Roman" w:cs="Times New Roman"/>
        </w:rPr>
        <w:t xml:space="preserve">of </w:t>
      </w:r>
      <w:r w:rsidR="00BF2513">
        <w:rPr>
          <w:rFonts w:ascii="Times New Roman" w:hAnsi="Times New Roman" w:cs="Times New Roman"/>
        </w:rPr>
        <w:t>existing hematoma</w:t>
      </w:r>
      <w:r w:rsidR="00C32DBC">
        <w:rPr>
          <w:rFonts w:ascii="Times New Roman" w:hAnsi="Times New Roman" w:cs="Times New Roman"/>
        </w:rPr>
        <w:t xml:space="preserve"> expansion </w:t>
      </w:r>
      <w:r w:rsidR="00690599">
        <w:rPr>
          <w:rFonts w:ascii="Times New Roman" w:hAnsi="Times New Roman" w:cs="Times New Roman"/>
        </w:rPr>
        <w:t>scores</w:t>
      </w:r>
      <w:r w:rsidR="00A33E36">
        <w:rPr>
          <w:rFonts w:ascii="Times New Roman" w:hAnsi="Times New Roman" w:cs="Times New Roman"/>
        </w:rPr>
        <w:t>.</w:t>
      </w:r>
    </w:p>
    <w:p w14:paraId="39002012" w14:textId="77777777" w:rsidR="00F66633" w:rsidRDefault="00F66633">
      <w:pPr>
        <w:rPr>
          <w:rFonts w:ascii="Times New Roman" w:hAnsi="Times New Roman" w:cs="Times New Roman"/>
        </w:rPr>
      </w:pPr>
      <w:r>
        <w:rPr>
          <w:rFonts w:ascii="Times New Roman" w:hAnsi="Times New Roman" w:cs="Times New Roman"/>
        </w:rPr>
        <w:br w:type="page"/>
      </w:r>
    </w:p>
    <w:p w14:paraId="590AC0B4" w14:textId="70D00E63" w:rsidR="00F66633" w:rsidRDefault="00F66633" w:rsidP="00F66633">
      <w:pPr>
        <w:spacing w:line="480" w:lineRule="auto"/>
        <w:contextualSpacing/>
        <w:rPr>
          <w:rFonts w:ascii="Times New Roman" w:hAnsi="Times New Roman" w:cs="Times New Roman"/>
          <w:b/>
          <w:lang w:val="en-CA"/>
        </w:rPr>
      </w:pPr>
      <w:r w:rsidRPr="009E21D6">
        <w:rPr>
          <w:rFonts w:ascii="Times New Roman" w:hAnsi="Times New Roman" w:cs="Times New Roman"/>
          <w:b/>
          <w:lang w:val="en-CA"/>
        </w:rPr>
        <w:lastRenderedPageBreak/>
        <w:t>This protocol is for an original systematic scoping review, not an update to a previous review.</w:t>
      </w:r>
    </w:p>
    <w:p w14:paraId="0C8FB16E" w14:textId="77777777" w:rsidR="00F66633" w:rsidRDefault="00F66633" w:rsidP="00F66633">
      <w:pPr>
        <w:spacing w:line="480" w:lineRule="auto"/>
        <w:contextualSpacing/>
        <w:rPr>
          <w:rFonts w:ascii="Times New Roman" w:hAnsi="Times New Roman" w:cs="Times New Roman"/>
          <w:b/>
          <w:lang w:val="en-CA"/>
        </w:rPr>
      </w:pPr>
    </w:p>
    <w:p w14:paraId="7F967BFC" w14:textId="77777777" w:rsidR="00F66633" w:rsidRPr="005020AB" w:rsidRDefault="00F66633" w:rsidP="00F66633">
      <w:pPr>
        <w:spacing w:line="480" w:lineRule="auto"/>
        <w:contextualSpacing/>
        <w:rPr>
          <w:rFonts w:ascii="Times New Roman" w:hAnsi="Times New Roman" w:cs="Times New Roman"/>
          <w:lang w:val="en-CA"/>
        </w:rPr>
      </w:pPr>
      <w:r w:rsidRPr="005020AB">
        <w:rPr>
          <w:rFonts w:ascii="Times New Roman" w:hAnsi="Times New Roman" w:cs="Times New Roman"/>
          <w:b/>
          <w:lang w:val="en-CA"/>
        </w:rPr>
        <w:t>Author’s Contributions</w:t>
      </w:r>
      <w:r w:rsidRPr="005020AB">
        <w:rPr>
          <w:rFonts w:ascii="Times New Roman" w:hAnsi="Times New Roman" w:cs="Times New Roman"/>
          <w:lang w:val="en-CA"/>
        </w:rPr>
        <w:t>:</w:t>
      </w:r>
    </w:p>
    <w:p w14:paraId="4B1F6723" w14:textId="57EE2093" w:rsidR="00F66633" w:rsidRPr="005020AB" w:rsidRDefault="00F66633" w:rsidP="00F66633">
      <w:pPr>
        <w:spacing w:line="480" w:lineRule="auto"/>
        <w:contextualSpacing/>
        <w:rPr>
          <w:rFonts w:ascii="Times New Roman" w:hAnsi="Times New Roman" w:cs="Times New Roman"/>
          <w:lang w:val="en-CA"/>
        </w:rPr>
      </w:pPr>
      <w:r w:rsidRPr="005020AB">
        <w:rPr>
          <w:rFonts w:ascii="Times New Roman" w:hAnsi="Times New Roman" w:cs="Times New Roman"/>
          <w:lang w:val="en-CA"/>
        </w:rPr>
        <w:t>VY is the guarantor. VY</w:t>
      </w:r>
      <w:r>
        <w:rPr>
          <w:rFonts w:ascii="Times New Roman" w:hAnsi="Times New Roman" w:cs="Times New Roman"/>
          <w:lang w:val="en-CA"/>
        </w:rPr>
        <w:t xml:space="preserve">, </w:t>
      </w:r>
      <w:r w:rsidR="003530BE">
        <w:rPr>
          <w:rFonts w:ascii="Times New Roman" w:hAnsi="Times New Roman" w:cs="Times New Roman"/>
          <w:lang w:val="en-CA"/>
        </w:rPr>
        <w:t xml:space="preserve">MM, </w:t>
      </w:r>
      <w:r>
        <w:rPr>
          <w:rFonts w:ascii="Times New Roman" w:hAnsi="Times New Roman" w:cs="Times New Roman"/>
          <w:lang w:val="en-CA"/>
        </w:rPr>
        <w:t>DF,</w:t>
      </w:r>
      <w:r w:rsidRPr="005020AB">
        <w:rPr>
          <w:rFonts w:ascii="Times New Roman" w:hAnsi="Times New Roman" w:cs="Times New Roman"/>
          <w:lang w:val="en-CA"/>
        </w:rPr>
        <w:t xml:space="preserve"> and DD drafted the manuscript protocol. VY, DF, and DD contributed to the development of the selection criteria, article screening strategy, and data extraction criteria. VY</w:t>
      </w:r>
      <w:r>
        <w:rPr>
          <w:rFonts w:ascii="Times New Roman" w:hAnsi="Times New Roman" w:cs="Times New Roman"/>
          <w:lang w:val="en-CA"/>
        </w:rPr>
        <w:t xml:space="preserve"> and LS</w:t>
      </w:r>
      <w:r w:rsidRPr="005020AB">
        <w:rPr>
          <w:rFonts w:ascii="Times New Roman" w:hAnsi="Times New Roman" w:cs="Times New Roman"/>
          <w:lang w:val="en-CA"/>
        </w:rPr>
        <w:t xml:space="preserve"> developed the search strategy. All authors read, provided feedback and approved the final protocol.</w:t>
      </w:r>
    </w:p>
    <w:p w14:paraId="0EC47578" w14:textId="77777777" w:rsidR="00F66633" w:rsidRDefault="00F66633" w:rsidP="00F66633">
      <w:pPr>
        <w:spacing w:line="480" w:lineRule="auto"/>
        <w:contextualSpacing/>
        <w:rPr>
          <w:rFonts w:ascii="Times New Roman" w:hAnsi="Times New Roman" w:cs="Times New Roman"/>
        </w:rPr>
      </w:pPr>
    </w:p>
    <w:p w14:paraId="21DB4893" w14:textId="77777777" w:rsidR="00F66633" w:rsidRPr="005020AB" w:rsidRDefault="00F66633" w:rsidP="00F66633">
      <w:pPr>
        <w:spacing w:line="480" w:lineRule="auto"/>
        <w:contextualSpacing/>
        <w:rPr>
          <w:rFonts w:ascii="Times New Roman" w:hAnsi="Times New Roman" w:cs="Times New Roman"/>
          <w:b/>
        </w:rPr>
      </w:pPr>
      <w:r w:rsidRPr="005020AB">
        <w:rPr>
          <w:rFonts w:ascii="Times New Roman" w:hAnsi="Times New Roman" w:cs="Times New Roman"/>
          <w:b/>
        </w:rPr>
        <w:t>Competing Interests:</w:t>
      </w:r>
    </w:p>
    <w:p w14:paraId="747BE9EB" w14:textId="77777777" w:rsidR="00F66633" w:rsidRPr="005020AB" w:rsidRDefault="00F66633" w:rsidP="00F66633">
      <w:pPr>
        <w:spacing w:line="480" w:lineRule="auto"/>
        <w:contextualSpacing/>
        <w:rPr>
          <w:rFonts w:ascii="Times New Roman" w:hAnsi="Times New Roman" w:cs="Times New Roman"/>
        </w:rPr>
      </w:pPr>
      <w:r w:rsidRPr="005020AB">
        <w:rPr>
          <w:rFonts w:ascii="Times New Roman" w:hAnsi="Times New Roman" w:cs="Times New Roman"/>
        </w:rPr>
        <w:t>No applicable</w:t>
      </w:r>
    </w:p>
    <w:p w14:paraId="50C9D741" w14:textId="77777777" w:rsidR="00F66633" w:rsidRDefault="00F66633" w:rsidP="00F66633">
      <w:pPr>
        <w:spacing w:line="480" w:lineRule="auto"/>
        <w:contextualSpacing/>
        <w:rPr>
          <w:rFonts w:ascii="Times New Roman" w:hAnsi="Times New Roman" w:cs="Times New Roman"/>
        </w:rPr>
      </w:pPr>
    </w:p>
    <w:p w14:paraId="6A53AE41" w14:textId="77777777" w:rsidR="00F66633" w:rsidRPr="005020AB" w:rsidRDefault="00F66633" w:rsidP="00F66633">
      <w:pPr>
        <w:spacing w:line="480" w:lineRule="auto"/>
        <w:contextualSpacing/>
        <w:rPr>
          <w:rFonts w:ascii="Times New Roman" w:hAnsi="Times New Roman" w:cs="Times New Roman"/>
          <w:lang w:val="en-CA"/>
        </w:rPr>
      </w:pPr>
      <w:r w:rsidRPr="005020AB">
        <w:rPr>
          <w:rFonts w:ascii="Times New Roman" w:hAnsi="Times New Roman" w:cs="Times New Roman"/>
          <w:b/>
          <w:lang w:val="en-CA"/>
        </w:rPr>
        <w:t>Financial Support/Sponsor Disclosures</w:t>
      </w:r>
      <w:r w:rsidRPr="005020AB">
        <w:rPr>
          <w:rFonts w:ascii="Times New Roman" w:hAnsi="Times New Roman" w:cs="Times New Roman"/>
          <w:lang w:val="en-CA"/>
        </w:rPr>
        <w:t xml:space="preserve">: </w:t>
      </w:r>
    </w:p>
    <w:p w14:paraId="2750E50E" w14:textId="77777777" w:rsidR="00F66633" w:rsidRPr="005020AB" w:rsidRDefault="00F66633" w:rsidP="00F66633">
      <w:pPr>
        <w:spacing w:line="480" w:lineRule="auto"/>
        <w:contextualSpacing/>
        <w:rPr>
          <w:rFonts w:ascii="Times New Roman" w:hAnsi="Times New Roman" w:cs="Times New Roman"/>
        </w:rPr>
      </w:pPr>
      <w:r>
        <w:rPr>
          <w:rFonts w:ascii="Times New Roman" w:hAnsi="Times New Roman" w:cs="Times New Roman"/>
        </w:rPr>
        <w:t xml:space="preserve">This study did not receive any specific funding or sponsor supports. </w:t>
      </w:r>
      <w:r w:rsidRPr="005020AB">
        <w:rPr>
          <w:rFonts w:ascii="Times New Roman" w:hAnsi="Times New Roman" w:cs="Times New Roman"/>
        </w:rPr>
        <w:t>Dr. Dowlatshahi is supported by a Heart and Stroke Foundation New Investigator Award and a University of Ottawa Department of Medicine Clinician-Scientist Chair.</w:t>
      </w:r>
    </w:p>
    <w:p w14:paraId="65702413" w14:textId="77777777" w:rsidR="00F66633" w:rsidRPr="005020AB" w:rsidRDefault="00F66633" w:rsidP="00F66633">
      <w:pPr>
        <w:spacing w:line="480" w:lineRule="auto"/>
        <w:contextualSpacing/>
        <w:rPr>
          <w:rFonts w:ascii="Times New Roman" w:hAnsi="Times New Roman" w:cs="Times New Roman"/>
        </w:rPr>
      </w:pPr>
    </w:p>
    <w:p w14:paraId="1A24CC83" w14:textId="77777777" w:rsidR="00F66633" w:rsidRPr="005020AB" w:rsidRDefault="00F66633" w:rsidP="00F66633">
      <w:pPr>
        <w:spacing w:line="480" w:lineRule="auto"/>
        <w:contextualSpacing/>
        <w:rPr>
          <w:rFonts w:ascii="Times New Roman" w:hAnsi="Times New Roman" w:cs="Times New Roman"/>
        </w:rPr>
      </w:pPr>
      <w:r w:rsidRPr="005020AB">
        <w:rPr>
          <w:rFonts w:ascii="Times New Roman" w:hAnsi="Times New Roman" w:cs="Times New Roman"/>
          <w:b/>
        </w:rPr>
        <w:t>Acknowledgements</w:t>
      </w:r>
      <w:r w:rsidRPr="005020AB">
        <w:rPr>
          <w:rFonts w:ascii="Times New Roman" w:hAnsi="Times New Roman" w:cs="Times New Roman"/>
        </w:rPr>
        <w:t>:</w:t>
      </w:r>
    </w:p>
    <w:p w14:paraId="10C68EBE" w14:textId="77777777" w:rsidR="00F66633" w:rsidRPr="005020AB" w:rsidRDefault="00F66633" w:rsidP="00F66633">
      <w:pPr>
        <w:spacing w:line="480" w:lineRule="auto"/>
        <w:contextualSpacing/>
        <w:rPr>
          <w:rFonts w:ascii="Times New Roman" w:hAnsi="Times New Roman" w:cs="Times New Roman"/>
        </w:rPr>
      </w:pPr>
      <w:r>
        <w:rPr>
          <w:rFonts w:ascii="Times New Roman" w:hAnsi="Times New Roman" w:cs="Times New Roman"/>
        </w:rPr>
        <w:t>None</w:t>
      </w:r>
    </w:p>
    <w:p w14:paraId="297221CB" w14:textId="77777777" w:rsidR="00511245" w:rsidRPr="002573A7" w:rsidRDefault="00511245" w:rsidP="00E41083">
      <w:pPr>
        <w:spacing w:line="480" w:lineRule="auto"/>
        <w:contextualSpacing/>
        <w:rPr>
          <w:rFonts w:ascii="Arial" w:hAnsi="Arial" w:cs="Arial"/>
          <w:b/>
          <w:u w:val="single"/>
        </w:rPr>
      </w:pPr>
    </w:p>
    <w:p w14:paraId="44A5A80A" w14:textId="4BFD9345" w:rsidR="0050448D" w:rsidRPr="002573A7" w:rsidRDefault="0050448D" w:rsidP="0050448D">
      <w:pPr>
        <w:spacing w:line="480" w:lineRule="auto"/>
        <w:rPr>
          <w:rFonts w:ascii="Times New Roman" w:hAnsi="Times New Roman" w:cs="Times New Roman"/>
        </w:rPr>
      </w:pPr>
    </w:p>
    <w:p w14:paraId="6B8D825E" w14:textId="5A371EC0" w:rsidR="00B41225" w:rsidRDefault="00B41225">
      <w:r>
        <w:br w:type="page"/>
      </w:r>
    </w:p>
    <w:p w14:paraId="0FA38CB6" w14:textId="3BC4ADE4" w:rsidR="008F72CF" w:rsidRPr="00215ACC" w:rsidRDefault="00B41225" w:rsidP="00215ACC">
      <w:pPr>
        <w:spacing w:line="480" w:lineRule="auto"/>
        <w:contextualSpacing/>
        <w:rPr>
          <w:rFonts w:ascii="Times New Roman" w:hAnsi="Times New Roman" w:cs="Times New Roman"/>
        </w:rPr>
      </w:pPr>
      <w:r w:rsidRPr="00215ACC">
        <w:rPr>
          <w:rFonts w:ascii="Times New Roman" w:hAnsi="Times New Roman" w:cs="Times New Roman"/>
          <w:b/>
          <w:caps/>
        </w:rPr>
        <w:lastRenderedPageBreak/>
        <w:t>References</w:t>
      </w:r>
      <w:r w:rsidRPr="00215ACC">
        <w:rPr>
          <w:rFonts w:ascii="Times New Roman" w:hAnsi="Times New Roman" w:cs="Times New Roman"/>
        </w:rPr>
        <w:t>:</w:t>
      </w:r>
    </w:p>
    <w:p w14:paraId="4F5CECC9" w14:textId="4AB7CE63" w:rsidR="00D2719F" w:rsidRPr="00D2719F" w:rsidRDefault="00D87809" w:rsidP="00D2719F">
      <w:pPr>
        <w:widowControl w:val="0"/>
        <w:autoSpaceDE w:val="0"/>
        <w:autoSpaceDN w:val="0"/>
        <w:adjustRightInd w:val="0"/>
        <w:spacing w:line="480" w:lineRule="auto"/>
        <w:ind w:left="640" w:hanging="640"/>
        <w:rPr>
          <w:rFonts w:ascii="Times New Roman" w:hAnsi="Times New Roman" w:cs="Times New Roman"/>
          <w:noProof/>
          <w:szCs w:val="24"/>
        </w:rPr>
      </w:pPr>
      <w:r w:rsidRPr="00215ACC">
        <w:rPr>
          <w:rFonts w:ascii="Times New Roman" w:hAnsi="Times New Roman" w:cs="Times New Roman"/>
        </w:rPr>
        <w:fldChar w:fldCharType="begin" w:fldLock="1"/>
      </w:r>
      <w:r w:rsidRPr="00215ACC">
        <w:rPr>
          <w:rFonts w:ascii="Times New Roman" w:hAnsi="Times New Roman" w:cs="Times New Roman"/>
        </w:rPr>
        <w:instrText xml:space="preserve">ADDIN Mendeley Bibliography CSL_BIBLIOGRAPHY </w:instrText>
      </w:r>
      <w:r w:rsidRPr="00215ACC">
        <w:rPr>
          <w:rFonts w:ascii="Times New Roman" w:hAnsi="Times New Roman" w:cs="Times New Roman"/>
        </w:rPr>
        <w:fldChar w:fldCharType="separate"/>
      </w:r>
      <w:r w:rsidR="00D2719F" w:rsidRPr="00D2719F">
        <w:rPr>
          <w:rFonts w:ascii="Times New Roman" w:hAnsi="Times New Roman" w:cs="Times New Roman"/>
          <w:noProof/>
          <w:szCs w:val="24"/>
        </w:rPr>
        <w:t xml:space="preserve">1 </w:t>
      </w:r>
      <w:r w:rsidR="00D2719F" w:rsidRPr="00D2719F">
        <w:rPr>
          <w:rFonts w:ascii="Times New Roman" w:hAnsi="Times New Roman" w:cs="Times New Roman"/>
          <w:noProof/>
          <w:szCs w:val="24"/>
        </w:rPr>
        <w:tab/>
        <w:t xml:space="preserve">Qureshi AI, Mendelow AD, Hanley DF. Intracerebral haemorrhage. </w:t>
      </w:r>
      <w:r w:rsidR="00D2719F" w:rsidRPr="00D2719F">
        <w:rPr>
          <w:rFonts w:ascii="Times New Roman" w:hAnsi="Times New Roman" w:cs="Times New Roman"/>
          <w:i/>
          <w:iCs/>
          <w:noProof/>
          <w:szCs w:val="24"/>
        </w:rPr>
        <w:t>Lancet (London, England)</w:t>
      </w:r>
      <w:r w:rsidR="00D2719F" w:rsidRPr="00D2719F">
        <w:rPr>
          <w:rFonts w:ascii="Times New Roman" w:hAnsi="Times New Roman" w:cs="Times New Roman"/>
          <w:noProof/>
          <w:szCs w:val="24"/>
        </w:rPr>
        <w:t xml:space="preserve"> 2009;</w:t>
      </w:r>
      <w:r w:rsidR="00D2719F" w:rsidRPr="00D2719F">
        <w:rPr>
          <w:rFonts w:ascii="Times New Roman" w:hAnsi="Times New Roman" w:cs="Times New Roman"/>
          <w:b/>
          <w:bCs/>
          <w:noProof/>
          <w:szCs w:val="24"/>
        </w:rPr>
        <w:t>373</w:t>
      </w:r>
      <w:r w:rsidR="00D2719F" w:rsidRPr="00D2719F">
        <w:rPr>
          <w:rFonts w:ascii="Times New Roman" w:hAnsi="Times New Roman" w:cs="Times New Roman"/>
          <w:noProof/>
          <w:szCs w:val="24"/>
        </w:rPr>
        <w:t>:1632–44. doi:10.1016/S0140-6736(09)60371-8</w:t>
      </w:r>
    </w:p>
    <w:p w14:paraId="3AF4C019" w14:textId="77777777" w:rsidR="00D2719F" w:rsidRPr="00D2719F" w:rsidRDefault="00D2719F" w:rsidP="00D2719F">
      <w:pPr>
        <w:widowControl w:val="0"/>
        <w:autoSpaceDE w:val="0"/>
        <w:autoSpaceDN w:val="0"/>
        <w:adjustRightInd w:val="0"/>
        <w:spacing w:line="480" w:lineRule="auto"/>
        <w:ind w:left="640" w:hanging="640"/>
        <w:rPr>
          <w:rFonts w:ascii="Times New Roman" w:hAnsi="Times New Roman" w:cs="Times New Roman"/>
          <w:noProof/>
          <w:szCs w:val="24"/>
        </w:rPr>
      </w:pPr>
      <w:r w:rsidRPr="00D2719F">
        <w:rPr>
          <w:rFonts w:ascii="Times New Roman" w:hAnsi="Times New Roman" w:cs="Times New Roman"/>
          <w:noProof/>
          <w:szCs w:val="24"/>
        </w:rPr>
        <w:t xml:space="preserve">2 </w:t>
      </w:r>
      <w:r w:rsidRPr="00D2719F">
        <w:rPr>
          <w:rFonts w:ascii="Times New Roman" w:hAnsi="Times New Roman" w:cs="Times New Roman"/>
          <w:noProof/>
          <w:szCs w:val="24"/>
        </w:rPr>
        <w:tab/>
        <w:t xml:space="preserve">Balami JS, Buchan AM. Complications of intracerebral haemorrhage. </w:t>
      </w:r>
      <w:r w:rsidRPr="00D2719F">
        <w:rPr>
          <w:rFonts w:ascii="Times New Roman" w:hAnsi="Times New Roman" w:cs="Times New Roman"/>
          <w:i/>
          <w:iCs/>
          <w:noProof/>
          <w:szCs w:val="24"/>
        </w:rPr>
        <w:t>Lancet Neurol</w:t>
      </w:r>
      <w:r w:rsidRPr="00D2719F">
        <w:rPr>
          <w:rFonts w:ascii="Times New Roman" w:hAnsi="Times New Roman" w:cs="Times New Roman"/>
          <w:noProof/>
          <w:szCs w:val="24"/>
        </w:rPr>
        <w:t xml:space="preserve"> 2012;</w:t>
      </w:r>
      <w:r w:rsidRPr="00D2719F">
        <w:rPr>
          <w:rFonts w:ascii="Times New Roman" w:hAnsi="Times New Roman" w:cs="Times New Roman"/>
          <w:b/>
          <w:bCs/>
          <w:noProof/>
          <w:szCs w:val="24"/>
        </w:rPr>
        <w:t>11</w:t>
      </w:r>
      <w:r w:rsidRPr="00D2719F">
        <w:rPr>
          <w:rFonts w:ascii="Times New Roman" w:hAnsi="Times New Roman" w:cs="Times New Roman"/>
          <w:noProof/>
          <w:szCs w:val="24"/>
        </w:rPr>
        <w:t>:101–18. doi:10.1016/S1474-4422(11)70264-2</w:t>
      </w:r>
    </w:p>
    <w:p w14:paraId="5A7A5A32" w14:textId="77777777" w:rsidR="00D2719F" w:rsidRPr="00D2719F" w:rsidRDefault="00D2719F" w:rsidP="00D2719F">
      <w:pPr>
        <w:widowControl w:val="0"/>
        <w:autoSpaceDE w:val="0"/>
        <w:autoSpaceDN w:val="0"/>
        <w:adjustRightInd w:val="0"/>
        <w:spacing w:line="480" w:lineRule="auto"/>
        <w:ind w:left="640" w:hanging="640"/>
        <w:rPr>
          <w:rFonts w:ascii="Times New Roman" w:hAnsi="Times New Roman" w:cs="Times New Roman"/>
          <w:noProof/>
          <w:szCs w:val="24"/>
        </w:rPr>
      </w:pPr>
      <w:r w:rsidRPr="00D2719F">
        <w:rPr>
          <w:rFonts w:ascii="Times New Roman" w:hAnsi="Times New Roman" w:cs="Times New Roman"/>
          <w:noProof/>
          <w:szCs w:val="24"/>
        </w:rPr>
        <w:t xml:space="preserve">3 </w:t>
      </w:r>
      <w:r w:rsidRPr="00D2719F">
        <w:rPr>
          <w:rFonts w:ascii="Times New Roman" w:hAnsi="Times New Roman" w:cs="Times New Roman"/>
          <w:noProof/>
          <w:szCs w:val="24"/>
        </w:rPr>
        <w:tab/>
        <w:t xml:space="preserve">Dowlatshahi D, Demchuk AM, Flaherty ML, </w:t>
      </w:r>
      <w:r w:rsidRPr="00D2719F">
        <w:rPr>
          <w:rFonts w:ascii="Times New Roman" w:hAnsi="Times New Roman" w:cs="Times New Roman"/>
          <w:i/>
          <w:iCs/>
          <w:noProof/>
          <w:szCs w:val="24"/>
        </w:rPr>
        <w:t>et al.</w:t>
      </w:r>
      <w:r w:rsidRPr="00D2719F">
        <w:rPr>
          <w:rFonts w:ascii="Times New Roman" w:hAnsi="Times New Roman" w:cs="Times New Roman"/>
          <w:noProof/>
          <w:szCs w:val="24"/>
        </w:rPr>
        <w:t xml:space="preserve"> Defining hematoma expansion in intracerebral hemorrhage: relationship with patient outcomes. </w:t>
      </w:r>
      <w:r w:rsidRPr="00D2719F">
        <w:rPr>
          <w:rFonts w:ascii="Times New Roman" w:hAnsi="Times New Roman" w:cs="Times New Roman"/>
          <w:i/>
          <w:iCs/>
          <w:noProof/>
          <w:szCs w:val="24"/>
        </w:rPr>
        <w:t>Neurology</w:t>
      </w:r>
      <w:r w:rsidRPr="00D2719F">
        <w:rPr>
          <w:rFonts w:ascii="Times New Roman" w:hAnsi="Times New Roman" w:cs="Times New Roman"/>
          <w:noProof/>
          <w:szCs w:val="24"/>
        </w:rPr>
        <w:t xml:space="preserve"> 2011;</w:t>
      </w:r>
      <w:r w:rsidRPr="00D2719F">
        <w:rPr>
          <w:rFonts w:ascii="Times New Roman" w:hAnsi="Times New Roman" w:cs="Times New Roman"/>
          <w:b/>
          <w:bCs/>
          <w:noProof/>
          <w:szCs w:val="24"/>
        </w:rPr>
        <w:t>76</w:t>
      </w:r>
      <w:r w:rsidRPr="00D2719F">
        <w:rPr>
          <w:rFonts w:ascii="Times New Roman" w:hAnsi="Times New Roman" w:cs="Times New Roman"/>
          <w:noProof/>
          <w:szCs w:val="24"/>
        </w:rPr>
        <w:t>:1238–44. doi:10.1212/WNL.0b013e3182143317</w:t>
      </w:r>
    </w:p>
    <w:p w14:paraId="22E30536" w14:textId="77777777" w:rsidR="00D2719F" w:rsidRPr="00D2719F" w:rsidRDefault="00D2719F" w:rsidP="00D2719F">
      <w:pPr>
        <w:widowControl w:val="0"/>
        <w:autoSpaceDE w:val="0"/>
        <w:autoSpaceDN w:val="0"/>
        <w:adjustRightInd w:val="0"/>
        <w:spacing w:line="480" w:lineRule="auto"/>
        <w:ind w:left="640" w:hanging="640"/>
        <w:rPr>
          <w:rFonts w:ascii="Times New Roman" w:hAnsi="Times New Roman" w:cs="Times New Roman"/>
          <w:noProof/>
          <w:szCs w:val="24"/>
        </w:rPr>
      </w:pPr>
      <w:r w:rsidRPr="00D2719F">
        <w:rPr>
          <w:rFonts w:ascii="Times New Roman" w:hAnsi="Times New Roman" w:cs="Times New Roman"/>
          <w:noProof/>
          <w:szCs w:val="24"/>
        </w:rPr>
        <w:t xml:space="preserve">4 </w:t>
      </w:r>
      <w:r w:rsidRPr="00D2719F">
        <w:rPr>
          <w:rFonts w:ascii="Times New Roman" w:hAnsi="Times New Roman" w:cs="Times New Roman"/>
          <w:noProof/>
          <w:szCs w:val="24"/>
        </w:rPr>
        <w:tab/>
        <w:t xml:space="preserve">Mayer SA, Brun NC, Begtrup K, </w:t>
      </w:r>
      <w:r w:rsidRPr="00D2719F">
        <w:rPr>
          <w:rFonts w:ascii="Times New Roman" w:hAnsi="Times New Roman" w:cs="Times New Roman"/>
          <w:i/>
          <w:iCs/>
          <w:noProof/>
          <w:szCs w:val="24"/>
        </w:rPr>
        <w:t>et al.</w:t>
      </w:r>
      <w:r w:rsidRPr="00D2719F">
        <w:rPr>
          <w:rFonts w:ascii="Times New Roman" w:hAnsi="Times New Roman" w:cs="Times New Roman"/>
          <w:noProof/>
          <w:szCs w:val="24"/>
        </w:rPr>
        <w:t xml:space="preserve"> Recombinant activated factor VII for acute intracerebral hemorrhage. </w:t>
      </w:r>
      <w:r w:rsidRPr="00D2719F">
        <w:rPr>
          <w:rFonts w:ascii="Times New Roman" w:hAnsi="Times New Roman" w:cs="Times New Roman"/>
          <w:i/>
          <w:iCs/>
          <w:noProof/>
          <w:szCs w:val="24"/>
        </w:rPr>
        <w:t>N Engl J Med</w:t>
      </w:r>
      <w:r w:rsidRPr="00D2719F">
        <w:rPr>
          <w:rFonts w:ascii="Times New Roman" w:hAnsi="Times New Roman" w:cs="Times New Roman"/>
          <w:noProof/>
          <w:szCs w:val="24"/>
        </w:rPr>
        <w:t xml:space="preserve"> 2005;</w:t>
      </w:r>
      <w:r w:rsidRPr="00D2719F">
        <w:rPr>
          <w:rFonts w:ascii="Times New Roman" w:hAnsi="Times New Roman" w:cs="Times New Roman"/>
          <w:b/>
          <w:bCs/>
          <w:noProof/>
          <w:szCs w:val="24"/>
        </w:rPr>
        <w:t>352</w:t>
      </w:r>
      <w:r w:rsidRPr="00D2719F">
        <w:rPr>
          <w:rFonts w:ascii="Times New Roman" w:hAnsi="Times New Roman" w:cs="Times New Roman"/>
          <w:noProof/>
          <w:szCs w:val="24"/>
        </w:rPr>
        <w:t>:777–85. doi:10.1056/NEJMoa042991</w:t>
      </w:r>
    </w:p>
    <w:p w14:paraId="7A4BA24F" w14:textId="77777777" w:rsidR="00D2719F" w:rsidRPr="00D2719F" w:rsidRDefault="00D2719F" w:rsidP="00D2719F">
      <w:pPr>
        <w:widowControl w:val="0"/>
        <w:autoSpaceDE w:val="0"/>
        <w:autoSpaceDN w:val="0"/>
        <w:adjustRightInd w:val="0"/>
        <w:spacing w:line="480" w:lineRule="auto"/>
        <w:ind w:left="640" w:hanging="640"/>
        <w:rPr>
          <w:rFonts w:ascii="Times New Roman" w:hAnsi="Times New Roman" w:cs="Times New Roman"/>
          <w:noProof/>
          <w:szCs w:val="24"/>
        </w:rPr>
      </w:pPr>
      <w:r w:rsidRPr="00D2719F">
        <w:rPr>
          <w:rFonts w:ascii="Times New Roman" w:hAnsi="Times New Roman" w:cs="Times New Roman"/>
          <w:noProof/>
          <w:szCs w:val="24"/>
        </w:rPr>
        <w:t xml:space="preserve">5 </w:t>
      </w:r>
      <w:r w:rsidRPr="00D2719F">
        <w:rPr>
          <w:rFonts w:ascii="Times New Roman" w:hAnsi="Times New Roman" w:cs="Times New Roman"/>
          <w:noProof/>
          <w:szCs w:val="24"/>
        </w:rPr>
        <w:tab/>
        <w:t xml:space="preserve">Anderson CS, Huang Y, Wang JG, </w:t>
      </w:r>
      <w:r w:rsidRPr="00D2719F">
        <w:rPr>
          <w:rFonts w:ascii="Times New Roman" w:hAnsi="Times New Roman" w:cs="Times New Roman"/>
          <w:i/>
          <w:iCs/>
          <w:noProof/>
          <w:szCs w:val="24"/>
        </w:rPr>
        <w:t>et al.</w:t>
      </w:r>
      <w:r w:rsidRPr="00D2719F">
        <w:rPr>
          <w:rFonts w:ascii="Times New Roman" w:hAnsi="Times New Roman" w:cs="Times New Roman"/>
          <w:noProof/>
          <w:szCs w:val="24"/>
        </w:rPr>
        <w:t xml:space="preserve"> Intensive blood pressure reduction in acute cerebral haemorrhage trial (INTERACT): a randomised pilot trial. </w:t>
      </w:r>
      <w:r w:rsidRPr="00D2719F">
        <w:rPr>
          <w:rFonts w:ascii="Times New Roman" w:hAnsi="Times New Roman" w:cs="Times New Roman"/>
          <w:i/>
          <w:iCs/>
          <w:noProof/>
          <w:szCs w:val="24"/>
        </w:rPr>
        <w:t>Lancet Neurol</w:t>
      </w:r>
      <w:r w:rsidRPr="00D2719F">
        <w:rPr>
          <w:rFonts w:ascii="Times New Roman" w:hAnsi="Times New Roman" w:cs="Times New Roman"/>
          <w:noProof/>
          <w:szCs w:val="24"/>
        </w:rPr>
        <w:t xml:space="preserve"> 2008;</w:t>
      </w:r>
      <w:r w:rsidRPr="00D2719F">
        <w:rPr>
          <w:rFonts w:ascii="Times New Roman" w:hAnsi="Times New Roman" w:cs="Times New Roman"/>
          <w:b/>
          <w:bCs/>
          <w:noProof/>
          <w:szCs w:val="24"/>
        </w:rPr>
        <w:t>7</w:t>
      </w:r>
      <w:r w:rsidRPr="00D2719F">
        <w:rPr>
          <w:rFonts w:ascii="Times New Roman" w:hAnsi="Times New Roman" w:cs="Times New Roman"/>
          <w:noProof/>
          <w:szCs w:val="24"/>
        </w:rPr>
        <w:t>:391–9. doi:10.1016/S1474-4422(08)70069-3</w:t>
      </w:r>
    </w:p>
    <w:p w14:paraId="429EABA8" w14:textId="77777777" w:rsidR="00D2719F" w:rsidRPr="00D2719F" w:rsidRDefault="00D2719F" w:rsidP="00D2719F">
      <w:pPr>
        <w:widowControl w:val="0"/>
        <w:autoSpaceDE w:val="0"/>
        <w:autoSpaceDN w:val="0"/>
        <w:adjustRightInd w:val="0"/>
        <w:spacing w:line="480" w:lineRule="auto"/>
        <w:ind w:left="640" w:hanging="640"/>
        <w:rPr>
          <w:rFonts w:ascii="Times New Roman" w:hAnsi="Times New Roman" w:cs="Times New Roman"/>
          <w:noProof/>
          <w:szCs w:val="24"/>
        </w:rPr>
      </w:pPr>
      <w:r w:rsidRPr="00D2719F">
        <w:rPr>
          <w:rFonts w:ascii="Times New Roman" w:hAnsi="Times New Roman" w:cs="Times New Roman"/>
          <w:noProof/>
          <w:szCs w:val="24"/>
        </w:rPr>
        <w:t xml:space="preserve">6 </w:t>
      </w:r>
      <w:r w:rsidRPr="00D2719F">
        <w:rPr>
          <w:rFonts w:ascii="Times New Roman" w:hAnsi="Times New Roman" w:cs="Times New Roman"/>
          <w:noProof/>
          <w:szCs w:val="24"/>
        </w:rPr>
        <w:tab/>
        <w:t xml:space="preserve">Mayer SA, Brun NC, Begtrup K, </w:t>
      </w:r>
      <w:r w:rsidRPr="00D2719F">
        <w:rPr>
          <w:rFonts w:ascii="Times New Roman" w:hAnsi="Times New Roman" w:cs="Times New Roman"/>
          <w:i/>
          <w:iCs/>
          <w:noProof/>
          <w:szCs w:val="24"/>
        </w:rPr>
        <w:t>et al.</w:t>
      </w:r>
      <w:r w:rsidRPr="00D2719F">
        <w:rPr>
          <w:rFonts w:ascii="Times New Roman" w:hAnsi="Times New Roman" w:cs="Times New Roman"/>
          <w:noProof/>
          <w:szCs w:val="24"/>
        </w:rPr>
        <w:t xml:space="preserve"> Efficacy and safety of recombinant activated factor VII for acute intracerebral hemorrhage. </w:t>
      </w:r>
      <w:r w:rsidRPr="00D2719F">
        <w:rPr>
          <w:rFonts w:ascii="Times New Roman" w:hAnsi="Times New Roman" w:cs="Times New Roman"/>
          <w:i/>
          <w:iCs/>
          <w:noProof/>
          <w:szCs w:val="24"/>
        </w:rPr>
        <w:t>N Engl J Med</w:t>
      </w:r>
      <w:r w:rsidRPr="00D2719F">
        <w:rPr>
          <w:rFonts w:ascii="Times New Roman" w:hAnsi="Times New Roman" w:cs="Times New Roman"/>
          <w:noProof/>
          <w:szCs w:val="24"/>
        </w:rPr>
        <w:t xml:space="preserve"> 2008;</w:t>
      </w:r>
      <w:r w:rsidRPr="00D2719F">
        <w:rPr>
          <w:rFonts w:ascii="Times New Roman" w:hAnsi="Times New Roman" w:cs="Times New Roman"/>
          <w:b/>
          <w:bCs/>
          <w:noProof/>
          <w:szCs w:val="24"/>
        </w:rPr>
        <w:t>358</w:t>
      </w:r>
      <w:r w:rsidRPr="00D2719F">
        <w:rPr>
          <w:rFonts w:ascii="Times New Roman" w:hAnsi="Times New Roman" w:cs="Times New Roman"/>
          <w:noProof/>
          <w:szCs w:val="24"/>
        </w:rPr>
        <w:t>:2127–37. doi:10.1056/NEJMoa0707534</w:t>
      </w:r>
    </w:p>
    <w:p w14:paraId="5C2C28B7" w14:textId="77777777" w:rsidR="00D2719F" w:rsidRPr="00D2719F" w:rsidRDefault="00D2719F" w:rsidP="00D2719F">
      <w:pPr>
        <w:widowControl w:val="0"/>
        <w:autoSpaceDE w:val="0"/>
        <w:autoSpaceDN w:val="0"/>
        <w:adjustRightInd w:val="0"/>
        <w:spacing w:line="480" w:lineRule="auto"/>
        <w:ind w:left="640" w:hanging="640"/>
        <w:rPr>
          <w:rFonts w:ascii="Times New Roman" w:hAnsi="Times New Roman" w:cs="Times New Roman"/>
          <w:noProof/>
          <w:szCs w:val="24"/>
        </w:rPr>
      </w:pPr>
      <w:r w:rsidRPr="00D2719F">
        <w:rPr>
          <w:rFonts w:ascii="Times New Roman" w:hAnsi="Times New Roman" w:cs="Times New Roman"/>
          <w:noProof/>
          <w:szCs w:val="24"/>
        </w:rPr>
        <w:t xml:space="preserve">7 </w:t>
      </w:r>
      <w:r w:rsidRPr="00D2719F">
        <w:rPr>
          <w:rFonts w:ascii="Times New Roman" w:hAnsi="Times New Roman" w:cs="Times New Roman"/>
          <w:noProof/>
          <w:szCs w:val="24"/>
        </w:rPr>
        <w:tab/>
        <w:t xml:space="preserve">Qureshi AI, Palesch YY, Barsan WG, </w:t>
      </w:r>
      <w:r w:rsidRPr="00D2719F">
        <w:rPr>
          <w:rFonts w:ascii="Times New Roman" w:hAnsi="Times New Roman" w:cs="Times New Roman"/>
          <w:i/>
          <w:iCs/>
          <w:noProof/>
          <w:szCs w:val="24"/>
        </w:rPr>
        <w:t>et al.</w:t>
      </w:r>
      <w:r w:rsidRPr="00D2719F">
        <w:rPr>
          <w:rFonts w:ascii="Times New Roman" w:hAnsi="Times New Roman" w:cs="Times New Roman"/>
          <w:noProof/>
          <w:szCs w:val="24"/>
        </w:rPr>
        <w:t xml:space="preserve"> Intensive Blood-Pressure Lowering in Patients with Acute Cerebral Hemorrhage. </w:t>
      </w:r>
      <w:r w:rsidRPr="00D2719F">
        <w:rPr>
          <w:rFonts w:ascii="Times New Roman" w:hAnsi="Times New Roman" w:cs="Times New Roman"/>
          <w:i/>
          <w:iCs/>
          <w:noProof/>
          <w:szCs w:val="24"/>
        </w:rPr>
        <w:t>N Engl J Med</w:t>
      </w:r>
      <w:r w:rsidRPr="00D2719F">
        <w:rPr>
          <w:rFonts w:ascii="Times New Roman" w:hAnsi="Times New Roman" w:cs="Times New Roman"/>
          <w:noProof/>
          <w:szCs w:val="24"/>
        </w:rPr>
        <w:t xml:space="preserve"> 2016;</w:t>
      </w:r>
      <w:r w:rsidRPr="00D2719F">
        <w:rPr>
          <w:rFonts w:ascii="Times New Roman" w:hAnsi="Times New Roman" w:cs="Times New Roman"/>
          <w:b/>
          <w:bCs/>
          <w:noProof/>
          <w:szCs w:val="24"/>
        </w:rPr>
        <w:t>375</w:t>
      </w:r>
      <w:r w:rsidRPr="00D2719F">
        <w:rPr>
          <w:rFonts w:ascii="Times New Roman" w:hAnsi="Times New Roman" w:cs="Times New Roman"/>
          <w:noProof/>
          <w:szCs w:val="24"/>
        </w:rPr>
        <w:t>:1033–43. doi:10.1056/NEJMoa1603460</w:t>
      </w:r>
    </w:p>
    <w:p w14:paraId="2522E8C5" w14:textId="77777777" w:rsidR="00D2719F" w:rsidRPr="00D2719F" w:rsidRDefault="00D2719F" w:rsidP="00D2719F">
      <w:pPr>
        <w:widowControl w:val="0"/>
        <w:autoSpaceDE w:val="0"/>
        <w:autoSpaceDN w:val="0"/>
        <w:adjustRightInd w:val="0"/>
        <w:spacing w:line="480" w:lineRule="auto"/>
        <w:ind w:left="640" w:hanging="640"/>
        <w:rPr>
          <w:rFonts w:ascii="Times New Roman" w:hAnsi="Times New Roman" w:cs="Times New Roman"/>
          <w:noProof/>
          <w:szCs w:val="24"/>
        </w:rPr>
      </w:pPr>
      <w:r w:rsidRPr="00D2719F">
        <w:rPr>
          <w:rFonts w:ascii="Times New Roman" w:hAnsi="Times New Roman" w:cs="Times New Roman"/>
          <w:noProof/>
          <w:szCs w:val="24"/>
        </w:rPr>
        <w:t xml:space="preserve">8 </w:t>
      </w:r>
      <w:r w:rsidRPr="00D2719F">
        <w:rPr>
          <w:rFonts w:ascii="Times New Roman" w:hAnsi="Times New Roman" w:cs="Times New Roman"/>
          <w:noProof/>
          <w:szCs w:val="24"/>
        </w:rPr>
        <w:tab/>
        <w:t xml:space="preserve">Sprigg N, Flaherty K, Appleton JP, </w:t>
      </w:r>
      <w:r w:rsidRPr="00D2719F">
        <w:rPr>
          <w:rFonts w:ascii="Times New Roman" w:hAnsi="Times New Roman" w:cs="Times New Roman"/>
          <w:i/>
          <w:iCs/>
          <w:noProof/>
          <w:szCs w:val="24"/>
        </w:rPr>
        <w:t>et al.</w:t>
      </w:r>
      <w:r w:rsidRPr="00D2719F">
        <w:rPr>
          <w:rFonts w:ascii="Times New Roman" w:hAnsi="Times New Roman" w:cs="Times New Roman"/>
          <w:noProof/>
          <w:szCs w:val="24"/>
        </w:rPr>
        <w:t xml:space="preserve"> Tranexamic acid for hyperacute primary IntraCerebral Haemorrhage (TICH-2): an international randomised, placebo-controlled, phase 3 superiority trial. </w:t>
      </w:r>
      <w:r w:rsidRPr="00D2719F">
        <w:rPr>
          <w:rFonts w:ascii="Times New Roman" w:hAnsi="Times New Roman" w:cs="Times New Roman"/>
          <w:i/>
          <w:iCs/>
          <w:noProof/>
          <w:szCs w:val="24"/>
        </w:rPr>
        <w:t>Lancet (London, England)</w:t>
      </w:r>
      <w:r w:rsidRPr="00D2719F">
        <w:rPr>
          <w:rFonts w:ascii="Times New Roman" w:hAnsi="Times New Roman" w:cs="Times New Roman"/>
          <w:noProof/>
          <w:szCs w:val="24"/>
        </w:rPr>
        <w:t xml:space="preserve"> 2018;</w:t>
      </w:r>
      <w:r w:rsidRPr="00D2719F">
        <w:rPr>
          <w:rFonts w:ascii="Times New Roman" w:hAnsi="Times New Roman" w:cs="Times New Roman"/>
          <w:b/>
          <w:bCs/>
          <w:noProof/>
          <w:szCs w:val="24"/>
        </w:rPr>
        <w:t>391</w:t>
      </w:r>
      <w:r w:rsidRPr="00D2719F">
        <w:rPr>
          <w:rFonts w:ascii="Times New Roman" w:hAnsi="Times New Roman" w:cs="Times New Roman"/>
          <w:noProof/>
          <w:szCs w:val="24"/>
        </w:rPr>
        <w:t>:2107–15. doi:10.1016/S0140-6736(18)31033-X</w:t>
      </w:r>
    </w:p>
    <w:p w14:paraId="4748A3CF" w14:textId="77777777" w:rsidR="00D2719F" w:rsidRPr="00D2719F" w:rsidRDefault="00D2719F" w:rsidP="00D2719F">
      <w:pPr>
        <w:widowControl w:val="0"/>
        <w:autoSpaceDE w:val="0"/>
        <w:autoSpaceDN w:val="0"/>
        <w:adjustRightInd w:val="0"/>
        <w:spacing w:line="480" w:lineRule="auto"/>
        <w:ind w:left="640" w:hanging="640"/>
        <w:rPr>
          <w:rFonts w:ascii="Times New Roman" w:hAnsi="Times New Roman" w:cs="Times New Roman"/>
          <w:noProof/>
          <w:szCs w:val="24"/>
        </w:rPr>
      </w:pPr>
      <w:r w:rsidRPr="00D2719F">
        <w:rPr>
          <w:rFonts w:ascii="Times New Roman" w:hAnsi="Times New Roman" w:cs="Times New Roman"/>
          <w:noProof/>
          <w:szCs w:val="24"/>
        </w:rPr>
        <w:t xml:space="preserve">9 </w:t>
      </w:r>
      <w:r w:rsidRPr="00D2719F">
        <w:rPr>
          <w:rFonts w:ascii="Times New Roman" w:hAnsi="Times New Roman" w:cs="Times New Roman"/>
          <w:noProof/>
          <w:szCs w:val="24"/>
        </w:rPr>
        <w:tab/>
        <w:t xml:space="preserve">Boulouis G, Morotti A, Charidimou A, </w:t>
      </w:r>
      <w:r w:rsidRPr="00D2719F">
        <w:rPr>
          <w:rFonts w:ascii="Times New Roman" w:hAnsi="Times New Roman" w:cs="Times New Roman"/>
          <w:i/>
          <w:iCs/>
          <w:noProof/>
          <w:szCs w:val="24"/>
        </w:rPr>
        <w:t>et al.</w:t>
      </w:r>
      <w:r w:rsidRPr="00D2719F">
        <w:rPr>
          <w:rFonts w:ascii="Times New Roman" w:hAnsi="Times New Roman" w:cs="Times New Roman"/>
          <w:noProof/>
          <w:szCs w:val="24"/>
        </w:rPr>
        <w:t xml:space="preserve"> Noncontrast Computed Tomography Markers of Intracerebral Hemorrhage Expansion. </w:t>
      </w:r>
      <w:r w:rsidRPr="00D2719F">
        <w:rPr>
          <w:rFonts w:ascii="Times New Roman" w:hAnsi="Times New Roman" w:cs="Times New Roman"/>
          <w:i/>
          <w:iCs/>
          <w:noProof/>
          <w:szCs w:val="24"/>
        </w:rPr>
        <w:t>Stroke</w:t>
      </w:r>
      <w:r w:rsidRPr="00D2719F">
        <w:rPr>
          <w:rFonts w:ascii="Times New Roman" w:hAnsi="Times New Roman" w:cs="Times New Roman"/>
          <w:noProof/>
          <w:szCs w:val="24"/>
        </w:rPr>
        <w:t xml:space="preserve"> 2017;</w:t>
      </w:r>
      <w:r w:rsidRPr="00D2719F">
        <w:rPr>
          <w:rFonts w:ascii="Times New Roman" w:hAnsi="Times New Roman" w:cs="Times New Roman"/>
          <w:b/>
          <w:bCs/>
          <w:noProof/>
          <w:szCs w:val="24"/>
        </w:rPr>
        <w:t>48</w:t>
      </w:r>
      <w:r w:rsidRPr="00D2719F">
        <w:rPr>
          <w:rFonts w:ascii="Times New Roman" w:hAnsi="Times New Roman" w:cs="Times New Roman"/>
          <w:noProof/>
          <w:szCs w:val="24"/>
        </w:rPr>
        <w:t>:1120–5. doi:10.1161/STROKEAHA.116.015062</w:t>
      </w:r>
    </w:p>
    <w:p w14:paraId="48C118A9" w14:textId="77777777" w:rsidR="00D2719F" w:rsidRPr="00D2719F" w:rsidRDefault="00D2719F" w:rsidP="00D2719F">
      <w:pPr>
        <w:widowControl w:val="0"/>
        <w:autoSpaceDE w:val="0"/>
        <w:autoSpaceDN w:val="0"/>
        <w:adjustRightInd w:val="0"/>
        <w:spacing w:line="480" w:lineRule="auto"/>
        <w:ind w:left="640" w:hanging="640"/>
        <w:rPr>
          <w:rFonts w:ascii="Times New Roman" w:hAnsi="Times New Roman" w:cs="Times New Roman"/>
          <w:noProof/>
          <w:szCs w:val="24"/>
        </w:rPr>
      </w:pPr>
      <w:r w:rsidRPr="00D2719F">
        <w:rPr>
          <w:rFonts w:ascii="Times New Roman" w:hAnsi="Times New Roman" w:cs="Times New Roman"/>
          <w:noProof/>
          <w:szCs w:val="24"/>
        </w:rPr>
        <w:t xml:space="preserve">10 </w:t>
      </w:r>
      <w:r w:rsidRPr="00D2719F">
        <w:rPr>
          <w:rFonts w:ascii="Times New Roman" w:hAnsi="Times New Roman" w:cs="Times New Roman"/>
          <w:noProof/>
          <w:szCs w:val="24"/>
        </w:rPr>
        <w:tab/>
        <w:t xml:space="preserve">Demchuk AM, Dowlatshahi D, Rodriguez-Luna D, </w:t>
      </w:r>
      <w:r w:rsidRPr="00D2719F">
        <w:rPr>
          <w:rFonts w:ascii="Times New Roman" w:hAnsi="Times New Roman" w:cs="Times New Roman"/>
          <w:i/>
          <w:iCs/>
          <w:noProof/>
          <w:szCs w:val="24"/>
        </w:rPr>
        <w:t>et al.</w:t>
      </w:r>
      <w:r w:rsidRPr="00D2719F">
        <w:rPr>
          <w:rFonts w:ascii="Times New Roman" w:hAnsi="Times New Roman" w:cs="Times New Roman"/>
          <w:noProof/>
          <w:szCs w:val="24"/>
        </w:rPr>
        <w:t xml:space="preserve"> Prediction of haematoma growth and outcome in patients with intracerebral haemorrhage using the CT-angiography spot sign (PREDICT): a prospective observational study. </w:t>
      </w:r>
      <w:r w:rsidRPr="00D2719F">
        <w:rPr>
          <w:rFonts w:ascii="Times New Roman" w:hAnsi="Times New Roman" w:cs="Times New Roman"/>
          <w:i/>
          <w:iCs/>
          <w:noProof/>
          <w:szCs w:val="24"/>
        </w:rPr>
        <w:t>Lancet Neurol</w:t>
      </w:r>
      <w:r w:rsidRPr="00D2719F">
        <w:rPr>
          <w:rFonts w:ascii="Times New Roman" w:hAnsi="Times New Roman" w:cs="Times New Roman"/>
          <w:noProof/>
          <w:szCs w:val="24"/>
        </w:rPr>
        <w:t xml:space="preserve"> 2012;</w:t>
      </w:r>
      <w:r w:rsidRPr="00D2719F">
        <w:rPr>
          <w:rFonts w:ascii="Times New Roman" w:hAnsi="Times New Roman" w:cs="Times New Roman"/>
          <w:b/>
          <w:bCs/>
          <w:noProof/>
          <w:szCs w:val="24"/>
        </w:rPr>
        <w:t>11</w:t>
      </w:r>
      <w:r w:rsidRPr="00D2719F">
        <w:rPr>
          <w:rFonts w:ascii="Times New Roman" w:hAnsi="Times New Roman" w:cs="Times New Roman"/>
          <w:noProof/>
          <w:szCs w:val="24"/>
        </w:rPr>
        <w:t xml:space="preserve">:307–14. </w:t>
      </w:r>
      <w:r w:rsidRPr="00D2719F">
        <w:rPr>
          <w:rFonts w:ascii="Times New Roman" w:hAnsi="Times New Roman" w:cs="Times New Roman"/>
          <w:noProof/>
          <w:szCs w:val="24"/>
        </w:rPr>
        <w:lastRenderedPageBreak/>
        <w:t>doi:10.1016/S1474-4422(12)70038-8</w:t>
      </w:r>
    </w:p>
    <w:p w14:paraId="32DBEAC8" w14:textId="77777777" w:rsidR="00D2719F" w:rsidRPr="00D2719F" w:rsidRDefault="00D2719F" w:rsidP="00D2719F">
      <w:pPr>
        <w:widowControl w:val="0"/>
        <w:autoSpaceDE w:val="0"/>
        <w:autoSpaceDN w:val="0"/>
        <w:adjustRightInd w:val="0"/>
        <w:spacing w:line="480" w:lineRule="auto"/>
        <w:ind w:left="640" w:hanging="640"/>
        <w:rPr>
          <w:rFonts w:ascii="Times New Roman" w:hAnsi="Times New Roman" w:cs="Times New Roman"/>
          <w:noProof/>
          <w:szCs w:val="24"/>
        </w:rPr>
      </w:pPr>
      <w:r w:rsidRPr="00D2719F">
        <w:rPr>
          <w:rFonts w:ascii="Times New Roman" w:hAnsi="Times New Roman" w:cs="Times New Roman"/>
          <w:noProof/>
          <w:szCs w:val="24"/>
        </w:rPr>
        <w:t xml:space="preserve">11 </w:t>
      </w:r>
      <w:r w:rsidRPr="00D2719F">
        <w:rPr>
          <w:rFonts w:ascii="Times New Roman" w:hAnsi="Times New Roman" w:cs="Times New Roman"/>
          <w:noProof/>
          <w:szCs w:val="24"/>
        </w:rPr>
        <w:tab/>
        <w:t xml:space="preserve">Broderick JP, Diringer MN, Hill MD, </w:t>
      </w:r>
      <w:r w:rsidRPr="00D2719F">
        <w:rPr>
          <w:rFonts w:ascii="Times New Roman" w:hAnsi="Times New Roman" w:cs="Times New Roman"/>
          <w:i/>
          <w:iCs/>
          <w:noProof/>
          <w:szCs w:val="24"/>
        </w:rPr>
        <w:t>et al.</w:t>
      </w:r>
      <w:r w:rsidRPr="00D2719F">
        <w:rPr>
          <w:rFonts w:ascii="Times New Roman" w:hAnsi="Times New Roman" w:cs="Times New Roman"/>
          <w:noProof/>
          <w:szCs w:val="24"/>
        </w:rPr>
        <w:t xml:space="preserve"> Determinants of intracerebral hemorrhage growth: an exploratory analysis. </w:t>
      </w:r>
      <w:r w:rsidRPr="00D2719F">
        <w:rPr>
          <w:rFonts w:ascii="Times New Roman" w:hAnsi="Times New Roman" w:cs="Times New Roman"/>
          <w:i/>
          <w:iCs/>
          <w:noProof/>
          <w:szCs w:val="24"/>
        </w:rPr>
        <w:t>Stroke</w:t>
      </w:r>
      <w:r w:rsidRPr="00D2719F">
        <w:rPr>
          <w:rFonts w:ascii="Times New Roman" w:hAnsi="Times New Roman" w:cs="Times New Roman"/>
          <w:noProof/>
          <w:szCs w:val="24"/>
        </w:rPr>
        <w:t xml:space="preserve"> 2007;</w:t>
      </w:r>
      <w:r w:rsidRPr="00D2719F">
        <w:rPr>
          <w:rFonts w:ascii="Times New Roman" w:hAnsi="Times New Roman" w:cs="Times New Roman"/>
          <w:b/>
          <w:bCs/>
          <w:noProof/>
          <w:szCs w:val="24"/>
        </w:rPr>
        <w:t>38</w:t>
      </w:r>
      <w:r w:rsidRPr="00D2719F">
        <w:rPr>
          <w:rFonts w:ascii="Times New Roman" w:hAnsi="Times New Roman" w:cs="Times New Roman"/>
          <w:noProof/>
          <w:szCs w:val="24"/>
        </w:rPr>
        <w:t>:1072–5. doi:10.1161/01.STR.0000258078.35316.30</w:t>
      </w:r>
    </w:p>
    <w:p w14:paraId="39CAB6E6" w14:textId="77777777" w:rsidR="00D2719F" w:rsidRPr="00D2719F" w:rsidRDefault="00D2719F" w:rsidP="00D2719F">
      <w:pPr>
        <w:widowControl w:val="0"/>
        <w:autoSpaceDE w:val="0"/>
        <w:autoSpaceDN w:val="0"/>
        <w:adjustRightInd w:val="0"/>
        <w:spacing w:line="480" w:lineRule="auto"/>
        <w:ind w:left="640" w:hanging="640"/>
        <w:rPr>
          <w:rFonts w:ascii="Times New Roman" w:hAnsi="Times New Roman" w:cs="Times New Roman"/>
          <w:noProof/>
          <w:szCs w:val="24"/>
        </w:rPr>
      </w:pPr>
      <w:r w:rsidRPr="00D2719F">
        <w:rPr>
          <w:rFonts w:ascii="Times New Roman" w:hAnsi="Times New Roman" w:cs="Times New Roman"/>
          <w:noProof/>
          <w:szCs w:val="24"/>
        </w:rPr>
        <w:t xml:space="preserve">12 </w:t>
      </w:r>
      <w:r w:rsidRPr="00D2719F">
        <w:rPr>
          <w:rFonts w:ascii="Times New Roman" w:hAnsi="Times New Roman" w:cs="Times New Roman"/>
          <w:noProof/>
          <w:szCs w:val="24"/>
        </w:rPr>
        <w:tab/>
        <w:t xml:space="preserve">Yao X, Xu Y, Siwila-Sackman E, </w:t>
      </w:r>
      <w:r w:rsidRPr="00D2719F">
        <w:rPr>
          <w:rFonts w:ascii="Times New Roman" w:hAnsi="Times New Roman" w:cs="Times New Roman"/>
          <w:i/>
          <w:iCs/>
          <w:noProof/>
          <w:szCs w:val="24"/>
        </w:rPr>
        <w:t>et al.</w:t>
      </w:r>
      <w:r w:rsidRPr="00D2719F">
        <w:rPr>
          <w:rFonts w:ascii="Times New Roman" w:hAnsi="Times New Roman" w:cs="Times New Roman"/>
          <w:noProof/>
          <w:szCs w:val="24"/>
        </w:rPr>
        <w:t xml:space="preserve"> The HEP Score: A Nomogram-Derived Hematoma Expansion Prediction Scale. </w:t>
      </w:r>
      <w:r w:rsidRPr="00D2719F">
        <w:rPr>
          <w:rFonts w:ascii="Times New Roman" w:hAnsi="Times New Roman" w:cs="Times New Roman"/>
          <w:i/>
          <w:iCs/>
          <w:noProof/>
          <w:szCs w:val="24"/>
        </w:rPr>
        <w:t>Neurocrit Care</w:t>
      </w:r>
      <w:r w:rsidRPr="00D2719F">
        <w:rPr>
          <w:rFonts w:ascii="Times New Roman" w:hAnsi="Times New Roman" w:cs="Times New Roman"/>
          <w:noProof/>
          <w:szCs w:val="24"/>
        </w:rPr>
        <w:t xml:space="preserve"> 2015;</w:t>
      </w:r>
      <w:r w:rsidRPr="00D2719F">
        <w:rPr>
          <w:rFonts w:ascii="Times New Roman" w:hAnsi="Times New Roman" w:cs="Times New Roman"/>
          <w:b/>
          <w:bCs/>
          <w:noProof/>
          <w:szCs w:val="24"/>
        </w:rPr>
        <w:t>23</w:t>
      </w:r>
      <w:r w:rsidRPr="00D2719F">
        <w:rPr>
          <w:rFonts w:ascii="Times New Roman" w:hAnsi="Times New Roman" w:cs="Times New Roman"/>
          <w:noProof/>
          <w:szCs w:val="24"/>
        </w:rPr>
        <w:t>:179–87. doi:10.1007/s12028-015-0147-4</w:t>
      </w:r>
    </w:p>
    <w:p w14:paraId="30D770E5" w14:textId="77777777" w:rsidR="00D2719F" w:rsidRPr="00D2719F" w:rsidRDefault="00D2719F" w:rsidP="00D2719F">
      <w:pPr>
        <w:widowControl w:val="0"/>
        <w:autoSpaceDE w:val="0"/>
        <w:autoSpaceDN w:val="0"/>
        <w:adjustRightInd w:val="0"/>
        <w:spacing w:line="480" w:lineRule="auto"/>
        <w:ind w:left="640" w:hanging="640"/>
        <w:rPr>
          <w:rFonts w:ascii="Times New Roman" w:hAnsi="Times New Roman" w:cs="Times New Roman"/>
          <w:noProof/>
          <w:szCs w:val="24"/>
        </w:rPr>
      </w:pPr>
      <w:r w:rsidRPr="00D2719F">
        <w:rPr>
          <w:rFonts w:ascii="Times New Roman" w:hAnsi="Times New Roman" w:cs="Times New Roman"/>
          <w:noProof/>
          <w:szCs w:val="24"/>
        </w:rPr>
        <w:t xml:space="preserve">13 </w:t>
      </w:r>
      <w:r w:rsidRPr="00D2719F">
        <w:rPr>
          <w:rFonts w:ascii="Times New Roman" w:hAnsi="Times New Roman" w:cs="Times New Roman"/>
          <w:noProof/>
          <w:szCs w:val="24"/>
        </w:rPr>
        <w:tab/>
        <w:t xml:space="preserve">Huynh TJ, Aviv RI, Dowlatshahi D, </w:t>
      </w:r>
      <w:r w:rsidRPr="00D2719F">
        <w:rPr>
          <w:rFonts w:ascii="Times New Roman" w:hAnsi="Times New Roman" w:cs="Times New Roman"/>
          <w:i/>
          <w:iCs/>
          <w:noProof/>
          <w:szCs w:val="24"/>
        </w:rPr>
        <w:t>et al.</w:t>
      </w:r>
      <w:r w:rsidRPr="00D2719F">
        <w:rPr>
          <w:rFonts w:ascii="Times New Roman" w:hAnsi="Times New Roman" w:cs="Times New Roman"/>
          <w:noProof/>
          <w:szCs w:val="24"/>
        </w:rPr>
        <w:t xml:space="preserve"> Validation of the 9-Point and 24-Point Hematoma Expansion Prediction Scores and Derivation of the PREDICT A/B Scores. </w:t>
      </w:r>
      <w:r w:rsidRPr="00D2719F">
        <w:rPr>
          <w:rFonts w:ascii="Times New Roman" w:hAnsi="Times New Roman" w:cs="Times New Roman"/>
          <w:i/>
          <w:iCs/>
          <w:noProof/>
          <w:szCs w:val="24"/>
        </w:rPr>
        <w:t>Stroke</w:t>
      </w:r>
      <w:r w:rsidRPr="00D2719F">
        <w:rPr>
          <w:rFonts w:ascii="Times New Roman" w:hAnsi="Times New Roman" w:cs="Times New Roman"/>
          <w:noProof/>
          <w:szCs w:val="24"/>
        </w:rPr>
        <w:t xml:space="preserve"> 2015;</w:t>
      </w:r>
      <w:r w:rsidRPr="00D2719F">
        <w:rPr>
          <w:rFonts w:ascii="Times New Roman" w:hAnsi="Times New Roman" w:cs="Times New Roman"/>
          <w:b/>
          <w:bCs/>
          <w:noProof/>
          <w:szCs w:val="24"/>
        </w:rPr>
        <w:t>46</w:t>
      </w:r>
      <w:r w:rsidRPr="00D2719F">
        <w:rPr>
          <w:rFonts w:ascii="Times New Roman" w:hAnsi="Times New Roman" w:cs="Times New Roman"/>
          <w:noProof/>
          <w:szCs w:val="24"/>
        </w:rPr>
        <w:t>:3105–10. doi:10.1161/STROKEAHA.115.009893</w:t>
      </w:r>
    </w:p>
    <w:p w14:paraId="5412C4C7" w14:textId="77777777" w:rsidR="00D2719F" w:rsidRPr="00D2719F" w:rsidRDefault="00D2719F" w:rsidP="00D2719F">
      <w:pPr>
        <w:widowControl w:val="0"/>
        <w:autoSpaceDE w:val="0"/>
        <w:autoSpaceDN w:val="0"/>
        <w:adjustRightInd w:val="0"/>
        <w:spacing w:line="480" w:lineRule="auto"/>
        <w:ind w:left="640" w:hanging="640"/>
        <w:rPr>
          <w:rFonts w:ascii="Times New Roman" w:hAnsi="Times New Roman" w:cs="Times New Roman"/>
          <w:noProof/>
          <w:szCs w:val="24"/>
        </w:rPr>
      </w:pPr>
      <w:r w:rsidRPr="00D2719F">
        <w:rPr>
          <w:rFonts w:ascii="Times New Roman" w:hAnsi="Times New Roman" w:cs="Times New Roman"/>
          <w:noProof/>
          <w:szCs w:val="24"/>
        </w:rPr>
        <w:t xml:space="preserve">14 </w:t>
      </w:r>
      <w:r w:rsidRPr="00D2719F">
        <w:rPr>
          <w:rFonts w:ascii="Times New Roman" w:hAnsi="Times New Roman" w:cs="Times New Roman"/>
          <w:noProof/>
          <w:szCs w:val="24"/>
        </w:rPr>
        <w:tab/>
        <w:t xml:space="preserve">Wang X, Arima H, Al-Shahi Salman R, </w:t>
      </w:r>
      <w:r w:rsidRPr="00D2719F">
        <w:rPr>
          <w:rFonts w:ascii="Times New Roman" w:hAnsi="Times New Roman" w:cs="Times New Roman"/>
          <w:i/>
          <w:iCs/>
          <w:noProof/>
          <w:szCs w:val="24"/>
        </w:rPr>
        <w:t>et al.</w:t>
      </w:r>
      <w:r w:rsidRPr="00D2719F">
        <w:rPr>
          <w:rFonts w:ascii="Times New Roman" w:hAnsi="Times New Roman" w:cs="Times New Roman"/>
          <w:noProof/>
          <w:szCs w:val="24"/>
        </w:rPr>
        <w:t xml:space="preserve"> Clinical prediction algorithm (BRAIN) to determine risk of hematoma growth in acute intracerebral hemorrhage. </w:t>
      </w:r>
      <w:r w:rsidRPr="00D2719F">
        <w:rPr>
          <w:rFonts w:ascii="Times New Roman" w:hAnsi="Times New Roman" w:cs="Times New Roman"/>
          <w:i/>
          <w:iCs/>
          <w:noProof/>
          <w:szCs w:val="24"/>
        </w:rPr>
        <w:t>Stroke</w:t>
      </w:r>
      <w:r w:rsidRPr="00D2719F">
        <w:rPr>
          <w:rFonts w:ascii="Times New Roman" w:hAnsi="Times New Roman" w:cs="Times New Roman"/>
          <w:noProof/>
          <w:szCs w:val="24"/>
        </w:rPr>
        <w:t xml:space="preserve"> 2015;</w:t>
      </w:r>
      <w:r w:rsidRPr="00D2719F">
        <w:rPr>
          <w:rFonts w:ascii="Times New Roman" w:hAnsi="Times New Roman" w:cs="Times New Roman"/>
          <w:b/>
          <w:bCs/>
          <w:noProof/>
          <w:szCs w:val="24"/>
        </w:rPr>
        <w:t>46</w:t>
      </w:r>
      <w:r w:rsidRPr="00D2719F">
        <w:rPr>
          <w:rFonts w:ascii="Times New Roman" w:hAnsi="Times New Roman" w:cs="Times New Roman"/>
          <w:noProof/>
          <w:szCs w:val="24"/>
        </w:rPr>
        <w:t>:376–81. doi:10.1161/STROKEAHA.114.006910</w:t>
      </w:r>
    </w:p>
    <w:p w14:paraId="6F13D9FC" w14:textId="77777777" w:rsidR="00D2719F" w:rsidRPr="00D2719F" w:rsidRDefault="00D2719F" w:rsidP="00D2719F">
      <w:pPr>
        <w:widowControl w:val="0"/>
        <w:autoSpaceDE w:val="0"/>
        <w:autoSpaceDN w:val="0"/>
        <w:adjustRightInd w:val="0"/>
        <w:spacing w:line="480" w:lineRule="auto"/>
        <w:ind w:left="640" w:hanging="640"/>
        <w:rPr>
          <w:rFonts w:ascii="Times New Roman" w:hAnsi="Times New Roman" w:cs="Times New Roman"/>
          <w:noProof/>
          <w:szCs w:val="24"/>
        </w:rPr>
      </w:pPr>
      <w:r w:rsidRPr="00D2719F">
        <w:rPr>
          <w:rFonts w:ascii="Times New Roman" w:hAnsi="Times New Roman" w:cs="Times New Roman"/>
          <w:noProof/>
          <w:szCs w:val="24"/>
        </w:rPr>
        <w:t xml:space="preserve">15 </w:t>
      </w:r>
      <w:r w:rsidRPr="00D2719F">
        <w:rPr>
          <w:rFonts w:ascii="Times New Roman" w:hAnsi="Times New Roman" w:cs="Times New Roman"/>
          <w:noProof/>
          <w:szCs w:val="24"/>
        </w:rPr>
        <w:tab/>
        <w:t xml:space="preserve">Institute TJB. </w:t>
      </w:r>
      <w:r w:rsidRPr="00D2719F">
        <w:rPr>
          <w:rFonts w:ascii="Times New Roman" w:hAnsi="Times New Roman" w:cs="Times New Roman"/>
          <w:i/>
          <w:iCs/>
          <w:noProof/>
          <w:szCs w:val="24"/>
        </w:rPr>
        <w:t>Methdology for Scoping Reviews: Joanna Briggs Institute Reviewers’ Manual: 2015 edition / Supplement</w:t>
      </w:r>
      <w:r w:rsidRPr="00D2719F">
        <w:rPr>
          <w:rFonts w:ascii="Times New Roman" w:hAnsi="Times New Roman" w:cs="Times New Roman"/>
          <w:noProof/>
          <w:szCs w:val="24"/>
        </w:rPr>
        <w:t xml:space="preserve">. Adelaide: : The Joanna Briggs Institute 2015. </w:t>
      </w:r>
    </w:p>
    <w:p w14:paraId="679E94A0" w14:textId="77777777" w:rsidR="00D2719F" w:rsidRPr="00D2719F" w:rsidRDefault="00D2719F" w:rsidP="00D2719F">
      <w:pPr>
        <w:widowControl w:val="0"/>
        <w:autoSpaceDE w:val="0"/>
        <w:autoSpaceDN w:val="0"/>
        <w:adjustRightInd w:val="0"/>
        <w:spacing w:line="480" w:lineRule="auto"/>
        <w:ind w:left="640" w:hanging="640"/>
        <w:rPr>
          <w:rFonts w:ascii="Times New Roman" w:hAnsi="Times New Roman" w:cs="Times New Roman"/>
          <w:noProof/>
          <w:szCs w:val="24"/>
        </w:rPr>
      </w:pPr>
      <w:r w:rsidRPr="00D2719F">
        <w:rPr>
          <w:rFonts w:ascii="Times New Roman" w:hAnsi="Times New Roman" w:cs="Times New Roman"/>
          <w:noProof/>
          <w:szCs w:val="24"/>
        </w:rPr>
        <w:t xml:space="preserve">16 </w:t>
      </w:r>
      <w:r w:rsidRPr="00D2719F">
        <w:rPr>
          <w:rFonts w:ascii="Times New Roman" w:hAnsi="Times New Roman" w:cs="Times New Roman"/>
          <w:noProof/>
          <w:szCs w:val="24"/>
        </w:rPr>
        <w:tab/>
        <w:t xml:space="preserve">Moher D, Shamseer L, Clarke M, </w:t>
      </w:r>
      <w:r w:rsidRPr="00D2719F">
        <w:rPr>
          <w:rFonts w:ascii="Times New Roman" w:hAnsi="Times New Roman" w:cs="Times New Roman"/>
          <w:i/>
          <w:iCs/>
          <w:noProof/>
          <w:szCs w:val="24"/>
        </w:rPr>
        <w:t>et al.</w:t>
      </w:r>
      <w:r w:rsidRPr="00D2719F">
        <w:rPr>
          <w:rFonts w:ascii="Times New Roman" w:hAnsi="Times New Roman" w:cs="Times New Roman"/>
          <w:noProof/>
          <w:szCs w:val="24"/>
        </w:rPr>
        <w:t xml:space="preserve"> Preferred reporting items for systematic review and meta-analysis protocols (PRISMA-P) 2015 statement. </w:t>
      </w:r>
      <w:r w:rsidRPr="00D2719F">
        <w:rPr>
          <w:rFonts w:ascii="Times New Roman" w:hAnsi="Times New Roman" w:cs="Times New Roman"/>
          <w:i/>
          <w:iCs/>
          <w:noProof/>
          <w:szCs w:val="24"/>
        </w:rPr>
        <w:t>Syst Rev</w:t>
      </w:r>
      <w:r w:rsidRPr="00D2719F">
        <w:rPr>
          <w:rFonts w:ascii="Times New Roman" w:hAnsi="Times New Roman" w:cs="Times New Roman"/>
          <w:noProof/>
          <w:szCs w:val="24"/>
        </w:rPr>
        <w:t xml:space="preserve"> 2015;</w:t>
      </w:r>
      <w:r w:rsidRPr="00D2719F">
        <w:rPr>
          <w:rFonts w:ascii="Times New Roman" w:hAnsi="Times New Roman" w:cs="Times New Roman"/>
          <w:b/>
          <w:bCs/>
          <w:noProof/>
          <w:szCs w:val="24"/>
        </w:rPr>
        <w:t>4</w:t>
      </w:r>
      <w:r w:rsidRPr="00D2719F">
        <w:rPr>
          <w:rFonts w:ascii="Times New Roman" w:hAnsi="Times New Roman" w:cs="Times New Roman"/>
          <w:noProof/>
          <w:szCs w:val="24"/>
        </w:rPr>
        <w:t>:1. doi:10.1186/2046-4053-4-1</w:t>
      </w:r>
    </w:p>
    <w:p w14:paraId="49B8B689" w14:textId="77777777" w:rsidR="00D2719F" w:rsidRPr="00D2719F" w:rsidRDefault="00D2719F" w:rsidP="00D2719F">
      <w:pPr>
        <w:widowControl w:val="0"/>
        <w:autoSpaceDE w:val="0"/>
        <w:autoSpaceDN w:val="0"/>
        <w:adjustRightInd w:val="0"/>
        <w:spacing w:line="480" w:lineRule="auto"/>
        <w:ind w:left="640" w:hanging="640"/>
        <w:rPr>
          <w:rFonts w:ascii="Times New Roman" w:hAnsi="Times New Roman" w:cs="Times New Roman"/>
          <w:noProof/>
        </w:rPr>
      </w:pPr>
      <w:r w:rsidRPr="00D2719F">
        <w:rPr>
          <w:rFonts w:ascii="Times New Roman" w:hAnsi="Times New Roman" w:cs="Times New Roman"/>
          <w:noProof/>
          <w:szCs w:val="24"/>
        </w:rPr>
        <w:t xml:space="preserve">17 </w:t>
      </w:r>
      <w:r w:rsidRPr="00D2719F">
        <w:rPr>
          <w:rFonts w:ascii="Times New Roman" w:hAnsi="Times New Roman" w:cs="Times New Roman"/>
          <w:noProof/>
          <w:szCs w:val="24"/>
        </w:rPr>
        <w:tab/>
        <w:t xml:space="preserve">Dowlatshahi D, Brouwers HB, Demchuk AM, </w:t>
      </w:r>
      <w:r w:rsidRPr="00D2719F">
        <w:rPr>
          <w:rFonts w:ascii="Times New Roman" w:hAnsi="Times New Roman" w:cs="Times New Roman"/>
          <w:i/>
          <w:iCs/>
          <w:noProof/>
          <w:szCs w:val="24"/>
        </w:rPr>
        <w:t>et al.</w:t>
      </w:r>
      <w:r w:rsidRPr="00D2719F">
        <w:rPr>
          <w:rFonts w:ascii="Times New Roman" w:hAnsi="Times New Roman" w:cs="Times New Roman"/>
          <w:noProof/>
          <w:szCs w:val="24"/>
        </w:rPr>
        <w:t xml:space="preserve"> Predicting Intracerebral Hemorrhage Growth With the Spot Sign: The Effect of Onset-to-Scan Time. </w:t>
      </w:r>
      <w:r w:rsidRPr="00D2719F">
        <w:rPr>
          <w:rFonts w:ascii="Times New Roman" w:hAnsi="Times New Roman" w:cs="Times New Roman"/>
          <w:i/>
          <w:iCs/>
          <w:noProof/>
          <w:szCs w:val="24"/>
        </w:rPr>
        <w:t>Stroke</w:t>
      </w:r>
      <w:r w:rsidRPr="00D2719F">
        <w:rPr>
          <w:rFonts w:ascii="Times New Roman" w:hAnsi="Times New Roman" w:cs="Times New Roman"/>
          <w:noProof/>
          <w:szCs w:val="24"/>
        </w:rPr>
        <w:t xml:space="preserve"> 2016;</w:t>
      </w:r>
      <w:r w:rsidRPr="00D2719F">
        <w:rPr>
          <w:rFonts w:ascii="Times New Roman" w:hAnsi="Times New Roman" w:cs="Times New Roman"/>
          <w:b/>
          <w:bCs/>
          <w:noProof/>
          <w:szCs w:val="24"/>
        </w:rPr>
        <w:t>47</w:t>
      </w:r>
      <w:r w:rsidRPr="00D2719F">
        <w:rPr>
          <w:rFonts w:ascii="Times New Roman" w:hAnsi="Times New Roman" w:cs="Times New Roman"/>
          <w:noProof/>
          <w:szCs w:val="24"/>
        </w:rPr>
        <w:t>:695–700. doi:10.1161/STROKEAHA.115.012012</w:t>
      </w:r>
    </w:p>
    <w:p w14:paraId="0AF486F8" w14:textId="5E1A4CAD" w:rsidR="00E918CF" w:rsidRDefault="00D87809" w:rsidP="00990C55">
      <w:pPr>
        <w:spacing w:line="480" w:lineRule="auto"/>
        <w:contextualSpacing/>
        <w:rPr>
          <w:rFonts w:ascii="Times New Roman" w:hAnsi="Times New Roman" w:cs="Times New Roman"/>
        </w:rPr>
      </w:pPr>
      <w:r w:rsidRPr="00215ACC">
        <w:rPr>
          <w:rFonts w:ascii="Times New Roman" w:hAnsi="Times New Roman" w:cs="Times New Roman"/>
        </w:rPr>
        <w:fldChar w:fldCharType="end"/>
      </w:r>
    </w:p>
    <w:p w14:paraId="400E6ED1" w14:textId="77777777" w:rsidR="00FA179C" w:rsidRPr="00FA179C" w:rsidRDefault="00FA179C" w:rsidP="00E918CF">
      <w:pPr>
        <w:spacing w:line="480" w:lineRule="auto"/>
        <w:contextualSpacing/>
        <w:rPr>
          <w:color w:val="FF0000"/>
        </w:rPr>
      </w:pPr>
    </w:p>
    <w:sectPr w:rsidR="00FA179C" w:rsidRPr="00FA179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6F128CC0"/>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DAA0AA1C"/>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C6928A44"/>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75ACADB0"/>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217AC73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D4E1D30"/>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80C027C"/>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4F5E5D9A"/>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CA7202F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4CE3B8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B515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81A78F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0B2F3CA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5C5697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18F82A20"/>
    <w:multiLevelType w:val="hybridMultilevel"/>
    <w:tmpl w:val="9E86E3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98929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EDE304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F0A44B4"/>
    <w:multiLevelType w:val="hybridMultilevel"/>
    <w:tmpl w:val="74E877D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AEB0273"/>
    <w:multiLevelType w:val="multilevel"/>
    <w:tmpl w:val="526206A0"/>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9" w15:restartNumberingAfterBreak="0">
    <w:nsid w:val="43F850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4C4F29"/>
    <w:multiLevelType w:val="multilevel"/>
    <w:tmpl w:val="D8061F64"/>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1" w15:restartNumberingAfterBreak="0">
    <w:nsid w:val="52BF1DAB"/>
    <w:multiLevelType w:val="hybridMultilevel"/>
    <w:tmpl w:val="CEE4B9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9350CFB"/>
    <w:multiLevelType w:val="multilevel"/>
    <w:tmpl w:val="9DF09F08"/>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3" w15:restartNumberingAfterBreak="0">
    <w:nsid w:val="5DEC6B47"/>
    <w:multiLevelType w:val="multilevel"/>
    <w:tmpl w:val="604E1C0A"/>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4" w15:restartNumberingAfterBreak="0">
    <w:nsid w:val="6E7A0B97"/>
    <w:multiLevelType w:val="hybridMultilevel"/>
    <w:tmpl w:val="CF92AE76"/>
    <w:lvl w:ilvl="0" w:tplc="9F96AE14">
      <w:numFmt w:val="bullet"/>
      <w:lvlText w:val=""/>
      <w:lvlJc w:val="left"/>
      <w:pPr>
        <w:ind w:left="720" w:hanging="360"/>
      </w:pPr>
      <w:rPr>
        <w:rFonts w:ascii="Symbol" w:eastAsiaTheme="minorHAnsi" w:hAnsi="Symbol"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5" w15:restartNumberingAfterBreak="0">
    <w:nsid w:val="6E9514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7538409B"/>
    <w:multiLevelType w:val="hybridMultilevel"/>
    <w:tmpl w:val="9984EF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81B078E"/>
    <w:multiLevelType w:val="hybridMultilevel"/>
    <w:tmpl w:val="A61288A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D8C2C6D"/>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abstractNumId w:val="22"/>
  </w:num>
  <w:num w:numId="2">
    <w:abstractNumId w:val="12"/>
  </w:num>
  <w:num w:numId="3">
    <w:abstractNumId w:val="10"/>
  </w:num>
  <w:num w:numId="4">
    <w:abstractNumId w:val="25"/>
  </w:num>
  <w:num w:numId="5">
    <w:abstractNumId w:val="13"/>
  </w:num>
  <w:num w:numId="6">
    <w:abstractNumId w:val="18"/>
  </w:num>
  <w:num w:numId="7">
    <w:abstractNumId w:val="20"/>
  </w:num>
  <w:num w:numId="8">
    <w:abstractNumId w:val="9"/>
  </w:num>
  <w:num w:numId="9">
    <w:abstractNumId w:val="7"/>
  </w:num>
  <w:num w:numId="10">
    <w:abstractNumId w:val="6"/>
  </w:num>
  <w:num w:numId="11">
    <w:abstractNumId w:val="5"/>
  </w:num>
  <w:num w:numId="12">
    <w:abstractNumId w:val="4"/>
  </w:num>
  <w:num w:numId="13">
    <w:abstractNumId w:val="8"/>
  </w:num>
  <w:num w:numId="14">
    <w:abstractNumId w:val="3"/>
  </w:num>
  <w:num w:numId="15">
    <w:abstractNumId w:val="2"/>
  </w:num>
  <w:num w:numId="16">
    <w:abstractNumId w:val="1"/>
  </w:num>
  <w:num w:numId="17">
    <w:abstractNumId w:val="0"/>
  </w:num>
  <w:num w:numId="18">
    <w:abstractNumId w:val="15"/>
  </w:num>
  <w:num w:numId="19">
    <w:abstractNumId w:val="16"/>
  </w:num>
  <w:num w:numId="20">
    <w:abstractNumId w:val="23"/>
  </w:num>
  <w:num w:numId="21">
    <w:abstractNumId w:val="19"/>
  </w:num>
  <w:num w:numId="22">
    <w:abstractNumId w:val="11"/>
  </w:num>
  <w:num w:numId="23">
    <w:abstractNumId w:val="28"/>
  </w:num>
  <w:num w:numId="24">
    <w:abstractNumId w:val="17"/>
  </w:num>
  <w:num w:numId="25">
    <w:abstractNumId w:val="24"/>
  </w:num>
  <w:num w:numId="26">
    <w:abstractNumId w:val="26"/>
  </w:num>
  <w:num w:numId="27">
    <w:abstractNumId w:val="21"/>
  </w:num>
  <w:num w:numId="28">
    <w:abstractNumId w:val="27"/>
  </w:num>
  <w:num w:numId="2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D7C13"/>
    <w:rsid w:val="000015B9"/>
    <w:rsid w:val="00002EAF"/>
    <w:rsid w:val="00011A27"/>
    <w:rsid w:val="00013197"/>
    <w:rsid w:val="00016638"/>
    <w:rsid w:val="0002346F"/>
    <w:rsid w:val="00033313"/>
    <w:rsid w:val="00033E5B"/>
    <w:rsid w:val="00035687"/>
    <w:rsid w:val="00036126"/>
    <w:rsid w:val="00045515"/>
    <w:rsid w:val="00064D62"/>
    <w:rsid w:val="00071874"/>
    <w:rsid w:val="00074411"/>
    <w:rsid w:val="00080840"/>
    <w:rsid w:val="00085DB4"/>
    <w:rsid w:val="00093182"/>
    <w:rsid w:val="0009678E"/>
    <w:rsid w:val="0009770A"/>
    <w:rsid w:val="000B3B01"/>
    <w:rsid w:val="000B56F2"/>
    <w:rsid w:val="000D1937"/>
    <w:rsid w:val="000D2C7F"/>
    <w:rsid w:val="000D3B6E"/>
    <w:rsid w:val="000D4075"/>
    <w:rsid w:val="000D5662"/>
    <w:rsid w:val="000E20F1"/>
    <w:rsid w:val="000E36F5"/>
    <w:rsid w:val="000E531B"/>
    <w:rsid w:val="000E638D"/>
    <w:rsid w:val="000F4F7B"/>
    <w:rsid w:val="001104B6"/>
    <w:rsid w:val="00110EAA"/>
    <w:rsid w:val="001151D5"/>
    <w:rsid w:val="00117F03"/>
    <w:rsid w:val="001263EF"/>
    <w:rsid w:val="00131893"/>
    <w:rsid w:val="0013781C"/>
    <w:rsid w:val="00142D9F"/>
    <w:rsid w:val="00157C43"/>
    <w:rsid w:val="0016042D"/>
    <w:rsid w:val="001702C7"/>
    <w:rsid w:val="00173969"/>
    <w:rsid w:val="00177C46"/>
    <w:rsid w:val="001812C2"/>
    <w:rsid w:val="001864C9"/>
    <w:rsid w:val="00193280"/>
    <w:rsid w:val="001947FA"/>
    <w:rsid w:val="001976CC"/>
    <w:rsid w:val="001C7A41"/>
    <w:rsid w:val="001D4C71"/>
    <w:rsid w:val="001D62A5"/>
    <w:rsid w:val="001D6FD4"/>
    <w:rsid w:val="001D7DF9"/>
    <w:rsid w:val="001E0CE5"/>
    <w:rsid w:val="001E246C"/>
    <w:rsid w:val="001E462B"/>
    <w:rsid w:val="001E47ED"/>
    <w:rsid w:val="001E6DB6"/>
    <w:rsid w:val="001F3B42"/>
    <w:rsid w:val="001F5025"/>
    <w:rsid w:val="001F5C7E"/>
    <w:rsid w:val="001F5D16"/>
    <w:rsid w:val="001F707F"/>
    <w:rsid w:val="00201B0C"/>
    <w:rsid w:val="00205A51"/>
    <w:rsid w:val="00205A98"/>
    <w:rsid w:val="002124EF"/>
    <w:rsid w:val="00212F5C"/>
    <w:rsid w:val="00215ACC"/>
    <w:rsid w:val="00217811"/>
    <w:rsid w:val="00223C3E"/>
    <w:rsid w:val="00225DB2"/>
    <w:rsid w:val="00232651"/>
    <w:rsid w:val="002374AC"/>
    <w:rsid w:val="00237C7B"/>
    <w:rsid w:val="00245C13"/>
    <w:rsid w:val="002573A7"/>
    <w:rsid w:val="002620D6"/>
    <w:rsid w:val="00262874"/>
    <w:rsid w:val="00262CBE"/>
    <w:rsid w:val="00263BBA"/>
    <w:rsid w:val="00265173"/>
    <w:rsid w:val="00274955"/>
    <w:rsid w:val="00275F35"/>
    <w:rsid w:val="00285A2B"/>
    <w:rsid w:val="00291CD9"/>
    <w:rsid w:val="002A388A"/>
    <w:rsid w:val="002A53BB"/>
    <w:rsid w:val="002B1229"/>
    <w:rsid w:val="002B4936"/>
    <w:rsid w:val="002B651D"/>
    <w:rsid w:val="002C29E7"/>
    <w:rsid w:val="002C65DD"/>
    <w:rsid w:val="002C6E55"/>
    <w:rsid w:val="002D6122"/>
    <w:rsid w:val="002E2555"/>
    <w:rsid w:val="002E566C"/>
    <w:rsid w:val="002E70BF"/>
    <w:rsid w:val="002E7972"/>
    <w:rsid w:val="002F574F"/>
    <w:rsid w:val="002F7ED3"/>
    <w:rsid w:val="0030050E"/>
    <w:rsid w:val="00303C2C"/>
    <w:rsid w:val="0031404A"/>
    <w:rsid w:val="00315EFE"/>
    <w:rsid w:val="003225BA"/>
    <w:rsid w:val="00323514"/>
    <w:rsid w:val="00323EA4"/>
    <w:rsid w:val="00327796"/>
    <w:rsid w:val="00331001"/>
    <w:rsid w:val="0033478C"/>
    <w:rsid w:val="00335AC7"/>
    <w:rsid w:val="00341DF2"/>
    <w:rsid w:val="0034361E"/>
    <w:rsid w:val="00343BAC"/>
    <w:rsid w:val="003530BE"/>
    <w:rsid w:val="00370455"/>
    <w:rsid w:val="00396C0C"/>
    <w:rsid w:val="003A186D"/>
    <w:rsid w:val="003A2A62"/>
    <w:rsid w:val="003A502A"/>
    <w:rsid w:val="003A5242"/>
    <w:rsid w:val="003A6BC2"/>
    <w:rsid w:val="003B5337"/>
    <w:rsid w:val="003B7719"/>
    <w:rsid w:val="003C1283"/>
    <w:rsid w:val="003C4B38"/>
    <w:rsid w:val="003C672F"/>
    <w:rsid w:val="003E2DEB"/>
    <w:rsid w:val="003E62FC"/>
    <w:rsid w:val="003F2E47"/>
    <w:rsid w:val="003F6368"/>
    <w:rsid w:val="00402B15"/>
    <w:rsid w:val="00412F3C"/>
    <w:rsid w:val="0041434C"/>
    <w:rsid w:val="0041493A"/>
    <w:rsid w:val="00415586"/>
    <w:rsid w:val="0041669E"/>
    <w:rsid w:val="00416774"/>
    <w:rsid w:val="00420256"/>
    <w:rsid w:val="00424957"/>
    <w:rsid w:val="00424EC7"/>
    <w:rsid w:val="00425A03"/>
    <w:rsid w:val="004362DF"/>
    <w:rsid w:val="0043665A"/>
    <w:rsid w:val="00440BCA"/>
    <w:rsid w:val="00441BC5"/>
    <w:rsid w:val="00442719"/>
    <w:rsid w:val="00451257"/>
    <w:rsid w:val="00452223"/>
    <w:rsid w:val="004544E1"/>
    <w:rsid w:val="00456473"/>
    <w:rsid w:val="0045774B"/>
    <w:rsid w:val="00457B33"/>
    <w:rsid w:val="00470874"/>
    <w:rsid w:val="00472F10"/>
    <w:rsid w:val="004735AF"/>
    <w:rsid w:val="00477D4A"/>
    <w:rsid w:val="0048172F"/>
    <w:rsid w:val="00484E1C"/>
    <w:rsid w:val="00491E17"/>
    <w:rsid w:val="004A1E6F"/>
    <w:rsid w:val="004B1072"/>
    <w:rsid w:val="004B57DE"/>
    <w:rsid w:val="004B5AA2"/>
    <w:rsid w:val="004C0825"/>
    <w:rsid w:val="004C1A36"/>
    <w:rsid w:val="004C7ED3"/>
    <w:rsid w:val="004D06F6"/>
    <w:rsid w:val="004D1998"/>
    <w:rsid w:val="004D3297"/>
    <w:rsid w:val="004D521A"/>
    <w:rsid w:val="004D7873"/>
    <w:rsid w:val="004E0DAB"/>
    <w:rsid w:val="004E2252"/>
    <w:rsid w:val="004E2BED"/>
    <w:rsid w:val="004F3A1D"/>
    <w:rsid w:val="004F79C0"/>
    <w:rsid w:val="004F7AB6"/>
    <w:rsid w:val="0050448D"/>
    <w:rsid w:val="0050481A"/>
    <w:rsid w:val="005108FB"/>
    <w:rsid w:val="00511245"/>
    <w:rsid w:val="00511689"/>
    <w:rsid w:val="005155D6"/>
    <w:rsid w:val="00521B38"/>
    <w:rsid w:val="00524201"/>
    <w:rsid w:val="00531853"/>
    <w:rsid w:val="00531F9C"/>
    <w:rsid w:val="00533BA2"/>
    <w:rsid w:val="0053439C"/>
    <w:rsid w:val="00534ACC"/>
    <w:rsid w:val="00543B56"/>
    <w:rsid w:val="00543EC8"/>
    <w:rsid w:val="00553E4D"/>
    <w:rsid w:val="00556CE5"/>
    <w:rsid w:val="00557809"/>
    <w:rsid w:val="0056081D"/>
    <w:rsid w:val="005611D5"/>
    <w:rsid w:val="0056435F"/>
    <w:rsid w:val="00564A8C"/>
    <w:rsid w:val="005660D1"/>
    <w:rsid w:val="00576A1E"/>
    <w:rsid w:val="00581073"/>
    <w:rsid w:val="0059212B"/>
    <w:rsid w:val="00596448"/>
    <w:rsid w:val="005975D3"/>
    <w:rsid w:val="005A1ADB"/>
    <w:rsid w:val="005A288B"/>
    <w:rsid w:val="005A2EAC"/>
    <w:rsid w:val="005A3891"/>
    <w:rsid w:val="005B28A2"/>
    <w:rsid w:val="005C11DB"/>
    <w:rsid w:val="005D6E4F"/>
    <w:rsid w:val="005D7938"/>
    <w:rsid w:val="005F6BB3"/>
    <w:rsid w:val="00607A03"/>
    <w:rsid w:val="00611207"/>
    <w:rsid w:val="00615E16"/>
    <w:rsid w:val="00634460"/>
    <w:rsid w:val="00634DC5"/>
    <w:rsid w:val="00636FF6"/>
    <w:rsid w:val="00640D02"/>
    <w:rsid w:val="00643A5A"/>
    <w:rsid w:val="00643D30"/>
    <w:rsid w:val="00643EA8"/>
    <w:rsid w:val="00644D02"/>
    <w:rsid w:val="00645252"/>
    <w:rsid w:val="006474E1"/>
    <w:rsid w:val="00650081"/>
    <w:rsid w:val="00652A5F"/>
    <w:rsid w:val="00652E11"/>
    <w:rsid w:val="00655C8F"/>
    <w:rsid w:val="00657091"/>
    <w:rsid w:val="00666EEA"/>
    <w:rsid w:val="00672478"/>
    <w:rsid w:val="00673621"/>
    <w:rsid w:val="0068290A"/>
    <w:rsid w:val="00682F0A"/>
    <w:rsid w:val="00685D72"/>
    <w:rsid w:val="0069008F"/>
    <w:rsid w:val="00690599"/>
    <w:rsid w:val="00697A6B"/>
    <w:rsid w:val="006A1508"/>
    <w:rsid w:val="006A72A0"/>
    <w:rsid w:val="006B589B"/>
    <w:rsid w:val="006C1E0A"/>
    <w:rsid w:val="006C22E1"/>
    <w:rsid w:val="006C5D65"/>
    <w:rsid w:val="006D36F7"/>
    <w:rsid w:val="006D3D74"/>
    <w:rsid w:val="006E5E7E"/>
    <w:rsid w:val="006F4811"/>
    <w:rsid w:val="006F662A"/>
    <w:rsid w:val="00702BDC"/>
    <w:rsid w:val="0070598C"/>
    <w:rsid w:val="00705EAB"/>
    <w:rsid w:val="00711D78"/>
    <w:rsid w:val="007129CE"/>
    <w:rsid w:val="00722646"/>
    <w:rsid w:val="00730B22"/>
    <w:rsid w:val="0073612C"/>
    <w:rsid w:val="007542A4"/>
    <w:rsid w:val="00755535"/>
    <w:rsid w:val="00761F13"/>
    <w:rsid w:val="00767BF8"/>
    <w:rsid w:val="0077506E"/>
    <w:rsid w:val="0078009B"/>
    <w:rsid w:val="007819CC"/>
    <w:rsid w:val="0078730A"/>
    <w:rsid w:val="00793BA8"/>
    <w:rsid w:val="00796F7E"/>
    <w:rsid w:val="007A005E"/>
    <w:rsid w:val="007A0F51"/>
    <w:rsid w:val="007A3959"/>
    <w:rsid w:val="007B74FD"/>
    <w:rsid w:val="007E2B35"/>
    <w:rsid w:val="007E30C7"/>
    <w:rsid w:val="007E7B26"/>
    <w:rsid w:val="007F51E5"/>
    <w:rsid w:val="008035EA"/>
    <w:rsid w:val="008048C5"/>
    <w:rsid w:val="008049DA"/>
    <w:rsid w:val="008139AF"/>
    <w:rsid w:val="00814064"/>
    <w:rsid w:val="00815FA9"/>
    <w:rsid w:val="0081670D"/>
    <w:rsid w:val="00823797"/>
    <w:rsid w:val="00834D23"/>
    <w:rsid w:val="00841731"/>
    <w:rsid w:val="008440D2"/>
    <w:rsid w:val="00853405"/>
    <w:rsid w:val="00854ABB"/>
    <w:rsid w:val="00855A7F"/>
    <w:rsid w:val="00862BA7"/>
    <w:rsid w:val="008634E8"/>
    <w:rsid w:val="008740E3"/>
    <w:rsid w:val="0087462C"/>
    <w:rsid w:val="008773E5"/>
    <w:rsid w:val="008852CD"/>
    <w:rsid w:val="00892914"/>
    <w:rsid w:val="0089721A"/>
    <w:rsid w:val="008A31E8"/>
    <w:rsid w:val="008A7660"/>
    <w:rsid w:val="008B3693"/>
    <w:rsid w:val="008B581F"/>
    <w:rsid w:val="008C0B48"/>
    <w:rsid w:val="008D3EFC"/>
    <w:rsid w:val="008D7C13"/>
    <w:rsid w:val="008E08E0"/>
    <w:rsid w:val="008E4C16"/>
    <w:rsid w:val="008F244F"/>
    <w:rsid w:val="008F4351"/>
    <w:rsid w:val="008F72CF"/>
    <w:rsid w:val="00900993"/>
    <w:rsid w:val="00901FEC"/>
    <w:rsid w:val="00902B15"/>
    <w:rsid w:val="0091176C"/>
    <w:rsid w:val="00915BB1"/>
    <w:rsid w:val="00915CE0"/>
    <w:rsid w:val="0092680D"/>
    <w:rsid w:val="00931808"/>
    <w:rsid w:val="0093265B"/>
    <w:rsid w:val="0094111C"/>
    <w:rsid w:val="00946F58"/>
    <w:rsid w:val="0095051C"/>
    <w:rsid w:val="009529D0"/>
    <w:rsid w:val="009631B6"/>
    <w:rsid w:val="0097112E"/>
    <w:rsid w:val="009722ED"/>
    <w:rsid w:val="00974C9F"/>
    <w:rsid w:val="00975C2E"/>
    <w:rsid w:val="009775F3"/>
    <w:rsid w:val="00980643"/>
    <w:rsid w:val="00980FBB"/>
    <w:rsid w:val="009832B9"/>
    <w:rsid w:val="00985602"/>
    <w:rsid w:val="00990C55"/>
    <w:rsid w:val="00994CF6"/>
    <w:rsid w:val="009A35C6"/>
    <w:rsid w:val="009A4286"/>
    <w:rsid w:val="009B09A1"/>
    <w:rsid w:val="009B2399"/>
    <w:rsid w:val="009B7532"/>
    <w:rsid w:val="009C1C36"/>
    <w:rsid w:val="009C2C0D"/>
    <w:rsid w:val="009C35EC"/>
    <w:rsid w:val="009C38FC"/>
    <w:rsid w:val="009E21D6"/>
    <w:rsid w:val="009E5CA1"/>
    <w:rsid w:val="009E60AF"/>
    <w:rsid w:val="009F08CB"/>
    <w:rsid w:val="009F2792"/>
    <w:rsid w:val="009F70D3"/>
    <w:rsid w:val="00A03F32"/>
    <w:rsid w:val="00A126B8"/>
    <w:rsid w:val="00A17A61"/>
    <w:rsid w:val="00A2400C"/>
    <w:rsid w:val="00A33951"/>
    <w:rsid w:val="00A33E36"/>
    <w:rsid w:val="00A3794F"/>
    <w:rsid w:val="00A45FDF"/>
    <w:rsid w:val="00A64C5B"/>
    <w:rsid w:val="00A67CA0"/>
    <w:rsid w:val="00A7386E"/>
    <w:rsid w:val="00A77B5D"/>
    <w:rsid w:val="00A843C2"/>
    <w:rsid w:val="00A9204E"/>
    <w:rsid w:val="00A9399F"/>
    <w:rsid w:val="00A95EAD"/>
    <w:rsid w:val="00A97828"/>
    <w:rsid w:val="00AB46D8"/>
    <w:rsid w:val="00AB5AC9"/>
    <w:rsid w:val="00AC3712"/>
    <w:rsid w:val="00AC5AC0"/>
    <w:rsid w:val="00AC60A6"/>
    <w:rsid w:val="00AD092B"/>
    <w:rsid w:val="00AD671B"/>
    <w:rsid w:val="00AE3D3C"/>
    <w:rsid w:val="00AE42F3"/>
    <w:rsid w:val="00B0597F"/>
    <w:rsid w:val="00B0629E"/>
    <w:rsid w:val="00B06B0C"/>
    <w:rsid w:val="00B110EB"/>
    <w:rsid w:val="00B20FBD"/>
    <w:rsid w:val="00B30741"/>
    <w:rsid w:val="00B34D0C"/>
    <w:rsid w:val="00B371EE"/>
    <w:rsid w:val="00B41225"/>
    <w:rsid w:val="00B463D6"/>
    <w:rsid w:val="00B5319F"/>
    <w:rsid w:val="00B55015"/>
    <w:rsid w:val="00B576BE"/>
    <w:rsid w:val="00B67360"/>
    <w:rsid w:val="00B679B0"/>
    <w:rsid w:val="00B72232"/>
    <w:rsid w:val="00B72B56"/>
    <w:rsid w:val="00B77712"/>
    <w:rsid w:val="00B927CD"/>
    <w:rsid w:val="00B94491"/>
    <w:rsid w:val="00BA1A38"/>
    <w:rsid w:val="00BA2A2E"/>
    <w:rsid w:val="00BB16EF"/>
    <w:rsid w:val="00BB425E"/>
    <w:rsid w:val="00BB498D"/>
    <w:rsid w:val="00BB50C4"/>
    <w:rsid w:val="00BB51C5"/>
    <w:rsid w:val="00BB6D20"/>
    <w:rsid w:val="00BC39AE"/>
    <w:rsid w:val="00BC3A52"/>
    <w:rsid w:val="00BC6411"/>
    <w:rsid w:val="00BD0510"/>
    <w:rsid w:val="00BE001C"/>
    <w:rsid w:val="00BE35BC"/>
    <w:rsid w:val="00BE4331"/>
    <w:rsid w:val="00BE4489"/>
    <w:rsid w:val="00BE4544"/>
    <w:rsid w:val="00BF2513"/>
    <w:rsid w:val="00BF254D"/>
    <w:rsid w:val="00BF4F71"/>
    <w:rsid w:val="00C00F64"/>
    <w:rsid w:val="00C02A79"/>
    <w:rsid w:val="00C113A3"/>
    <w:rsid w:val="00C15DCA"/>
    <w:rsid w:val="00C32DBC"/>
    <w:rsid w:val="00C33BF4"/>
    <w:rsid w:val="00C34086"/>
    <w:rsid w:val="00C35039"/>
    <w:rsid w:val="00C35FDB"/>
    <w:rsid w:val="00C3677E"/>
    <w:rsid w:val="00C37743"/>
    <w:rsid w:val="00C40D78"/>
    <w:rsid w:val="00C418E0"/>
    <w:rsid w:val="00C5202B"/>
    <w:rsid w:val="00C5223C"/>
    <w:rsid w:val="00C5260D"/>
    <w:rsid w:val="00C53031"/>
    <w:rsid w:val="00C6774D"/>
    <w:rsid w:val="00C76AC7"/>
    <w:rsid w:val="00C80E60"/>
    <w:rsid w:val="00C845CB"/>
    <w:rsid w:val="00C86B3A"/>
    <w:rsid w:val="00CA03BA"/>
    <w:rsid w:val="00CA64E3"/>
    <w:rsid w:val="00CE0299"/>
    <w:rsid w:val="00CE2FAC"/>
    <w:rsid w:val="00CE6611"/>
    <w:rsid w:val="00CF0F08"/>
    <w:rsid w:val="00CF1A0B"/>
    <w:rsid w:val="00CF59C6"/>
    <w:rsid w:val="00D0194E"/>
    <w:rsid w:val="00D02872"/>
    <w:rsid w:val="00D039DA"/>
    <w:rsid w:val="00D04CF6"/>
    <w:rsid w:val="00D13475"/>
    <w:rsid w:val="00D15F88"/>
    <w:rsid w:val="00D262E2"/>
    <w:rsid w:val="00D2719F"/>
    <w:rsid w:val="00D304EA"/>
    <w:rsid w:val="00D3489F"/>
    <w:rsid w:val="00D34B99"/>
    <w:rsid w:val="00D35344"/>
    <w:rsid w:val="00D372F0"/>
    <w:rsid w:val="00D37AA2"/>
    <w:rsid w:val="00D4368E"/>
    <w:rsid w:val="00D505EE"/>
    <w:rsid w:val="00D5642D"/>
    <w:rsid w:val="00D601E3"/>
    <w:rsid w:val="00D71870"/>
    <w:rsid w:val="00D84B92"/>
    <w:rsid w:val="00D87809"/>
    <w:rsid w:val="00DA069C"/>
    <w:rsid w:val="00DA6A51"/>
    <w:rsid w:val="00DB2BA6"/>
    <w:rsid w:val="00DB5B97"/>
    <w:rsid w:val="00DC1698"/>
    <w:rsid w:val="00DC1BAF"/>
    <w:rsid w:val="00DC2FD9"/>
    <w:rsid w:val="00DC4A6C"/>
    <w:rsid w:val="00DC7E9C"/>
    <w:rsid w:val="00DD1F0B"/>
    <w:rsid w:val="00DD356B"/>
    <w:rsid w:val="00DE5AAC"/>
    <w:rsid w:val="00DF1061"/>
    <w:rsid w:val="00DF3101"/>
    <w:rsid w:val="00E00957"/>
    <w:rsid w:val="00E21D1D"/>
    <w:rsid w:val="00E21DB4"/>
    <w:rsid w:val="00E30D6D"/>
    <w:rsid w:val="00E33231"/>
    <w:rsid w:val="00E41083"/>
    <w:rsid w:val="00E431F2"/>
    <w:rsid w:val="00E44D82"/>
    <w:rsid w:val="00E46750"/>
    <w:rsid w:val="00E5045F"/>
    <w:rsid w:val="00E54A10"/>
    <w:rsid w:val="00E5644F"/>
    <w:rsid w:val="00E5747A"/>
    <w:rsid w:val="00E62838"/>
    <w:rsid w:val="00E63C0C"/>
    <w:rsid w:val="00E675E5"/>
    <w:rsid w:val="00E7592E"/>
    <w:rsid w:val="00E8328B"/>
    <w:rsid w:val="00E84604"/>
    <w:rsid w:val="00E84E91"/>
    <w:rsid w:val="00E85A2C"/>
    <w:rsid w:val="00E918CF"/>
    <w:rsid w:val="00E94138"/>
    <w:rsid w:val="00EA2FF3"/>
    <w:rsid w:val="00EA53AC"/>
    <w:rsid w:val="00EB0227"/>
    <w:rsid w:val="00EB4E10"/>
    <w:rsid w:val="00EB7689"/>
    <w:rsid w:val="00EC17E2"/>
    <w:rsid w:val="00ED1EEC"/>
    <w:rsid w:val="00ED3F87"/>
    <w:rsid w:val="00ED6AF1"/>
    <w:rsid w:val="00EE14C1"/>
    <w:rsid w:val="00EE16AF"/>
    <w:rsid w:val="00EE24A4"/>
    <w:rsid w:val="00F0003A"/>
    <w:rsid w:val="00F0334E"/>
    <w:rsid w:val="00F0419C"/>
    <w:rsid w:val="00F04D30"/>
    <w:rsid w:val="00F064AA"/>
    <w:rsid w:val="00F1305D"/>
    <w:rsid w:val="00F17D74"/>
    <w:rsid w:val="00F231F6"/>
    <w:rsid w:val="00F27BBD"/>
    <w:rsid w:val="00F3146A"/>
    <w:rsid w:val="00F66633"/>
    <w:rsid w:val="00F6669B"/>
    <w:rsid w:val="00F70921"/>
    <w:rsid w:val="00F77E83"/>
    <w:rsid w:val="00F820C6"/>
    <w:rsid w:val="00F95602"/>
    <w:rsid w:val="00F9771A"/>
    <w:rsid w:val="00FA050D"/>
    <w:rsid w:val="00FA179C"/>
    <w:rsid w:val="00FA3868"/>
    <w:rsid w:val="00FB22E6"/>
    <w:rsid w:val="00FB5F23"/>
    <w:rsid w:val="00FD0B94"/>
    <w:rsid w:val="00FD668E"/>
    <w:rsid w:val="00FD6775"/>
    <w:rsid w:val="00FE0B8B"/>
    <w:rsid w:val="00FE3592"/>
    <w:rsid w:val="00FE3E89"/>
    <w:rsid w:val="00FF253B"/>
    <w:rsid w:val="00FF33ED"/>
    <w:rsid w:val="00FF60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E0020D"/>
  <w15:docId w15:val="{1C7DF007-8EC3-4A5F-B16A-5865A6DE66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85A2B"/>
  </w:style>
  <w:style w:type="paragraph" w:styleId="Heading1">
    <w:name w:val="heading 1"/>
    <w:basedOn w:val="Normal"/>
    <w:next w:val="Normal"/>
    <w:link w:val="Heading1Char"/>
    <w:uiPriority w:val="9"/>
    <w:qFormat/>
    <w:rsid w:val="006D3D74"/>
    <w:pPr>
      <w:keepNext/>
      <w:keepLines/>
      <w:spacing w:before="240"/>
      <w:outlineLvl w:val="0"/>
    </w:pPr>
    <w:rPr>
      <w:rFonts w:asciiTheme="majorHAnsi" w:eastAsiaTheme="majorEastAsia" w:hAnsiTheme="majorHAnsi" w:cstheme="majorBidi"/>
      <w:color w:val="1F4E79" w:themeColor="accent1" w:themeShade="80"/>
      <w:sz w:val="32"/>
      <w:szCs w:val="32"/>
    </w:rPr>
  </w:style>
  <w:style w:type="paragraph" w:styleId="Heading2">
    <w:name w:val="heading 2"/>
    <w:basedOn w:val="Normal"/>
    <w:next w:val="Normal"/>
    <w:link w:val="Heading2Char"/>
    <w:uiPriority w:val="9"/>
    <w:unhideWhenUsed/>
    <w:qFormat/>
    <w:rsid w:val="006D3D74"/>
    <w:pPr>
      <w:keepNext/>
      <w:keepLines/>
      <w:spacing w:before="40"/>
      <w:outlineLvl w:val="1"/>
    </w:pPr>
    <w:rPr>
      <w:rFonts w:asciiTheme="majorHAnsi" w:eastAsiaTheme="majorEastAsia" w:hAnsiTheme="majorHAnsi" w:cstheme="majorBidi"/>
      <w:color w:val="1F4E79" w:themeColor="accent1" w:themeShade="80"/>
      <w:sz w:val="26"/>
      <w:szCs w:val="26"/>
    </w:rPr>
  </w:style>
  <w:style w:type="paragraph" w:styleId="Heading3">
    <w:name w:val="heading 3"/>
    <w:basedOn w:val="Normal"/>
    <w:next w:val="Normal"/>
    <w:link w:val="Heading3Char"/>
    <w:uiPriority w:val="9"/>
    <w:unhideWhenUsed/>
    <w:qFormat/>
    <w:rsid w:val="006D3D74"/>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6D3D74"/>
    <w:pPr>
      <w:keepNext/>
      <w:keepLines/>
      <w:spacing w:before="40"/>
      <w:outlineLvl w:val="3"/>
    </w:pPr>
    <w:rPr>
      <w:rFonts w:asciiTheme="majorHAnsi" w:eastAsiaTheme="majorEastAsia" w:hAnsiTheme="majorHAnsi" w:cstheme="majorBidi"/>
      <w:i/>
      <w:iCs/>
      <w:color w:val="1F4E79" w:themeColor="accent1" w:themeShade="80"/>
    </w:rPr>
  </w:style>
  <w:style w:type="paragraph" w:styleId="Heading5">
    <w:name w:val="heading 5"/>
    <w:basedOn w:val="Normal"/>
    <w:next w:val="Normal"/>
    <w:link w:val="Heading5Char"/>
    <w:uiPriority w:val="9"/>
    <w:unhideWhenUsed/>
    <w:qFormat/>
    <w:rsid w:val="006D3D74"/>
    <w:pPr>
      <w:keepNext/>
      <w:keepLines/>
      <w:spacing w:before="40"/>
      <w:outlineLvl w:val="4"/>
    </w:pPr>
    <w:rPr>
      <w:rFonts w:asciiTheme="majorHAnsi" w:eastAsiaTheme="majorEastAsia" w:hAnsiTheme="majorHAnsi" w:cstheme="majorBidi"/>
      <w:color w:val="1F4E79" w:themeColor="accent1" w:themeShade="80"/>
    </w:rPr>
  </w:style>
  <w:style w:type="paragraph" w:styleId="Heading6">
    <w:name w:val="heading 6"/>
    <w:basedOn w:val="Normal"/>
    <w:next w:val="Normal"/>
    <w:link w:val="Heading6Char"/>
    <w:uiPriority w:val="9"/>
    <w:unhideWhenUsed/>
    <w:qFormat/>
    <w:rsid w:val="006D3D74"/>
    <w:pPr>
      <w:keepNext/>
      <w:keepLines/>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unhideWhenUsed/>
    <w:qFormat/>
    <w:rsid w:val="006D3D74"/>
    <w:pPr>
      <w:keepNext/>
      <w:keepLines/>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unhideWhenUsed/>
    <w:qFormat/>
    <w:rsid w:val="006D3D74"/>
    <w:pPr>
      <w:keepNext/>
      <w:keepLines/>
      <w:spacing w:before="40"/>
      <w:outlineLvl w:val="7"/>
    </w:pPr>
    <w:rPr>
      <w:rFonts w:asciiTheme="majorHAnsi" w:eastAsiaTheme="majorEastAsia" w:hAnsiTheme="majorHAnsi" w:cstheme="majorBidi"/>
      <w:color w:val="272727" w:themeColor="text1" w:themeTint="D8"/>
      <w:szCs w:val="21"/>
    </w:rPr>
  </w:style>
  <w:style w:type="paragraph" w:styleId="Heading9">
    <w:name w:val="heading 9"/>
    <w:basedOn w:val="Normal"/>
    <w:next w:val="Normal"/>
    <w:link w:val="Heading9Char"/>
    <w:uiPriority w:val="9"/>
    <w:unhideWhenUsed/>
    <w:qFormat/>
    <w:rsid w:val="006D3D74"/>
    <w:pPr>
      <w:keepNext/>
      <w:keepLines/>
      <w:spacing w:before="40"/>
      <w:outlineLvl w:val="8"/>
    </w:pPr>
    <w:rPr>
      <w:rFonts w:asciiTheme="majorHAnsi" w:eastAsiaTheme="majorEastAsia" w:hAnsiTheme="majorHAnsi" w:cstheme="majorBidi"/>
      <w:i/>
      <w:iCs/>
      <w:color w:val="272727" w:themeColor="text1" w:themeTint="D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3D74"/>
    <w:rPr>
      <w:rFonts w:asciiTheme="majorHAnsi" w:eastAsiaTheme="majorEastAsia" w:hAnsiTheme="majorHAnsi" w:cstheme="majorBidi"/>
      <w:color w:val="1F4E79" w:themeColor="accent1" w:themeShade="80"/>
      <w:sz w:val="32"/>
      <w:szCs w:val="32"/>
    </w:rPr>
  </w:style>
  <w:style w:type="character" w:customStyle="1" w:styleId="Heading2Char">
    <w:name w:val="Heading 2 Char"/>
    <w:basedOn w:val="DefaultParagraphFont"/>
    <w:link w:val="Heading2"/>
    <w:uiPriority w:val="9"/>
    <w:rsid w:val="006D3D74"/>
    <w:rPr>
      <w:rFonts w:asciiTheme="majorHAnsi" w:eastAsiaTheme="majorEastAsia" w:hAnsiTheme="majorHAnsi" w:cstheme="majorBidi"/>
      <w:color w:val="1F4E79" w:themeColor="accent1" w:themeShade="80"/>
      <w:sz w:val="26"/>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6D3D74"/>
    <w:rPr>
      <w:rFonts w:asciiTheme="majorHAnsi" w:eastAsiaTheme="majorEastAsia" w:hAnsiTheme="majorHAnsi" w:cstheme="majorBidi"/>
      <w:i/>
      <w:iCs/>
      <w:color w:val="1F4E79" w:themeColor="accent1" w:themeShade="80"/>
    </w:rPr>
  </w:style>
  <w:style w:type="character" w:customStyle="1" w:styleId="Heading5Char">
    <w:name w:val="Heading 5 Char"/>
    <w:basedOn w:val="DefaultParagraphFont"/>
    <w:link w:val="Heading5"/>
    <w:uiPriority w:val="9"/>
    <w:rsid w:val="006D3D74"/>
    <w:rPr>
      <w:rFonts w:asciiTheme="majorHAnsi" w:eastAsiaTheme="majorEastAsia" w:hAnsiTheme="majorHAnsi" w:cstheme="majorBidi"/>
      <w:color w:val="1F4E79" w:themeColor="accent1" w:themeShade="80"/>
    </w:rPr>
  </w:style>
  <w:style w:type="character" w:customStyle="1" w:styleId="Heading6Char">
    <w:name w:val="Heading 6 Char"/>
    <w:basedOn w:val="DefaultParagraphFont"/>
    <w:link w:val="Heading6"/>
    <w:uiPriority w:val="9"/>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rsid w:val="00645252"/>
    <w:rPr>
      <w:rFonts w:asciiTheme="majorHAnsi" w:eastAsiaTheme="majorEastAsia" w:hAnsiTheme="majorHAnsi" w:cstheme="majorBidi"/>
      <w:color w:val="272727" w:themeColor="text1" w:themeTint="D8"/>
      <w:szCs w:val="21"/>
    </w:rPr>
  </w:style>
  <w:style w:type="character" w:customStyle="1" w:styleId="Heading9Char">
    <w:name w:val="Heading 9 Char"/>
    <w:basedOn w:val="DefaultParagraphFont"/>
    <w:link w:val="Heading9"/>
    <w:uiPriority w:val="9"/>
    <w:rsid w:val="00645252"/>
    <w:rPr>
      <w:rFonts w:asciiTheme="majorHAnsi" w:eastAsiaTheme="majorEastAsia" w:hAnsiTheme="majorHAnsi" w:cstheme="majorBidi"/>
      <w:i/>
      <w:iCs/>
      <w:color w:val="272727" w:themeColor="text1" w:themeTint="D8"/>
      <w:szCs w:val="21"/>
    </w:rPr>
  </w:style>
  <w:style w:type="paragraph" w:styleId="Title">
    <w:name w:val="Title"/>
    <w:basedOn w:val="Normal"/>
    <w:next w:val="Normal"/>
    <w:link w:val="TitleChar"/>
    <w:uiPriority w:val="10"/>
    <w:qFormat/>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Pr>
      <w:rFonts w:eastAsiaTheme="minorEastAsia"/>
      <w:color w:val="5A5A5A" w:themeColor="text1" w:themeTint="A5"/>
      <w:spacing w:val="15"/>
    </w:rPr>
  </w:style>
  <w:style w:type="character" w:styleId="SubtleEmphasis">
    <w:name w:val="Subtle Emphasis"/>
    <w:basedOn w:val="DefaultParagraphFont"/>
    <w:uiPriority w:val="19"/>
    <w:qFormat/>
    <w:rPr>
      <w:i/>
      <w:iCs/>
      <w:color w:val="404040" w:themeColor="text1" w:themeTint="BF"/>
    </w:rPr>
  </w:style>
  <w:style w:type="character" w:styleId="Emphasis">
    <w:name w:val="Emphasis"/>
    <w:basedOn w:val="DefaultParagraphFont"/>
    <w:uiPriority w:val="20"/>
    <w:qFormat/>
    <w:rPr>
      <w:i/>
      <w:iCs/>
    </w:rPr>
  </w:style>
  <w:style w:type="character" w:styleId="IntenseEmphasis">
    <w:name w:val="Intense Emphasis"/>
    <w:basedOn w:val="DefaultParagraphFont"/>
    <w:uiPriority w:val="21"/>
    <w:qFormat/>
    <w:rsid w:val="00645252"/>
    <w:rPr>
      <w:i/>
      <w:iCs/>
      <w:color w:val="1F4E79" w:themeColor="accent1" w:themeShade="80"/>
    </w:rPr>
  </w:style>
  <w:style w:type="character" w:styleId="Strong">
    <w:name w:val="Strong"/>
    <w:basedOn w:val="DefaultParagraphFont"/>
    <w:uiPriority w:val="22"/>
    <w:qFormat/>
    <w:rPr>
      <w:b/>
      <w:bCs/>
    </w:rPr>
  </w:style>
  <w:style w:type="paragraph" w:styleId="Quote">
    <w:name w:val="Quote"/>
    <w:basedOn w:val="Normal"/>
    <w:next w:val="Normal"/>
    <w:link w:val="QuoteChar"/>
    <w:uiPriority w:val="29"/>
    <w:qFormat/>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IntenseQuote">
    <w:name w:val="Intense Quote"/>
    <w:basedOn w:val="Normal"/>
    <w:next w:val="Normal"/>
    <w:link w:val="IntenseQuoteChar"/>
    <w:uiPriority w:val="30"/>
    <w:qFormat/>
    <w:rsid w:val="00645252"/>
    <w:pPr>
      <w:pBdr>
        <w:top w:val="single" w:sz="4" w:space="10" w:color="1F4E79" w:themeColor="accent1" w:themeShade="80"/>
        <w:bottom w:val="single" w:sz="4" w:space="10" w:color="1F4E79" w:themeColor="accent1" w:themeShade="80"/>
      </w:pBdr>
      <w:spacing w:before="360" w:after="360"/>
      <w:ind w:left="864" w:right="864"/>
      <w:jc w:val="center"/>
    </w:pPr>
    <w:rPr>
      <w:i/>
      <w:iCs/>
      <w:color w:val="1F4E79" w:themeColor="accent1" w:themeShade="80"/>
    </w:rPr>
  </w:style>
  <w:style w:type="character" w:customStyle="1" w:styleId="IntenseQuoteChar">
    <w:name w:val="Intense Quote Char"/>
    <w:basedOn w:val="DefaultParagraphFont"/>
    <w:link w:val="IntenseQuote"/>
    <w:uiPriority w:val="30"/>
    <w:rsid w:val="00645252"/>
    <w:rPr>
      <w:i/>
      <w:iCs/>
      <w:color w:val="1F4E79" w:themeColor="accent1" w:themeShade="80"/>
    </w:rPr>
  </w:style>
  <w:style w:type="character" w:styleId="SubtleReference">
    <w:name w:val="Subtle Reference"/>
    <w:basedOn w:val="DefaultParagraphFont"/>
    <w:uiPriority w:val="31"/>
    <w:qFormat/>
    <w:rPr>
      <w:smallCaps/>
      <w:color w:val="5A5A5A" w:themeColor="text1" w:themeTint="A5"/>
    </w:rPr>
  </w:style>
  <w:style w:type="character" w:styleId="IntenseReference">
    <w:name w:val="Intense Reference"/>
    <w:basedOn w:val="DefaultParagraphFont"/>
    <w:uiPriority w:val="32"/>
    <w:qFormat/>
    <w:rsid w:val="00645252"/>
    <w:rPr>
      <w:b/>
      <w:bCs/>
      <w:caps w:val="0"/>
      <w:smallCaps/>
      <w:color w:val="1F4E79" w:themeColor="accent1" w:themeShade="80"/>
      <w:spacing w:val="5"/>
    </w:rPr>
  </w:style>
  <w:style w:type="character" w:styleId="BookTitle">
    <w:name w:val="Book Title"/>
    <w:basedOn w:val="DefaultParagraphFont"/>
    <w:uiPriority w:val="33"/>
    <w:qFormat/>
    <w:rPr>
      <w:b/>
      <w:bCs/>
      <w:i/>
      <w:iCs/>
      <w:spacing w:val="5"/>
    </w:rPr>
  </w:style>
  <w:style w:type="character" w:styleId="Hyperlink">
    <w:name w:val="Hyperlink"/>
    <w:basedOn w:val="DefaultParagraphFont"/>
    <w:uiPriority w:val="99"/>
    <w:unhideWhenUsed/>
    <w:rsid w:val="00645252"/>
    <w:rPr>
      <w:color w:val="1F4E79" w:themeColor="accent1" w:themeShade="80"/>
      <w:u w:val="single"/>
    </w:rPr>
  </w:style>
  <w:style w:type="character" w:styleId="FollowedHyperlink">
    <w:name w:val="FollowedHyperlink"/>
    <w:basedOn w:val="DefaultParagraphFont"/>
    <w:uiPriority w:val="99"/>
    <w:unhideWhenUsed/>
    <w:rPr>
      <w:color w:val="954F72" w:themeColor="followedHyperlink"/>
      <w:u w:val="single"/>
    </w:rPr>
  </w:style>
  <w:style w:type="paragraph" w:styleId="Caption">
    <w:name w:val="caption"/>
    <w:basedOn w:val="Normal"/>
    <w:next w:val="Normal"/>
    <w:uiPriority w:val="35"/>
    <w:unhideWhenUsed/>
    <w:qFormat/>
    <w:rsid w:val="00645252"/>
    <w:pPr>
      <w:spacing w:after="200"/>
    </w:pPr>
    <w:rPr>
      <w:i/>
      <w:iCs/>
      <w:color w:val="44546A" w:themeColor="text2"/>
      <w:szCs w:val="18"/>
    </w:rPr>
  </w:style>
  <w:style w:type="paragraph" w:styleId="BalloonText">
    <w:name w:val="Balloon Text"/>
    <w:basedOn w:val="Normal"/>
    <w:link w:val="BalloonTextChar"/>
    <w:uiPriority w:val="99"/>
    <w:semiHidden/>
    <w:unhideWhenUsed/>
    <w:rsid w:val="00645252"/>
    <w:rPr>
      <w:rFonts w:ascii="Segoe UI" w:hAnsi="Segoe UI" w:cs="Segoe UI"/>
      <w:szCs w:val="18"/>
    </w:rPr>
  </w:style>
  <w:style w:type="character" w:customStyle="1" w:styleId="BalloonTextChar">
    <w:name w:val="Balloon Text Char"/>
    <w:basedOn w:val="DefaultParagraphFont"/>
    <w:link w:val="BalloonText"/>
    <w:uiPriority w:val="99"/>
    <w:semiHidden/>
    <w:rsid w:val="00645252"/>
    <w:rPr>
      <w:rFonts w:ascii="Segoe UI" w:hAnsi="Segoe UI" w:cs="Segoe UI"/>
      <w:szCs w:val="18"/>
    </w:rPr>
  </w:style>
  <w:style w:type="paragraph" w:styleId="BlockText">
    <w:name w:val="Block Text"/>
    <w:basedOn w:val="Normal"/>
    <w:uiPriority w:val="99"/>
    <w:semiHidden/>
    <w:unhideWhenUsed/>
    <w:rsid w:val="00645252"/>
    <w:pPr>
      <w:pBdr>
        <w:top w:val="single" w:sz="2" w:space="10" w:color="5B9BD5" w:themeColor="accent1" w:shadow="1" w:frame="1"/>
        <w:left w:val="single" w:sz="2" w:space="10" w:color="5B9BD5" w:themeColor="accent1" w:shadow="1" w:frame="1"/>
        <w:bottom w:val="single" w:sz="2" w:space="10" w:color="5B9BD5" w:themeColor="accent1" w:shadow="1" w:frame="1"/>
        <w:right w:val="single" w:sz="2" w:space="10" w:color="5B9BD5" w:themeColor="accent1" w:shadow="1" w:frame="1"/>
      </w:pBdr>
      <w:ind w:left="1152" w:right="1152"/>
    </w:pPr>
    <w:rPr>
      <w:rFonts w:eastAsiaTheme="minorEastAsia"/>
      <w:i/>
      <w:iCs/>
      <w:color w:val="1F4E79" w:themeColor="accent1" w:themeShade="80"/>
    </w:rPr>
  </w:style>
  <w:style w:type="paragraph" w:styleId="BodyText3">
    <w:name w:val="Body Text 3"/>
    <w:basedOn w:val="Normal"/>
    <w:link w:val="BodyText3Char"/>
    <w:uiPriority w:val="99"/>
    <w:semiHidden/>
    <w:unhideWhenUsed/>
    <w:rsid w:val="00645252"/>
    <w:pPr>
      <w:spacing w:after="120"/>
    </w:pPr>
    <w:rPr>
      <w:szCs w:val="16"/>
    </w:rPr>
  </w:style>
  <w:style w:type="character" w:customStyle="1" w:styleId="BodyText3Char">
    <w:name w:val="Body Text 3 Char"/>
    <w:basedOn w:val="DefaultParagraphFont"/>
    <w:link w:val="BodyText3"/>
    <w:uiPriority w:val="99"/>
    <w:semiHidden/>
    <w:rsid w:val="00645252"/>
    <w:rPr>
      <w:szCs w:val="16"/>
    </w:rPr>
  </w:style>
  <w:style w:type="paragraph" w:styleId="BodyTextIndent3">
    <w:name w:val="Body Text Indent 3"/>
    <w:basedOn w:val="Normal"/>
    <w:link w:val="BodyTextIndent3Char"/>
    <w:uiPriority w:val="99"/>
    <w:semiHidden/>
    <w:unhideWhenUsed/>
    <w:rsid w:val="00645252"/>
    <w:pPr>
      <w:spacing w:after="120"/>
      <w:ind w:left="360"/>
    </w:pPr>
    <w:rPr>
      <w:szCs w:val="16"/>
    </w:rPr>
  </w:style>
  <w:style w:type="character" w:customStyle="1" w:styleId="BodyTextIndent3Char">
    <w:name w:val="Body Text Indent 3 Char"/>
    <w:basedOn w:val="DefaultParagraphFont"/>
    <w:link w:val="BodyTextIndent3"/>
    <w:uiPriority w:val="99"/>
    <w:semiHidden/>
    <w:rsid w:val="00645252"/>
    <w:rPr>
      <w:szCs w:val="16"/>
    </w:rPr>
  </w:style>
  <w:style w:type="character" w:styleId="CommentReference">
    <w:name w:val="annotation reference"/>
    <w:basedOn w:val="DefaultParagraphFont"/>
    <w:uiPriority w:val="99"/>
    <w:semiHidden/>
    <w:unhideWhenUsed/>
    <w:rsid w:val="00645252"/>
    <w:rPr>
      <w:sz w:val="22"/>
      <w:szCs w:val="16"/>
    </w:rPr>
  </w:style>
  <w:style w:type="paragraph" w:styleId="CommentText">
    <w:name w:val="annotation text"/>
    <w:basedOn w:val="Normal"/>
    <w:link w:val="CommentTextChar"/>
    <w:uiPriority w:val="99"/>
    <w:semiHidden/>
    <w:unhideWhenUsed/>
    <w:rsid w:val="00645252"/>
    <w:rPr>
      <w:szCs w:val="20"/>
    </w:rPr>
  </w:style>
  <w:style w:type="character" w:customStyle="1" w:styleId="CommentTextChar">
    <w:name w:val="Comment Text Char"/>
    <w:basedOn w:val="DefaultParagraphFont"/>
    <w:link w:val="CommentText"/>
    <w:uiPriority w:val="99"/>
    <w:semiHidden/>
    <w:rsid w:val="00645252"/>
    <w:rPr>
      <w:szCs w:val="20"/>
    </w:rPr>
  </w:style>
  <w:style w:type="paragraph" w:styleId="CommentSubject">
    <w:name w:val="annotation subject"/>
    <w:basedOn w:val="CommentText"/>
    <w:next w:val="CommentText"/>
    <w:link w:val="CommentSubjectChar"/>
    <w:uiPriority w:val="99"/>
    <w:semiHidden/>
    <w:unhideWhenUsed/>
    <w:rsid w:val="00645252"/>
    <w:rPr>
      <w:b/>
      <w:bCs/>
    </w:rPr>
  </w:style>
  <w:style w:type="character" w:customStyle="1" w:styleId="CommentSubjectChar">
    <w:name w:val="Comment Subject Char"/>
    <w:basedOn w:val="CommentTextChar"/>
    <w:link w:val="CommentSubject"/>
    <w:uiPriority w:val="99"/>
    <w:semiHidden/>
    <w:rsid w:val="00645252"/>
    <w:rPr>
      <w:b/>
      <w:bCs/>
      <w:szCs w:val="20"/>
    </w:rPr>
  </w:style>
  <w:style w:type="paragraph" w:styleId="DocumentMap">
    <w:name w:val="Document Map"/>
    <w:basedOn w:val="Normal"/>
    <w:link w:val="DocumentMapChar"/>
    <w:uiPriority w:val="99"/>
    <w:semiHidden/>
    <w:unhideWhenUsed/>
    <w:rsid w:val="00645252"/>
    <w:rPr>
      <w:rFonts w:ascii="Segoe UI" w:hAnsi="Segoe UI" w:cs="Segoe UI"/>
      <w:szCs w:val="16"/>
    </w:rPr>
  </w:style>
  <w:style w:type="character" w:customStyle="1" w:styleId="DocumentMapChar">
    <w:name w:val="Document Map Char"/>
    <w:basedOn w:val="DefaultParagraphFont"/>
    <w:link w:val="DocumentMap"/>
    <w:uiPriority w:val="99"/>
    <w:semiHidden/>
    <w:rsid w:val="00645252"/>
    <w:rPr>
      <w:rFonts w:ascii="Segoe UI" w:hAnsi="Segoe UI" w:cs="Segoe UI"/>
      <w:szCs w:val="16"/>
    </w:rPr>
  </w:style>
  <w:style w:type="paragraph" w:styleId="EndnoteText">
    <w:name w:val="endnote text"/>
    <w:basedOn w:val="Normal"/>
    <w:link w:val="EndnoteTextChar"/>
    <w:uiPriority w:val="99"/>
    <w:semiHidden/>
    <w:unhideWhenUsed/>
    <w:rsid w:val="00645252"/>
    <w:rPr>
      <w:szCs w:val="20"/>
    </w:rPr>
  </w:style>
  <w:style w:type="character" w:customStyle="1" w:styleId="EndnoteTextChar">
    <w:name w:val="Endnote Text Char"/>
    <w:basedOn w:val="DefaultParagraphFont"/>
    <w:link w:val="EndnoteText"/>
    <w:uiPriority w:val="99"/>
    <w:semiHidden/>
    <w:rsid w:val="00645252"/>
    <w:rPr>
      <w:szCs w:val="20"/>
    </w:rPr>
  </w:style>
  <w:style w:type="paragraph" w:styleId="EnvelopeReturn">
    <w:name w:val="envelope return"/>
    <w:basedOn w:val="Normal"/>
    <w:uiPriority w:val="99"/>
    <w:semiHidden/>
    <w:unhideWhenUsed/>
    <w:rsid w:val="00645252"/>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645252"/>
    <w:rPr>
      <w:szCs w:val="20"/>
    </w:rPr>
  </w:style>
  <w:style w:type="character" w:customStyle="1" w:styleId="FootnoteTextChar">
    <w:name w:val="Footnote Text Char"/>
    <w:basedOn w:val="DefaultParagraphFont"/>
    <w:link w:val="FootnoteText"/>
    <w:uiPriority w:val="99"/>
    <w:semiHidden/>
    <w:rsid w:val="00645252"/>
    <w:rPr>
      <w:szCs w:val="20"/>
    </w:rPr>
  </w:style>
  <w:style w:type="character" w:styleId="HTMLCode">
    <w:name w:val="HTML Code"/>
    <w:basedOn w:val="DefaultParagraphFont"/>
    <w:uiPriority w:val="99"/>
    <w:semiHidden/>
    <w:unhideWhenUsed/>
    <w:rsid w:val="00645252"/>
    <w:rPr>
      <w:rFonts w:ascii="Consolas" w:hAnsi="Consolas"/>
      <w:sz w:val="22"/>
      <w:szCs w:val="20"/>
    </w:rPr>
  </w:style>
  <w:style w:type="character" w:styleId="HTMLKeyboard">
    <w:name w:val="HTML Keyboard"/>
    <w:basedOn w:val="DefaultParagraphFont"/>
    <w:uiPriority w:val="99"/>
    <w:semiHidden/>
    <w:unhideWhenUsed/>
    <w:rsid w:val="00645252"/>
    <w:rPr>
      <w:rFonts w:ascii="Consolas" w:hAnsi="Consolas"/>
      <w:sz w:val="22"/>
      <w:szCs w:val="20"/>
    </w:rPr>
  </w:style>
  <w:style w:type="paragraph" w:styleId="HTMLPreformatted">
    <w:name w:val="HTML Preformatted"/>
    <w:basedOn w:val="Normal"/>
    <w:link w:val="HTMLPreformattedChar"/>
    <w:uiPriority w:val="99"/>
    <w:semiHidden/>
    <w:unhideWhenUsed/>
    <w:rsid w:val="00645252"/>
    <w:rPr>
      <w:rFonts w:ascii="Consolas" w:hAnsi="Consolas"/>
      <w:szCs w:val="20"/>
    </w:rPr>
  </w:style>
  <w:style w:type="character" w:customStyle="1" w:styleId="HTMLPreformattedChar">
    <w:name w:val="HTML Preformatted Char"/>
    <w:basedOn w:val="DefaultParagraphFont"/>
    <w:link w:val="HTMLPreformatted"/>
    <w:uiPriority w:val="99"/>
    <w:semiHidden/>
    <w:rsid w:val="00645252"/>
    <w:rPr>
      <w:rFonts w:ascii="Consolas" w:hAnsi="Consolas"/>
      <w:szCs w:val="20"/>
    </w:rPr>
  </w:style>
  <w:style w:type="character" w:styleId="HTMLTypewriter">
    <w:name w:val="HTML Typewriter"/>
    <w:basedOn w:val="DefaultParagraphFont"/>
    <w:uiPriority w:val="99"/>
    <w:semiHidden/>
    <w:unhideWhenUsed/>
    <w:rsid w:val="00645252"/>
    <w:rPr>
      <w:rFonts w:ascii="Consolas" w:hAnsi="Consolas"/>
      <w:sz w:val="22"/>
      <w:szCs w:val="20"/>
    </w:rPr>
  </w:style>
  <w:style w:type="paragraph" w:styleId="MacroText">
    <w:name w:val="macro"/>
    <w:link w:val="MacroTextChar"/>
    <w:uiPriority w:val="99"/>
    <w:semiHidden/>
    <w:unhideWhenUsed/>
    <w:rsid w:val="00645252"/>
    <w:pPr>
      <w:tabs>
        <w:tab w:val="left" w:pos="480"/>
        <w:tab w:val="left" w:pos="960"/>
        <w:tab w:val="left" w:pos="1440"/>
        <w:tab w:val="left" w:pos="1920"/>
        <w:tab w:val="left" w:pos="2400"/>
        <w:tab w:val="left" w:pos="2880"/>
        <w:tab w:val="left" w:pos="3360"/>
        <w:tab w:val="left" w:pos="3840"/>
        <w:tab w:val="left" w:pos="4320"/>
      </w:tabs>
    </w:pPr>
    <w:rPr>
      <w:rFonts w:ascii="Consolas" w:hAnsi="Consolas"/>
      <w:szCs w:val="20"/>
    </w:rPr>
  </w:style>
  <w:style w:type="character" w:customStyle="1" w:styleId="MacroTextChar">
    <w:name w:val="Macro Text Char"/>
    <w:basedOn w:val="DefaultParagraphFont"/>
    <w:link w:val="MacroText"/>
    <w:uiPriority w:val="99"/>
    <w:semiHidden/>
    <w:rsid w:val="00645252"/>
    <w:rPr>
      <w:rFonts w:ascii="Consolas" w:hAnsi="Consolas"/>
      <w:szCs w:val="20"/>
    </w:rPr>
  </w:style>
  <w:style w:type="paragraph" w:styleId="PlainText">
    <w:name w:val="Plain Text"/>
    <w:basedOn w:val="Normal"/>
    <w:link w:val="PlainTextChar"/>
    <w:uiPriority w:val="99"/>
    <w:semiHidden/>
    <w:unhideWhenUsed/>
    <w:rsid w:val="00645252"/>
    <w:rPr>
      <w:rFonts w:ascii="Consolas" w:hAnsi="Consolas"/>
      <w:szCs w:val="21"/>
    </w:rPr>
  </w:style>
  <w:style w:type="character" w:customStyle="1" w:styleId="PlainTextChar">
    <w:name w:val="Plain Text Char"/>
    <w:basedOn w:val="DefaultParagraphFont"/>
    <w:link w:val="PlainText"/>
    <w:uiPriority w:val="99"/>
    <w:semiHidden/>
    <w:rsid w:val="00645252"/>
    <w:rPr>
      <w:rFonts w:ascii="Consolas" w:hAnsi="Consolas"/>
      <w:szCs w:val="21"/>
    </w:rPr>
  </w:style>
  <w:style w:type="character" w:styleId="PlaceholderText">
    <w:name w:val="Placeholder Text"/>
    <w:basedOn w:val="DefaultParagraphFont"/>
    <w:uiPriority w:val="99"/>
    <w:semiHidden/>
    <w:rsid w:val="00645252"/>
    <w:rPr>
      <w:color w:val="3B3838" w:themeColor="background2" w:themeShade="40"/>
    </w:rPr>
  </w:style>
  <w:style w:type="paragraph" w:styleId="Header">
    <w:name w:val="header"/>
    <w:basedOn w:val="Normal"/>
    <w:link w:val="HeaderChar"/>
    <w:uiPriority w:val="99"/>
    <w:semiHidden/>
    <w:unhideWhenUsed/>
    <w:rsid w:val="006D3D74"/>
  </w:style>
  <w:style w:type="character" w:customStyle="1" w:styleId="HeaderChar">
    <w:name w:val="Header Char"/>
    <w:basedOn w:val="DefaultParagraphFont"/>
    <w:link w:val="Header"/>
    <w:uiPriority w:val="99"/>
    <w:semiHidden/>
    <w:rsid w:val="006D3D74"/>
  </w:style>
  <w:style w:type="paragraph" w:styleId="Footer">
    <w:name w:val="footer"/>
    <w:basedOn w:val="Normal"/>
    <w:link w:val="FooterChar"/>
    <w:uiPriority w:val="99"/>
    <w:semiHidden/>
    <w:unhideWhenUsed/>
    <w:rsid w:val="006D3D74"/>
  </w:style>
  <w:style w:type="character" w:customStyle="1" w:styleId="FooterChar">
    <w:name w:val="Footer Char"/>
    <w:basedOn w:val="DefaultParagraphFont"/>
    <w:link w:val="Footer"/>
    <w:uiPriority w:val="99"/>
    <w:semiHidden/>
    <w:rsid w:val="006D3D74"/>
  </w:style>
  <w:style w:type="paragraph" w:styleId="ListParagraph">
    <w:name w:val="List Paragraph"/>
    <w:basedOn w:val="Normal"/>
    <w:uiPriority w:val="34"/>
    <w:unhideWhenUsed/>
    <w:qFormat/>
    <w:rsid w:val="00285A2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797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Roaming\Microsoft\Templates\Single%20spaced%20(blank)(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TemplateFile" ma:contentTypeID="0x0101006EDDDB5EE6D98C44930B742096920B300400F5B6D36B3EF94B4E9A635CDF2A18F5B8" ma:contentTypeVersion="72" ma:contentTypeDescription="Create a new document." ma:contentTypeScope="" ma:versionID="a23e56308344d904b51738559c3d67c9">
  <xsd:schema xmlns:xsd="http://www.w3.org/2001/XMLSchema" xmlns:xs="http://www.w3.org/2001/XMLSchema" xmlns:p="http://schemas.microsoft.com/office/2006/metadata/properties" xmlns:ns2="4873beb7-5857-4685-be1f-d57550cc96cc" targetNamespace="http://schemas.microsoft.com/office/2006/metadata/properties" ma:root="true" ma:fieldsID="cd0908cc4600e77bf5da051303e00c8d" ns2:_="">
    <xsd:import namespace="4873beb7-5857-4685-be1f-d57550cc96cc"/>
    <xsd:element name="properties">
      <xsd:complexType>
        <xsd:sequence>
          <xsd:element name="documentManagement">
            <xsd:complexType>
              <xsd:all>
                <xsd:element ref="ns2:AcquiredFrom" minOccurs="0"/>
                <xsd:element ref="ns2:UACurrentWords" minOccurs="0"/>
                <xsd:element ref="ns2:TPApplication" minOccurs="0"/>
                <xsd:element ref="ns2:ApprovalLog" minOccurs="0"/>
                <xsd:element ref="ns2:ApprovalStatus" minOccurs="0"/>
                <xsd:element ref="ns2:AssetStart" minOccurs="0"/>
                <xsd:element ref="ns2:AssetExpire" minOccurs="0"/>
                <xsd:element ref="ns2:AssetId" minOccurs="0"/>
                <xsd:element ref="ns2:IsSearchable" minOccurs="0"/>
                <xsd:element ref="ns2:AssetType" minOccurs="0"/>
                <xsd:element ref="ns2:APAuthor" minOccurs="0"/>
                <xsd:element ref="ns2:AverageRating" minOccurs="0"/>
                <xsd:element ref="ns2:BlockPublish" minOccurs="0"/>
                <xsd:element ref="ns2:BugNumber" minOccurs="0"/>
                <xsd:element ref="ns2:CampaignTagsTaxHTField0" minOccurs="0"/>
                <xsd:element ref="ns2:TPClientViewer" minOccurs="0"/>
                <xsd:element ref="ns2:ClipArtFilename" minOccurs="0"/>
                <xsd:element ref="ns2:TPCommandLine" minOccurs="0"/>
                <xsd:element ref="ns2:TPComponent" minOccurs="0"/>
                <xsd:element ref="ns2:ContentItem" minOccurs="0"/>
                <xsd:element ref="ns2:CrawlForDependencies" minOccurs="0"/>
                <xsd:element ref="ns2:CSXHash" minOccurs="0"/>
                <xsd:element ref="ns2:CSXSubmissionMarket" minOccurs="0"/>
                <xsd:element ref="ns2:CSXUpdate" minOccurs="0"/>
                <xsd:element ref="ns2:IntlLangReviewDate" minOccurs="0"/>
                <xsd:element ref="ns2:IsDeleted" minOccurs="0"/>
                <xsd:element ref="ns2:APDescription" minOccurs="0"/>
                <xsd:element ref="ns2:DirectSourceMarket" minOccurs="0"/>
                <xsd:element ref="ns2:Downloads" minOccurs="0"/>
                <xsd:element ref="ns2:DSATActionTaken" minOccurs="0"/>
                <xsd:element ref="ns2:APEditor" minOccurs="0"/>
                <xsd:element ref="ns2:EditorialStatus" minOccurs="0"/>
                <xsd:element ref="ns2:EditorialTags" minOccurs="0"/>
                <xsd:element ref="ns2:TPExecutable" minOccurs="0"/>
                <xsd:element ref="ns2:FeatureTagsTaxHTField0" minOccurs="0"/>
                <xsd:element ref="ns2:TPFriendlyName" minOccurs="0"/>
                <xsd:element ref="ns2:FriendlyTitle" minOccurs="0"/>
                <xsd:element ref="ns2:PrimaryImageGen" minOccurs="0"/>
                <xsd:element ref="ns2:HandoffToMSDN" minOccurs="0"/>
                <xsd:element ref="ns2:InProjectListLookup" minOccurs="0"/>
                <xsd:element ref="ns2:TPInstallLocation" minOccurs="0"/>
                <xsd:element ref="ns2:InternalTagsTaxHTField0" minOccurs="0"/>
                <xsd:element ref="ns2:IntlLangReview" minOccurs="0"/>
                <xsd:element ref="ns2:IntlLangReviewer" minOccurs="0"/>
                <xsd:element ref="ns2:MarketSpecific" minOccurs="0"/>
                <xsd:element ref="ns2:LastCompleteVersionLookup" minOccurs="0"/>
                <xsd:element ref="ns2:LastHandOff" minOccurs="0"/>
                <xsd:element ref="ns2:LastModifiedDateTime" minOccurs="0"/>
                <xsd:element ref="ns2:LastPreviewErrorLookup" minOccurs="0"/>
                <xsd:element ref="ns2:LastPreviewResultLookup" minOccurs="0"/>
                <xsd:element ref="ns2:LastPreviewAttemptDateLookup" minOccurs="0"/>
                <xsd:element ref="ns2:LastPreviewedByLookup" minOccurs="0"/>
                <xsd:element ref="ns2:LastPreviewTimeLookup" minOccurs="0"/>
                <xsd:element ref="ns2:LastPreviewVersionLookup" minOccurs="0"/>
                <xsd:element ref="ns2:LastPublishErrorLookup" minOccurs="0"/>
                <xsd:element ref="ns2:LastPublishResultLookup" minOccurs="0"/>
                <xsd:element ref="ns2:LastPublishAttemptDateLookup" minOccurs="0"/>
                <xsd:element ref="ns2:LastPublishedByLookup" minOccurs="0"/>
                <xsd:element ref="ns2:LastPublishTimeLookup" minOccurs="0"/>
                <xsd:element ref="ns2:LastPublishVersionLookup" minOccurs="0"/>
                <xsd:element ref="ns2:TPLaunchHelpLinkType" minOccurs="0"/>
                <xsd:element ref="ns2:LegacyData" minOccurs="0"/>
                <xsd:element ref="ns2:TPLaunchHelpLink" minOccurs="0"/>
                <xsd:element ref="ns2:LocComments" minOccurs="0"/>
                <xsd:element ref="ns2:LocLastLocAttemptVersionLookup" minOccurs="0"/>
                <xsd:element ref="ns2:LocLastLocAttemptVersionTypeLookup" minOccurs="0"/>
                <xsd:element ref="ns2:LocManualTestRequired" minOccurs="0"/>
                <xsd:element ref="ns2:LocMarketGroupTiers2" minOccurs="0"/>
                <xsd:element ref="ns2:LocNewPublishedVersionLookup" minOccurs="0"/>
                <xsd:element ref="ns2:LocOverallHandbackStatusLookup" minOccurs="0"/>
                <xsd:element ref="ns2:LocOverallLocStatusLookup" minOccurs="0"/>
                <xsd:element ref="ns2:LocOverallPreviewStatusLookup" minOccurs="0"/>
                <xsd:element ref="ns2:LocOverallPublishStatusLookup" minOccurs="0"/>
                <xsd:element ref="ns2:IntlLocPriority" minOccurs="0"/>
                <xsd:element ref="ns2:LocProcessedForHandoffsLookup" minOccurs="0"/>
                <xsd:element ref="ns2:LocProcessedForMarketsLookup" minOccurs="0"/>
                <xsd:element ref="ns2:LocPublishedDependentAssetsLookup" minOccurs="0"/>
                <xsd:element ref="ns2:LocPublishedLinkedAssetsLookup" minOccurs="0"/>
                <xsd:element ref="ns2:LocRecommendedHandoff" minOccurs="0"/>
                <xsd:element ref="ns2:LocalizationTagsTaxHTField0" minOccurs="0"/>
                <xsd:element ref="ns2:MachineTranslated" minOccurs="0"/>
                <xsd:element ref="ns2:Manager" minOccurs="0"/>
                <xsd:element ref="ns2:Markets" minOccurs="0"/>
                <xsd:element ref="ns2:Milestone" minOccurs="0"/>
                <xsd:element ref="ns2:TPNamespace" minOccurs="0"/>
                <xsd:element ref="ns2:NumericId" minOccurs="0"/>
                <xsd:element ref="ns2:NumOfRatingsLookup" minOccurs="0"/>
                <xsd:element ref="ns2:OOCacheId" minOccurs="0"/>
                <xsd:element ref="ns2:OpenTemplate" minOccurs="0"/>
                <xsd:element ref="ns2:OriginAsset" minOccurs="0"/>
                <xsd:element ref="ns2:OriginalRelease" minOccurs="0"/>
                <xsd:element ref="ns2:OriginalSourceMarket" minOccurs="0"/>
                <xsd:element ref="ns2:OutputCachingOn" minOccurs="0"/>
                <xsd:element ref="ns2:ParentAssetId" minOccurs="0"/>
                <xsd:element ref="ns2:PlannedPubDate" minOccurs="0"/>
                <xsd:element ref="ns2:PolicheckWords" minOccurs="0"/>
                <xsd:element ref="ns2:BusinessGroup" minOccurs="0"/>
                <xsd:element ref="ns2:UAProjectedTotalWords" minOccurs="0"/>
                <xsd:element ref="ns2:Provider" minOccurs="0"/>
                <xsd:element ref="ns2:Providers" minOccurs="0"/>
                <xsd:element ref="ns2:PublishStatusLookup" minOccurs="0"/>
                <xsd:element ref="ns2:PublishTargets" minOccurs="0"/>
                <xsd:element ref="ns2:RecommendationsModifier" minOccurs="0"/>
                <xsd:element ref="ns2:ArtSampleDocs" minOccurs="0"/>
                <xsd:element ref="ns2:ScenarioTagsTaxHTField0" minOccurs="0"/>
                <xsd:element ref="ns2:ShowIn" minOccurs="0"/>
                <xsd:element ref="ns2:SourceTitle" minOccurs="0"/>
                <xsd:element ref="ns2:CSXSubmissionDate" minOccurs="0"/>
                <xsd:element ref="ns2:SubmitterId" minOccurs="0"/>
                <xsd:element ref="ns2:TaxCatchAll" minOccurs="0"/>
                <xsd:element ref="ns2:TaxCatchAllLabel" minOccurs="0"/>
                <xsd:element ref="ns2:TemplateStatus" minOccurs="0"/>
                <xsd:element ref="ns2:TemplateTemplateType" minOccurs="0"/>
                <xsd:element ref="ns2:ThumbnailAssetId" minOccurs="0"/>
                <xsd:element ref="ns2:TimesCloned" minOccurs="0"/>
                <xsd:element ref="ns2:TrustLevel" minOccurs="0"/>
                <xsd:element ref="ns2:UALocComments" minOccurs="0"/>
                <xsd:element ref="ns2:UALocRecommendation" minOccurs="0"/>
                <xsd:element ref="ns2:UANotes" minOccurs="0"/>
                <xsd:element ref="ns2:TPAppVersion" minOccurs="0"/>
                <xsd:element ref="ns2:VoteCou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73beb7-5857-4685-be1f-d57550cc96cc" elementFormDefault="qualified">
    <xsd:import namespace="http://schemas.microsoft.com/office/2006/documentManagement/types"/>
    <xsd:import namespace="http://schemas.microsoft.com/office/infopath/2007/PartnerControls"/>
    <xsd:element name="AcquiredFrom" ma:index="1" nillable="true" ma:displayName="Acquired From" ma:default="Internal MS" ma:internalName="AcquiredFrom" ma:readOnly="false">
      <xsd:simpleType>
        <xsd:restriction base="dms:Choice">
          <xsd:enumeration value="Internal MS"/>
          <xsd:enumeration value="Community"/>
          <xsd:enumeration value="MVP"/>
          <xsd:enumeration value="Publisher"/>
          <xsd:enumeration value="Partner"/>
          <xsd:enumeration value="None"/>
        </xsd:restriction>
      </xsd:simpleType>
    </xsd:element>
    <xsd:element name="UACurrentWords" ma:index="2" nillable="true" ma:displayName="Actual Word Count" ma:default="" ma:internalName="UACurrentWords" ma:readOnly="false">
      <xsd:simpleType>
        <xsd:restriction base="dms:Unknown"/>
      </xsd:simpleType>
    </xsd:element>
    <xsd:element name="TPApplication" ma:index="3" nillable="true" ma:displayName="Application to Open Template With" ma:default="" ma:internalName="TPApplication">
      <xsd:simpleType>
        <xsd:restriction base="dms:Text"/>
      </xsd:simpleType>
    </xsd:element>
    <xsd:element name="ApprovalLog" ma:index="4" nillable="true" ma:displayName="Approval Log" ma:default="" ma:hidden="true" ma:internalName="ApprovalLog" ma:readOnly="false">
      <xsd:simpleType>
        <xsd:restriction base="dms:Note"/>
      </xsd:simpleType>
    </xsd:element>
    <xsd:element name="ApprovalStatus" ma:index="5" nillable="true" ma:displayName="Approval Status" ma:default="InProgress" ma:internalName="ApprovalStatus" ma:readOnly="false">
      <xsd:simpleType>
        <xsd:restriction base="dms:Choice">
          <xsd:enumeration value="InProgress"/>
          <xsd:enumeration value="Rejected"/>
          <xsd:enumeration value="Questionable"/>
          <xsd:enumeration value="ApprovedAutomatic"/>
          <xsd:enumeration value="ApprovedManual"/>
          <xsd:enumeration value="On Hold"/>
          <xsd:enumeration value="Needs Review"/>
          <xsd:enumeration value="A Violation"/>
          <xsd:enumeration value="Unpublished Violation"/>
        </xsd:restriction>
      </xsd:simpleType>
    </xsd:element>
    <xsd:element name="AssetStart" ma:index="6" nillable="true" ma:displayName="Asset Begin Date" ma:default="[Today]" ma:internalName="AssetStart" ma:readOnly="false">
      <xsd:simpleType>
        <xsd:restriction base="dms:DateTime"/>
      </xsd:simpleType>
    </xsd:element>
    <xsd:element name="AssetExpire" ma:index="7" nillable="true" ma:displayName="Asset End Date" ma:default="2029-01-01T08:00:00Z" ma:format="DateTime" ma:internalName="AssetExpire" ma:readOnly="false">
      <xsd:simpleType>
        <xsd:restriction base="dms:DateTime"/>
      </xsd:simpleType>
    </xsd:element>
    <xsd:element name="AssetId" ma:index="8" nillable="true" ma:displayName="Asset ID" ma:default="" ma:indexed="true" ma:internalName="AssetId" ma:readOnly="false">
      <xsd:simpleType>
        <xsd:restriction base="dms:Text">
          <xsd:maxLength value="255"/>
        </xsd:restriction>
      </xsd:simpleType>
    </xsd:element>
    <xsd:element name="IsSearchable" ma:index="9" nillable="true" ma:displayName="Asset Searchable?" ma:default="true" ma:internalName="IsSearchable" ma:readOnly="false">
      <xsd:simpleType>
        <xsd:restriction base="dms:Boolean"/>
      </xsd:simpleType>
    </xsd:element>
    <xsd:element name="AssetType" ma:index="10" nillable="true" ma:displayName="Asset Type" ma:default="" ma:internalName="AssetType" ma:readOnly="false">
      <xsd:simpleType>
        <xsd:restriction base="dms:Unknown"/>
      </xsd:simpleType>
    </xsd:element>
    <xsd:element name="APAuthor" ma:index="11" nillable="true" ma:displayName="Author" ma:default="" ma:list="UserInfo" ma:internalName="APAuth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verageRating" ma:index="12" nillable="true" ma:displayName="Average Rating" ma:internalName="AverageRating" ma:readOnly="false">
      <xsd:simpleType>
        <xsd:restriction base="dms:Text"/>
      </xsd:simpleType>
    </xsd:element>
    <xsd:element name="BlockPublish" ma:index="13" nillable="true" ma:displayName="Block from Publishing?" ma:default="" ma:internalName="BlockPublish" ma:readOnly="false">
      <xsd:simpleType>
        <xsd:restriction base="dms:Boolean"/>
      </xsd:simpleType>
    </xsd:element>
    <xsd:element name="BugNumber" ma:index="14" nillable="true" ma:displayName="Bug Number" ma:default="" ma:internalName="BugNumber" ma:readOnly="false">
      <xsd:simpleType>
        <xsd:restriction base="dms:Text"/>
      </xsd:simpleType>
    </xsd:element>
    <xsd:element name="CampaignTagsTaxHTField0" ma:index="16" nillable="true" ma:taxonomy="true" ma:internalName="CampaignTagsTaxHTField0" ma:taxonomyFieldName="CampaignTags" ma:displayName="Campaigns" ma:readOnly="false" ma:default="" ma:fieldId="{1df42cc3-2301-4f11-a52a-6ead923c29ed}" ma:taxonomyMulti="true" ma:sspId="8f79753a-75d3-41f5-8ca3-40b843941b4f" ma:termSetId="ca0e50d4-faa1-44ce-961e-bb1441c60e66" ma:anchorId="00000000-0000-0000-0000-000000000000" ma:open="false" ma:isKeyword="false">
      <xsd:complexType>
        <xsd:sequence>
          <xsd:element ref="pc:Terms" minOccurs="0" maxOccurs="1"/>
        </xsd:sequence>
      </xsd:complexType>
    </xsd:element>
    <xsd:element name="TPClientViewer" ma:index="17" nillable="true" ma:displayName="Client Viewer" ma:default="" ma:internalName="TPClientViewer">
      <xsd:simpleType>
        <xsd:restriction base="dms:Text"/>
      </xsd:simpleType>
    </xsd:element>
    <xsd:element name="ClipArtFilename" ma:index="18" nillable="true" ma:displayName="Clip Art Name" ma:default="" ma:internalName="ClipArtFilename" ma:readOnly="false">
      <xsd:simpleType>
        <xsd:restriction base="dms:Text"/>
      </xsd:simpleType>
    </xsd:element>
    <xsd:element name="TPCommandLine" ma:index="19" nillable="true" ma:displayName="Command Line" ma:default="" ma:internalName="TPCommandLine">
      <xsd:simpleType>
        <xsd:restriction base="dms:Text"/>
      </xsd:simpleType>
    </xsd:element>
    <xsd:element name="TPComponent" ma:index="20" nillable="true" ma:displayName="Component" ma:default="" ma:internalName="TPComponent">
      <xsd:simpleType>
        <xsd:restriction base="dms:Text"/>
      </xsd:simpleType>
    </xsd:element>
    <xsd:element name="ContentItem" ma:index="21" nillable="true" ma:displayName="Content Item" ma:default="" ma:hidden="true" ma:internalName="ContentItem" ma:readOnly="false">
      <xsd:simpleType>
        <xsd:restriction base="dms:Unknown"/>
      </xsd:simpleType>
    </xsd:element>
    <xsd:element name="CrawlForDependencies" ma:index="23" nillable="true" ma:displayName="Crawl for Dependencies?" ma:default="true" ma:internalName="CrawlForDependencies" ma:readOnly="false">
      <xsd:simpleType>
        <xsd:restriction base="dms:Boolean"/>
      </xsd:simpleType>
    </xsd:element>
    <xsd:element name="CSXHash" ma:index="26" nillable="true" ma:displayName="CSX Hash" ma:default="" ma:indexed="true" ma:internalName="CSXHash" ma:readOnly="false">
      <xsd:simpleType>
        <xsd:restriction base="dms:Text"/>
      </xsd:simpleType>
    </xsd:element>
    <xsd:element name="CSXSubmissionMarket" ma:index="27" nillable="true" ma:displayName="CSX Submission Market" ma:default="" ma:list="{2FBD1B11-2ACE-4FDC-B5A3-635D4ADF6F1B}" ma:internalName="CSXSubmissionMarket" ma:readOnly="false" ma:showField="MarketName" ma:web="4873beb7-5857-4685-be1f-d57550cc96cc">
      <xsd:simpleType>
        <xsd:restriction base="dms:Lookup"/>
      </xsd:simpleType>
    </xsd:element>
    <xsd:element name="CSXUpdate" ma:index="28" nillable="true" ma:displayName="CSX Updated?" ma:default="false" ma:internalName="CSXUpdate" ma:readOnly="false">
      <xsd:simpleType>
        <xsd:restriction base="dms:Boolean"/>
      </xsd:simpleType>
    </xsd:element>
    <xsd:element name="IntlLangReviewDate" ma:index="29" nillable="true" ma:displayName="Date to Complete Intl QA" ma:default="" ma:internalName="IntlLangReviewDate" ma:readOnly="false">
      <xsd:simpleType>
        <xsd:restriction base="dms:DateTime"/>
      </xsd:simpleType>
    </xsd:element>
    <xsd:element name="IsDeleted" ma:index="30" nillable="true" ma:displayName="Deleted?" ma:default="" ma:internalName="IsDeleted" ma:readOnly="false">
      <xsd:simpleType>
        <xsd:restriction base="dms:Boolean"/>
      </xsd:simpleType>
    </xsd:element>
    <xsd:element name="APDescription" ma:index="31" nillable="true" ma:displayName="Description" ma:default="" ma:internalName="APDescription" ma:readOnly="false">
      <xsd:simpleType>
        <xsd:restriction base="dms:Note"/>
      </xsd:simpleType>
    </xsd:element>
    <xsd:element name="DirectSourceMarket" ma:index="32" nillable="true" ma:displayName="Direct Source Market Group" ma:default="" ma:internalName="DirectSourceMarket" ma:readOnly="false">
      <xsd:simpleType>
        <xsd:restriction base="dms:Text"/>
      </xsd:simpleType>
    </xsd:element>
    <xsd:element name="Downloads" ma:index="33" nillable="true" ma:displayName="Downloads" ma:default="0" ma:hidden="true" ma:internalName="Downloads" ma:readOnly="false">
      <xsd:simpleType>
        <xsd:restriction base="dms:Unknown"/>
      </xsd:simpleType>
    </xsd:element>
    <xsd:element name="DSATActionTaken" ma:index="34" nillable="true" ma:displayName="DSAT Action Taken" ma:default="" ma:internalName="DSATActionTaken" ma:readOnly="false">
      <xsd:simpleType>
        <xsd:restriction base="dms:Choice">
          <xsd:enumeration value="Best Bets"/>
          <xsd:enumeration value="Expire"/>
          <xsd:enumeration value="Hide"/>
          <xsd:enumeration value="None"/>
        </xsd:restriction>
      </xsd:simpleType>
    </xsd:element>
    <xsd:element name="APEditor" ma:index="35" nillable="true" ma:displayName="Editor" ma:default="" ma:list="UserInfo" ma:internalName="APEdit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ialStatus" ma:index="36" nillable="true" ma:displayName="Editorial Status" ma:default="" ma:internalName="EditorialStatus" ma:readOnly="false">
      <xsd:simpleType>
        <xsd:restriction base="dms:Unknown"/>
      </xsd:simpleType>
    </xsd:element>
    <xsd:element name="EditorialTags" ma:index="37" nillable="true" ma:displayName="Editorial Tags" ma:default="" ma:internalName="EditorialTags">
      <xsd:simpleType>
        <xsd:restriction base="dms:Unknown"/>
      </xsd:simpleType>
    </xsd:element>
    <xsd:element name="TPExecutable" ma:index="38" nillable="true" ma:displayName="Executable" ma:default="" ma:internalName="TPExecutable">
      <xsd:simpleType>
        <xsd:restriction base="dms:Text"/>
      </xsd:simpleType>
    </xsd:element>
    <xsd:element name="FeatureTagsTaxHTField0" ma:index="40" nillable="true" ma:taxonomy="true" ma:internalName="FeatureTagsTaxHTField0" ma:taxonomyFieldName="FeatureTags" ma:displayName="Features" ma:readOnly="false" ma:default="" ma:fieldId="{7fc0d542-15c6-4882-a8e3-13bca44403fb}" ma:taxonomyMulti="true" ma:sspId="8f79753a-75d3-41f5-8ca3-40b843941b4f" ma:termSetId="f1ab6845-967d-4854-a0ba-4ec07f0f8113" ma:anchorId="00000000-0000-0000-0000-000000000000" ma:open="false" ma:isKeyword="false">
      <xsd:complexType>
        <xsd:sequence>
          <xsd:element ref="pc:Terms" minOccurs="0" maxOccurs="1"/>
        </xsd:sequence>
      </xsd:complexType>
    </xsd:element>
    <xsd:element name="TPFriendlyName" ma:index="41" nillable="true" ma:displayName="Friendly Name" ma:default="" ma:internalName="TPFriendlyName">
      <xsd:simpleType>
        <xsd:restriction base="dms:Text"/>
      </xsd:simpleType>
    </xsd:element>
    <xsd:element name="FriendlyTitle" ma:index="42" nillable="true" ma:displayName="Friendly Title" ma:default="" ma:description="Shorter title to be used when displaying search results" ma:internalName="FriendlyTitle" ma:readOnly="false">
      <xsd:simpleType>
        <xsd:restriction base="dms:Text"/>
      </xsd:simpleType>
    </xsd:element>
    <xsd:element name="PrimaryImageGen" ma:index="43" nillable="true" ma:displayName="Generate Images?" ma:default="true" ma:internalName="PrimaryImageGen">
      <xsd:simpleType>
        <xsd:restriction base="dms:Boolean"/>
      </xsd:simpleType>
    </xsd:element>
    <xsd:element name="HandoffToMSDN" ma:index="44" nillable="true" ma:displayName="Handoff To MSDN Date" ma:default="" ma:internalName="HandoffToMSDN" ma:readOnly="false">
      <xsd:simpleType>
        <xsd:restriction base="dms:DateTime"/>
      </xsd:simpleType>
    </xsd:element>
    <xsd:element name="InProjectListLookup" ma:index="45" nillable="true" ma:displayName="InProjectListLookup" ma:list="{9E343742-310B-4684-A24C-1D137CB4B230}" ma:internalName="InProjectListLookup" ma:readOnly="true" ma:showField="InProjectLis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PInstallLocation" ma:index="46" nillable="true" ma:displayName="Install Location" ma:default="" ma:internalName="TPInstallLocation">
      <xsd:simpleType>
        <xsd:restriction base="dms:Text"/>
      </xsd:simpleType>
    </xsd:element>
    <xsd:element name="InternalTagsTaxHTField0" ma:index="48" nillable="true" ma:taxonomy="true" ma:internalName="InternalTagsTaxHTField0" ma:taxonomyFieldName="InternalTags" ma:displayName="Internal Tags" ma:readOnly="false" ma:default="" ma:fieldId="{1490b8a4-2706-41ec-b5e3-73176dccf34e}" ma:taxonomyMulti="true" ma:sspId="8f79753a-75d3-41f5-8ca3-40b843941b4f" ma:termSetId="82b6639e-f7fc-4c18-ad2d-003a6e707765" ma:anchorId="00000000-0000-0000-0000-000000000000" ma:open="false" ma:isKeyword="false">
      <xsd:complexType>
        <xsd:sequence>
          <xsd:element ref="pc:Terms" minOccurs="0" maxOccurs="1"/>
        </xsd:sequence>
      </xsd:complexType>
    </xsd:element>
    <xsd:element name="IntlLangReview" ma:index="49" nillable="true" ma:displayName="Intl Lang QA Review Required?" ma:default="" ma:internalName="IntlLangReview" ma:readOnly="false">
      <xsd:simpleType>
        <xsd:restriction base="dms:Boolean"/>
      </xsd:simpleType>
    </xsd:element>
    <xsd:element name="IntlLangReviewer" ma:index="50" nillable="true" ma:displayName="Intl Lang QA Reviewer" ma:default="" ma:internalName="IntlLangReviewer" ma:readOnly="false">
      <xsd:simpleType>
        <xsd:restriction base="dms:Text"/>
      </xsd:simpleType>
    </xsd:element>
    <xsd:element name="MarketSpecific" ma:index="51" nillable="true" ma:displayName="Is Market Specific?" ma:default="" ma:internalName="MarketSpecific" ma:readOnly="false">
      <xsd:simpleType>
        <xsd:restriction base="dms:Boolean"/>
      </xsd:simpleType>
    </xsd:element>
    <xsd:element name="LastCompleteVersionLookup" ma:index="52" nillable="true" ma:displayName="Last Complete Version Lookup" ma:default="" ma:list="{9E343742-310B-4684-A24C-1D137CB4B230}" ma:internalName="LastCompleteVersionLookup" ma:readOnly="true" ma:showField="LastComplete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HandOff" ma:index="53" nillable="true" ma:displayName="Last Hand-off" ma:default="" ma:internalName="LastHandOff" ma:readOnly="false">
      <xsd:simpleType>
        <xsd:restriction base="dms:DateTime"/>
      </xsd:simpleType>
    </xsd:element>
    <xsd:element name="LastModifiedDateTime" ma:index="54" nillable="true" ma:displayName="Last Modified Date" ma:default="" ma:internalName="LastModifiedDateTime" ma:readOnly="false">
      <xsd:simpleType>
        <xsd:restriction base="dms:DateTime"/>
      </xsd:simpleType>
    </xsd:element>
    <xsd:element name="LastPreviewErrorLookup" ma:index="55" nillable="true" ma:displayName="Last Preview Attempt Error" ma:default="" ma:list="{9E343742-310B-4684-A24C-1D137CB4B230}" ma:internalName="LastPreviewErrorLookup" ma:readOnly="true" ma:showField="LastPreviewError"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ResultLookup" ma:index="56" nillable="true" ma:displayName="Last Preview Attempt Result" ma:default="" ma:list="{9E343742-310B-4684-A24C-1D137CB4B230}" ma:internalName="LastPreviewResultLookup" ma:readOnly="true" ma:showField="LastPreviewResul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AttemptDateLookup" ma:index="57" nillable="true" ma:displayName="Last Preview Attempted On" ma:default="" ma:list="{9E343742-310B-4684-A24C-1D137CB4B230}" ma:internalName="LastPreviewAttemptDateLookup" ma:readOnly="true" ma:showField="LastPreviewAttemptDat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edByLookup" ma:index="58" nillable="true" ma:displayName="Last Previewed By" ma:default="" ma:list="{9E343742-310B-4684-A24C-1D137CB4B230}" ma:internalName="LastPreviewedByLookup" ma:readOnly="true" ma:showField="LastPreviewedBy"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TimeLookup" ma:index="59" nillable="true" ma:displayName="Last Previewed Date" ma:default="" ma:list="{9E343742-310B-4684-A24C-1D137CB4B230}" ma:internalName="LastPreviewTimeLookup" ma:readOnly="true" ma:showField="LastPreviewTi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VersionLookup" ma:index="60" nillable="true" ma:displayName="Last Previewed Version" ma:default="" ma:list="{9E343742-310B-4684-A24C-1D137CB4B230}" ma:internalName="LastPreviewVersionLookup" ma:readOnly="true" ma:showField="LastPreview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ErrorLookup" ma:index="61" nillable="true" ma:displayName="Last Publish Attempt Error" ma:default="" ma:list="{9E343742-310B-4684-A24C-1D137CB4B230}" ma:internalName="LastPublishErrorLookup" ma:readOnly="true" ma:showField="LastPublishError"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ResultLookup" ma:index="62" nillable="true" ma:displayName="Last Publish Attempt Result" ma:default="" ma:list="{9E343742-310B-4684-A24C-1D137CB4B230}" ma:internalName="LastPublishResultLookup" ma:readOnly="true" ma:showField="LastPublishResul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AttemptDateLookup" ma:index="63" nillable="true" ma:displayName="Last Publish Attempted On" ma:default="" ma:list="{9E343742-310B-4684-A24C-1D137CB4B230}" ma:internalName="LastPublishAttemptDateLookup" ma:readOnly="true" ma:showField="LastPublishAttemptDat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edByLookup" ma:index="64" nillable="true" ma:displayName="Last Published By" ma:default="" ma:list="{9E343742-310B-4684-A24C-1D137CB4B230}" ma:internalName="LastPublishedByLookup" ma:readOnly="true" ma:showField="LastPublishedBy"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TimeLookup" ma:index="65" nillable="true" ma:displayName="Last Published Date" ma:default="" ma:list="{9E343742-310B-4684-A24C-1D137CB4B230}" ma:internalName="LastPublishTimeLookup" ma:readOnly="true" ma:showField="LastPublishTi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VersionLookup" ma:index="66" nillable="true" ma:displayName="Last Published Version" ma:default="" ma:list="{9E343742-310B-4684-A24C-1D137CB4B230}" ma:internalName="LastPublishVersionLookup" ma:readOnly="true" ma:showField="LastPublish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PLaunchHelpLinkType" ma:index="67" nillable="true" ma:displayName="Launch Help Link Type" ma:default="Template" ma:internalName="TPLaunchHelpLinkType">
      <xsd:simpleType>
        <xsd:restriction base="dms:Choice">
          <xsd:enumeration value="Template"/>
          <xsd:enumeration value="Training"/>
          <xsd:enumeration value="URL"/>
          <xsd:enumeration value="None"/>
        </xsd:restriction>
      </xsd:simpleType>
    </xsd:element>
    <xsd:element name="LegacyData" ma:index="68" nillable="true" ma:displayName="Legacy Data" ma:default="" ma:internalName="LegacyData" ma:readOnly="false">
      <xsd:simpleType>
        <xsd:restriction base="dms:Note"/>
      </xsd:simpleType>
    </xsd:element>
    <xsd:element name="TPLaunchHelpLink" ma:index="69" nillable="true" ma:displayName="Link to Launch Help Topic" ma:default="" ma:internalName="TPLaunchHelpLink">
      <xsd:simpleType>
        <xsd:restriction base="dms:Text"/>
      </xsd:simpleType>
    </xsd:element>
    <xsd:element name="LocComments" ma:index="70" nillable="true" ma:displayName="Loc Approval Comments" ma:default="" ma:internalName="LocComments" ma:readOnly="false">
      <xsd:simpleType>
        <xsd:restriction base="dms:Note"/>
      </xsd:simpleType>
    </xsd:element>
    <xsd:element name="LocLastLocAttemptVersionLookup" ma:index="71" nillable="true" ma:displayName="Loc Last Loc Attempt Version" ma:default="" ma:list="{7DD1DCEC-E449-43D3-891F-7DC62F62AD21}" ma:internalName="LocLastLocAttemptVersionLookup" ma:readOnly="false" ma:showField="LastLocAttemptVersion" ma:web="4873beb7-5857-4685-be1f-d57550cc96cc">
      <xsd:simpleType>
        <xsd:restriction base="dms:Lookup"/>
      </xsd:simpleType>
    </xsd:element>
    <xsd:element name="LocLastLocAttemptVersionTypeLookup" ma:index="72" nillable="true" ma:displayName="Loc Last Loc Attempt Version Type" ma:default="" ma:list="{7DD1DCEC-E449-43D3-891F-7DC62F62AD21}" ma:internalName="LocLastLocAttemptVersionTypeLookup" ma:readOnly="true" ma:showField="LastLocAttemptVersionType" ma:web="4873beb7-5857-4685-be1f-d57550cc96cc">
      <xsd:simpleType>
        <xsd:restriction base="dms:Lookup"/>
      </xsd:simpleType>
    </xsd:element>
    <xsd:element name="LocManualTestRequired" ma:index="73" nillable="true" ma:displayName="Loc Manual Test Required" ma:default="" ma:internalName="LocManualTestRequired" ma:readOnly="false">
      <xsd:simpleType>
        <xsd:restriction base="dms:Boolean"/>
      </xsd:simpleType>
    </xsd:element>
    <xsd:element name="LocMarketGroupTiers2" ma:index="74" nillable="true" ma:displayName="Loc Market Group Tiers" ma:internalName="LocMarketGroupTiers2" ma:readOnly="false">
      <xsd:simpleType>
        <xsd:restriction base="dms:Unknown"/>
      </xsd:simpleType>
    </xsd:element>
    <xsd:element name="LocNewPublishedVersionLookup" ma:index="75" nillable="true" ma:displayName="Loc New Published Version Lookup" ma:default="" ma:list="{7DD1DCEC-E449-43D3-891F-7DC62F62AD21}" ma:internalName="LocNewPublishedVersionLookup" ma:readOnly="true" ma:showField="NewPublishedVersion" ma:web="4873beb7-5857-4685-be1f-d57550cc96cc">
      <xsd:simpleType>
        <xsd:restriction base="dms:Lookup"/>
      </xsd:simpleType>
    </xsd:element>
    <xsd:element name="LocOverallHandbackStatusLookup" ma:index="76" nillable="true" ma:displayName="Loc Overall Handback Status" ma:default="" ma:list="{7DD1DCEC-E449-43D3-891F-7DC62F62AD21}" ma:internalName="LocOverallHandbackStatusLookup" ma:readOnly="true" ma:showField="OverallHandbackStatus" ma:web="4873beb7-5857-4685-be1f-d57550cc96cc">
      <xsd:simpleType>
        <xsd:restriction base="dms:Lookup"/>
      </xsd:simpleType>
    </xsd:element>
    <xsd:element name="LocOverallLocStatusLookup" ma:index="77" nillable="true" ma:displayName="Loc Overall Localize Status" ma:default="" ma:list="{7DD1DCEC-E449-43D3-891F-7DC62F62AD21}" ma:internalName="LocOverallLocStatusLookup" ma:readOnly="true" ma:showField="OverallLocStatus" ma:web="4873beb7-5857-4685-be1f-d57550cc96cc">
      <xsd:simpleType>
        <xsd:restriction base="dms:Lookup"/>
      </xsd:simpleType>
    </xsd:element>
    <xsd:element name="LocOverallPreviewStatusLookup" ma:index="78" nillable="true" ma:displayName="Loc Overall Preview Status" ma:default="" ma:list="{7DD1DCEC-E449-43D3-891F-7DC62F62AD21}" ma:internalName="LocOverallPreviewStatusLookup" ma:readOnly="true" ma:showField="OverallPreviewStatus" ma:web="4873beb7-5857-4685-be1f-d57550cc96cc">
      <xsd:simpleType>
        <xsd:restriction base="dms:Lookup"/>
      </xsd:simpleType>
    </xsd:element>
    <xsd:element name="LocOverallPublishStatusLookup" ma:index="79" nillable="true" ma:displayName="Loc Overall Publish Status" ma:default="" ma:list="{7DD1DCEC-E449-43D3-891F-7DC62F62AD21}" ma:internalName="LocOverallPublishStatusLookup" ma:readOnly="true" ma:showField="OverallPublishStatus" ma:web="4873beb7-5857-4685-be1f-d57550cc96cc">
      <xsd:simpleType>
        <xsd:restriction base="dms:Lookup"/>
      </xsd:simpleType>
    </xsd:element>
    <xsd:element name="IntlLocPriority" ma:index="80" nillable="true" ma:displayName="Loc Priority" ma:default="" ma:internalName="IntlLocPriority" ma:readOnly="false">
      <xsd:simpleType>
        <xsd:restriction base="dms:Unknown"/>
      </xsd:simpleType>
    </xsd:element>
    <xsd:element name="LocProcessedForHandoffsLookup" ma:index="81" nillable="true" ma:displayName="Loc Processed For Handoffs" ma:default="" ma:list="{7DD1DCEC-E449-43D3-891F-7DC62F62AD21}" ma:internalName="LocProcessedForHandoffsLookup" ma:readOnly="true" ma:showField="ProcessedForHandoffs" ma:web="4873beb7-5857-4685-be1f-d57550cc96cc">
      <xsd:simpleType>
        <xsd:restriction base="dms:Lookup"/>
      </xsd:simpleType>
    </xsd:element>
    <xsd:element name="LocProcessedForMarketsLookup" ma:index="82" nillable="true" ma:displayName="Loc Processed For Markets" ma:default="" ma:list="{7DD1DCEC-E449-43D3-891F-7DC62F62AD21}" ma:internalName="LocProcessedForMarketsLookup" ma:readOnly="true" ma:showField="ProcessedForMarkets" ma:web="4873beb7-5857-4685-be1f-d57550cc96cc">
      <xsd:simpleType>
        <xsd:restriction base="dms:Lookup"/>
      </xsd:simpleType>
    </xsd:element>
    <xsd:element name="LocPublishedDependentAssetsLookup" ma:index="83" nillable="true" ma:displayName="Loc Published Dependent Assets" ma:default="" ma:list="{7DD1DCEC-E449-43D3-891F-7DC62F62AD21}" ma:internalName="LocPublishedDependentAssetsLookup" ma:readOnly="true" ma:showField="PublishedDependentAssets" ma:web="4873beb7-5857-4685-be1f-d57550cc96cc">
      <xsd:simpleType>
        <xsd:restriction base="dms:Lookup"/>
      </xsd:simpleType>
    </xsd:element>
    <xsd:element name="LocPublishedLinkedAssetsLookup" ma:index="84" nillable="true" ma:displayName="Loc Published Linked Assets" ma:default="" ma:list="{7DD1DCEC-E449-43D3-891F-7DC62F62AD21}" ma:internalName="LocPublishedLinkedAssetsLookup" ma:readOnly="true" ma:showField="PublishedLinkedAssets" ma:web="4873beb7-5857-4685-be1f-d57550cc96cc">
      <xsd:simpleType>
        <xsd:restriction base="dms:Lookup"/>
      </xsd:simpleType>
    </xsd:element>
    <xsd:element name="LocRecommendedHandoff" ma:index="85" nillable="true" ma:displayName="Loc Recommended Handoff" ma:default="" ma:indexed="true" ma:internalName="LocRecommendedHandoff" ma:readOnly="false">
      <xsd:simpleType>
        <xsd:restriction base="dms:Text"/>
      </xsd:simpleType>
    </xsd:element>
    <xsd:element name="LocalizationTagsTaxHTField0" ma:index="87" nillable="true" ma:taxonomy="true" ma:internalName="LocalizationTagsTaxHTField0" ma:taxonomyFieldName="LocalizationTags" ma:displayName="Localization Tags" ma:readOnly="false" ma:default="" ma:fieldId="{00f02cb3-2c7c-424a-9c61-10e9b6878429}" ma:taxonomyMulti="true" ma:sspId="8f79753a-75d3-41f5-8ca3-40b843941b4f" ma:termSetId="5b7703a5-8e8b-4b58-8b31-1cea35331da3" ma:anchorId="00000000-0000-0000-0000-000000000000" ma:open="false" ma:isKeyword="false">
      <xsd:complexType>
        <xsd:sequence>
          <xsd:element ref="pc:Terms" minOccurs="0" maxOccurs="1"/>
        </xsd:sequence>
      </xsd:complexType>
    </xsd:element>
    <xsd:element name="MachineTranslated" ma:index="88" nillable="true" ma:displayName="Machine Translated" ma:default="" ma:internalName="MachineTranslated" ma:readOnly="false">
      <xsd:simpleType>
        <xsd:restriction base="dms:Boolean"/>
      </xsd:simpleType>
    </xsd:element>
    <xsd:element name="Manager" ma:index="89" nillable="true" ma:displayName="Manager" ma:hidden="true" ma:internalName="Manager" ma:readOnly="false">
      <xsd:simpleType>
        <xsd:restriction base="dms:Text"/>
      </xsd:simpleType>
    </xsd:element>
    <xsd:element name="Markets" ma:index="90" nillable="true" ma:displayName="Markets" ma:default="" ma:description="Leave blank to show in all markets" ma:list="{2FBD1B11-2ACE-4FDC-B5A3-635D4ADF6F1B}" ma:internalName="Markets" ma:readOnly="false" ma:showField="MarketNa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Milestone" ma:index="91" nillable="true" ma:displayName="Milestone" ma:default="" ma:internalName="Milestone" ma:readOnly="false">
      <xsd:simpleType>
        <xsd:restriction base="dms:Unknown"/>
      </xsd:simpleType>
    </xsd:element>
    <xsd:element name="TPNamespace" ma:index="94" nillable="true" ma:displayName="Namespace" ma:default="" ma:internalName="TPNamespace">
      <xsd:simpleType>
        <xsd:restriction base="dms:Text"/>
      </xsd:simpleType>
    </xsd:element>
    <xsd:element name="NumericId" ma:index="95" nillable="true" ma:displayName="Numeric ID" ma:default="" ma:indexed="true" ma:internalName="NumericId" ma:readOnly="false">
      <xsd:simpleType>
        <xsd:restriction base="dms:Number"/>
      </xsd:simpleType>
    </xsd:element>
    <xsd:element name="NumOfRatingsLookup" ma:index="96" nillable="true" ma:displayName="NumOfRatings" ma:default="" ma:list="{9E343742-310B-4684-A24C-1D137CB4B230}" ma:internalName="NumOfRatingsLookup" ma:readOnly="true" ma:showField="NumOfRatings"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OOCacheId" ma:index="97" nillable="true" ma:displayName="OOCacheId" ma:internalName="OOCacheId" ma:readOnly="false">
      <xsd:simpleType>
        <xsd:restriction base="dms:Text"/>
      </xsd:simpleType>
    </xsd:element>
    <xsd:element name="OpenTemplate" ma:index="98" nillable="true" ma:displayName="Open Template" ma:default="true" ma:internalName="OpenTemplate">
      <xsd:simpleType>
        <xsd:restriction base="dms:Boolean"/>
      </xsd:simpleType>
    </xsd:element>
    <xsd:element name="OriginAsset" ma:index="99" nillable="true" ma:displayName="Origin Asset" ma:default="" ma:internalName="OriginAsset" ma:readOnly="false">
      <xsd:simpleType>
        <xsd:restriction base="dms:Text"/>
      </xsd:simpleType>
    </xsd:element>
    <xsd:element name="OriginalRelease" ma:index="100" nillable="true" ma:displayName="Original Release" ma:default="15" ma:internalName="OriginalRelease" ma:readOnly="false">
      <xsd:simpleType>
        <xsd:restriction base="dms:Choice">
          <xsd:enumeration value="14"/>
          <xsd:enumeration value="15"/>
          <xsd:enumeration value="16"/>
        </xsd:restriction>
      </xsd:simpleType>
    </xsd:element>
    <xsd:element name="OriginalSourceMarket" ma:index="101" nillable="true" ma:displayName="Original Source Market Group" ma:default="" ma:internalName="OriginalSourceMarket" ma:readOnly="false">
      <xsd:simpleType>
        <xsd:restriction base="dms:Text"/>
      </xsd:simpleType>
    </xsd:element>
    <xsd:element name="OutputCachingOn" ma:index="102" nillable="true" ma:displayName="Output Caching" ma:default="true" ma:hidden="true" ma:internalName="OutputCachingOn" ma:readOnly="false">
      <xsd:simpleType>
        <xsd:restriction base="dms:Boolean"/>
      </xsd:simpleType>
    </xsd:element>
    <xsd:element name="ParentAssetId" ma:index="103" nillable="true" ma:displayName="Parent Asset Id" ma:default="" ma:internalName="ParentAssetId" ma:readOnly="false">
      <xsd:simpleType>
        <xsd:restriction base="dms:Text"/>
      </xsd:simpleType>
    </xsd:element>
    <xsd:element name="PlannedPubDate" ma:index="104" nillable="true" ma:displayName="Planned Publish Date" ma:default="" ma:indexed="true" ma:internalName="PlannedPubDate" ma:readOnly="false">
      <xsd:simpleType>
        <xsd:restriction base="dms:DateTime"/>
      </xsd:simpleType>
    </xsd:element>
    <xsd:element name="PolicheckWords" ma:index="105" nillable="true" ma:displayName="Policheck Words" ma:default="" ma:internalName="PolicheckWords" ma:readOnly="false">
      <xsd:simpleType>
        <xsd:restriction base="dms:Text"/>
      </xsd:simpleType>
    </xsd:element>
    <xsd:element name="BusinessGroup" ma:index="106" nillable="true" ma:displayName="Product Division Owner" ma:default="" ma:internalName="BusinessGroup" ma:readOnly="false">
      <xsd:simpleType>
        <xsd:restriction base="dms:Unknown"/>
      </xsd:simpleType>
    </xsd:element>
    <xsd:element name="UAProjectedTotalWords" ma:index="107" nillable="true" ma:displayName="Projected Word Count" ma:default="" ma:internalName="UAProjectedTotalWords" ma:readOnly="false">
      <xsd:simpleType>
        <xsd:restriction base="dms:Unknown"/>
      </xsd:simpleType>
    </xsd:element>
    <xsd:element name="Provider" ma:index="108" nillable="true" ma:displayName="Provider" ma:default="" ma:internalName="Provider" ma:readOnly="false">
      <xsd:simpleType>
        <xsd:restriction base="dms:Unknown"/>
      </xsd:simpleType>
    </xsd:element>
    <xsd:element name="Providers" ma:index="109" nillable="true" ma:displayName="Providers" ma:default="" ma:internalName="Providers">
      <xsd:simpleType>
        <xsd:restriction base="dms:Unknown"/>
      </xsd:simpleType>
    </xsd:element>
    <xsd:element name="PublishStatusLookup" ma:index="110" nillable="true" ma:displayName="Publish Status" ma:default="" ma:list="{9E343742-310B-4684-A24C-1D137CB4B230}" ma:internalName="PublishStatusLookup" ma:readOnly="false" ma:showField="PublishStatus"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PublishTargets" ma:index="111" nillable="true" ma:displayName="Publish Target" ma:default="OfficeOnlineVNext" ma:internalName="PublishTargets" ma:readOnly="false">
      <xsd:simpleType>
        <xsd:restriction base="dms:Unknown"/>
      </xsd:simpleType>
    </xsd:element>
    <xsd:element name="RecommendationsModifier" ma:index="112" nillable="true" ma:displayName="Recommendations Modifier" ma:default="" ma:internalName="RecommendationsModifier" ma:readOnly="false">
      <xsd:simpleType>
        <xsd:restriction base="dms:Number"/>
      </xsd:simpleType>
    </xsd:element>
    <xsd:element name="ArtSampleDocs" ma:index="113" nillable="true" ma:displayName="Sample Docs" ma:default="" ma:hidden="true" ma:internalName="ArtSampleDocs" ma:readOnly="false">
      <xsd:simpleType>
        <xsd:restriction base="dms:Text"/>
      </xsd:simpleType>
    </xsd:element>
    <xsd:element name="ScenarioTagsTaxHTField0" ma:index="115" nillable="true" ma:taxonomy="true" ma:internalName="ScenarioTagsTaxHTField0" ma:taxonomyFieldName="ScenarioTags" ma:displayName="Scenarios" ma:readOnly="false" ma:default="" ma:fieldId="{93aef74d-6c78-4815-8310-51477dceeccc}" ma:taxonomyMulti="true" ma:sspId="8f79753a-75d3-41f5-8ca3-40b843941b4f" ma:termSetId="4b7d5f16-e2f2-4fc0-bab3-6e8b931e57d6" ma:anchorId="00000000-0000-0000-0000-000000000000" ma:open="false" ma:isKeyword="false">
      <xsd:complexType>
        <xsd:sequence>
          <xsd:element ref="pc:Terms" minOccurs="0" maxOccurs="1"/>
        </xsd:sequence>
      </xsd:complexType>
    </xsd:element>
    <xsd:element name="ShowIn" ma:index="117" nillable="true" ma:displayName="Show In" ma:default="Show everywhere" ma:internalName="ShowIn" ma:readOnly="false">
      <xsd:simpleType>
        <xsd:restriction base="dms:Choice">
          <xsd:enumeration value="Hide on web"/>
          <xsd:enumeration value="On Web no search"/>
          <xsd:enumeration value="Show everywhere"/>
          <xsd:enumeration value="Special use only"/>
        </xsd:restriction>
      </xsd:simpleType>
    </xsd:element>
    <xsd:element name="SourceTitle" ma:index="118" nillable="true" ma:displayName="Source Title" ma:default="" ma:indexed="true" ma:internalName="SourceTitle" ma:readOnly="false">
      <xsd:simpleType>
        <xsd:restriction base="dms:Text"/>
      </xsd:simpleType>
    </xsd:element>
    <xsd:element name="CSXSubmissionDate" ma:index="119" nillable="true" ma:displayName="Submission Date" ma:default="" ma:internalName="CSXSubmissionDate" ma:readOnly="false">
      <xsd:simpleType>
        <xsd:restriction base="dms:DateTime"/>
      </xsd:simpleType>
    </xsd:element>
    <xsd:element name="SubmitterId" ma:index="120" nillable="true" ma:displayName="Submitter ID" ma:default="" ma:internalName="SubmitterId" ma:readOnly="false">
      <xsd:simpleType>
        <xsd:restriction base="dms:Text"/>
      </xsd:simpleType>
    </xsd:element>
    <xsd:element name="TaxCatchAll" ma:index="121" nillable="true" ma:displayName="Taxonomy Catch All Column" ma:hidden="true" ma:list="{530f955b-6704-4601-bd83-f81d87f1e440}" ma:internalName="TaxCatchAll" ma:showField="CatchAllData"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axCatchAllLabel" ma:index="122" nillable="true" ma:displayName="Taxonomy Catch All Column1" ma:hidden="true" ma:list="{530f955b-6704-4601-bd83-f81d87f1e440}" ma:internalName="TaxCatchAllLabel" ma:readOnly="true" ma:showField="CatchAllDataLabel"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emplateStatus" ma:index="123" nillable="true" ma:displayName="Template Status" ma:default="" ma:internalName="TemplateStatus">
      <xsd:simpleType>
        <xsd:restriction base="dms:Unknown"/>
      </xsd:simpleType>
    </xsd:element>
    <xsd:element name="TemplateTemplateType" ma:index="124" nillable="true" ma:displayName="Template Type" ma:default="" ma:internalName="TemplateTemplateType">
      <xsd:simpleType>
        <xsd:restriction base="dms:Unknown"/>
      </xsd:simpleType>
    </xsd:element>
    <xsd:element name="ThumbnailAssetId" ma:index="125" nillable="true" ma:displayName="Thumbnail Image Asset" ma:default="" ma:internalName="ThumbnailAssetId" ma:readOnly="false">
      <xsd:simpleType>
        <xsd:restriction base="dms:Text"/>
      </xsd:simpleType>
    </xsd:element>
    <xsd:element name="TimesCloned" ma:index="126" nillable="true" ma:displayName="Times Cloned" ma:default="" ma:internalName="TimesCloned" ma:readOnly="false">
      <xsd:simpleType>
        <xsd:restriction base="dms:Number"/>
      </xsd:simpleType>
    </xsd:element>
    <xsd:element name="TrustLevel" ma:index="128" nillable="true" ma:displayName="Trust Level" ma:default="1 Microsoft Managed Content" ma:internalName="TrustLevel" ma:readOnly="false">
      <xsd:simpleType>
        <xsd:restriction base="dms:Unknown"/>
      </xsd:simpleType>
    </xsd:element>
    <xsd:element name="UALocComments" ma:index="129" nillable="true" ma:displayName="UA Loc Comments" ma:default="" ma:internalName="UALocComments" ma:readOnly="false">
      <xsd:simpleType>
        <xsd:restriction base="dms:Note"/>
      </xsd:simpleType>
    </xsd:element>
    <xsd:element name="UALocRecommendation" ma:index="130" nillable="true" ma:displayName="UA Loc Recommendation" ma:default="Localize" ma:internalName="UALocRecommendation" ma:readOnly="false">
      <xsd:simpleType>
        <xsd:restriction base="dms:Choice">
          <xsd:enumeration value="Localize"/>
          <xsd:enumeration value="Never Localize"/>
          <xsd:enumeration value="Priority Localize"/>
        </xsd:restriction>
      </xsd:simpleType>
    </xsd:element>
    <xsd:element name="UANotes" ma:index="131" nillable="true" ma:displayName="UA Notes" ma:default="" ma:internalName="UANotes" ma:readOnly="false">
      <xsd:simpleType>
        <xsd:restriction base="dms:Note"/>
      </xsd:simpleType>
    </xsd:element>
    <xsd:element name="TPAppVersion" ma:index="132" nillable="true" ma:displayName="Version" ma:default="" ma:internalName="TPAppVersion">
      <xsd:simpleType>
        <xsd:restriction base="dms:Text"/>
      </xsd:simpleType>
    </xsd:element>
    <xsd:element name="VoteCount" ma:index="133" nillable="true" ma:displayName="Vote Count" ma:default="" ma:internalName="VoteCount" ma:readOnly="fals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2" ma:displayName="Content Type"/>
        <xsd:element ref="dc:title" minOccurs="0" maxOccurs="1" ma:index="12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ocLastLocAttemptVersionTypeLookup xmlns="4873beb7-5857-4685-be1f-d57550cc96cc" xsi:nil="true"/>
    <MarketSpecific xmlns="4873beb7-5857-4685-be1f-d57550cc96cc">false</MarketSpecific>
    <ApprovalStatus xmlns="4873beb7-5857-4685-be1f-d57550cc96cc">InProgress</ApprovalStatus>
    <LocComments xmlns="4873beb7-5857-4685-be1f-d57550cc96cc" xsi:nil="true"/>
    <DirectSourceMarket xmlns="4873beb7-5857-4685-be1f-d57550cc96cc" xsi:nil="true"/>
    <LocPublishedLinkedAssetsLookup xmlns="4873beb7-5857-4685-be1f-d57550cc96cc" xsi:nil="true"/>
    <ThumbnailAssetId xmlns="4873beb7-5857-4685-be1f-d57550cc96cc" xsi:nil="true"/>
    <PrimaryImageGen xmlns="4873beb7-5857-4685-be1f-d57550cc96cc">true</PrimaryImageGen>
    <LegacyData xmlns="4873beb7-5857-4685-be1f-d57550cc96cc" xsi:nil="true"/>
    <LocNewPublishedVersionLookup xmlns="4873beb7-5857-4685-be1f-d57550cc96cc" xsi:nil="true"/>
    <NumericId xmlns="4873beb7-5857-4685-be1f-d57550cc96cc">102787001</NumericId>
    <TPFriendlyName xmlns="4873beb7-5857-4685-be1f-d57550cc96cc" xsi:nil="true"/>
    <LocOverallPublishStatusLookup xmlns="4873beb7-5857-4685-be1f-d57550cc96cc" xsi:nil="true"/>
    <LocRecommendedHandoff xmlns="4873beb7-5857-4685-be1f-d57550cc96cc" xsi:nil="true"/>
    <BlockPublish xmlns="4873beb7-5857-4685-be1f-d57550cc96cc">false</BlockPublish>
    <BusinessGroup xmlns="4873beb7-5857-4685-be1f-d57550cc96cc" xsi:nil="true"/>
    <OpenTemplate xmlns="4873beb7-5857-4685-be1f-d57550cc96cc">true</OpenTemplate>
    <SourceTitle xmlns="4873beb7-5857-4685-be1f-d57550cc96cc" xsi:nil="true"/>
    <LocOverallLocStatusLookup xmlns="4873beb7-5857-4685-be1f-d57550cc96cc" xsi:nil="true"/>
    <APEditor xmlns="4873beb7-5857-4685-be1f-d57550cc96cc">
      <UserInfo>
        <DisplayName/>
        <AccountId xsi:nil="true"/>
        <AccountType/>
      </UserInfo>
    </APEditor>
    <UALocComments xmlns="4873beb7-5857-4685-be1f-d57550cc96cc" xsi:nil="true"/>
    <IntlLangReviewDate xmlns="4873beb7-5857-4685-be1f-d57550cc96cc" xsi:nil="true"/>
    <PublishStatusLookup xmlns="4873beb7-5857-4685-be1f-d57550cc96cc">
      <Value>1343188</Value>
    </PublishStatusLookup>
    <ParentAssetId xmlns="4873beb7-5857-4685-be1f-d57550cc96cc" xsi:nil="true"/>
    <FeatureTagsTaxHTField0 xmlns="4873beb7-5857-4685-be1f-d57550cc96cc">
      <Terms xmlns="http://schemas.microsoft.com/office/infopath/2007/PartnerControls"/>
    </FeatureTagsTaxHTField0>
    <MachineTranslated xmlns="4873beb7-5857-4685-be1f-d57550cc96cc">false</MachineTranslated>
    <Providers xmlns="4873beb7-5857-4685-be1f-d57550cc96cc" xsi:nil="true"/>
    <OriginalSourceMarket xmlns="4873beb7-5857-4685-be1f-d57550cc96cc" xsi:nil="true"/>
    <APDescription xmlns="4873beb7-5857-4685-be1f-d57550cc96cc" xsi:nil="true"/>
    <ContentItem xmlns="4873beb7-5857-4685-be1f-d57550cc96cc" xsi:nil="true"/>
    <ClipArtFilename xmlns="4873beb7-5857-4685-be1f-d57550cc96cc" xsi:nil="true"/>
    <TPInstallLocation xmlns="4873beb7-5857-4685-be1f-d57550cc96cc" xsi:nil="true"/>
    <TimesCloned xmlns="4873beb7-5857-4685-be1f-d57550cc96cc" xsi:nil="true"/>
    <PublishTargets xmlns="4873beb7-5857-4685-be1f-d57550cc96cc">OfficeOnlineVNext</PublishTargets>
    <AcquiredFrom xmlns="4873beb7-5857-4685-be1f-d57550cc96cc">Internal MS</AcquiredFrom>
    <AssetStart xmlns="4873beb7-5857-4685-be1f-d57550cc96cc">2011-11-23T17:29:00+00:00</AssetStart>
    <FriendlyTitle xmlns="4873beb7-5857-4685-be1f-d57550cc96cc" xsi:nil="true"/>
    <Provider xmlns="4873beb7-5857-4685-be1f-d57550cc96cc" xsi:nil="true"/>
    <LastHandOff xmlns="4873beb7-5857-4685-be1f-d57550cc96cc" xsi:nil="true"/>
    <TPClientViewer xmlns="4873beb7-5857-4685-be1f-d57550cc96cc" xsi:nil="true"/>
    <TemplateStatus xmlns="4873beb7-5857-4685-be1f-d57550cc96cc">Complete</TemplateStatus>
    <Downloads xmlns="4873beb7-5857-4685-be1f-d57550cc96cc">0</Downloads>
    <OOCacheId xmlns="4873beb7-5857-4685-be1f-d57550cc96cc" xsi:nil="true"/>
    <IsDeleted xmlns="4873beb7-5857-4685-be1f-d57550cc96cc">false</IsDeleted>
    <LocPublishedDependentAssetsLookup xmlns="4873beb7-5857-4685-be1f-d57550cc96cc" xsi:nil="true"/>
    <AssetExpire xmlns="4873beb7-5857-4685-be1f-d57550cc96cc">2029-05-12T07:00:00+00:00</AssetExpire>
    <CSXSubmissionMarket xmlns="4873beb7-5857-4685-be1f-d57550cc96cc" xsi:nil="true"/>
    <DSATActionTaken xmlns="4873beb7-5857-4685-be1f-d57550cc96cc" xsi:nil="true"/>
    <SubmitterId xmlns="4873beb7-5857-4685-be1f-d57550cc96cc" xsi:nil="true"/>
    <EditorialTags xmlns="4873beb7-5857-4685-be1f-d57550cc96cc" xsi:nil="true"/>
    <TPExecutable xmlns="4873beb7-5857-4685-be1f-d57550cc96cc" xsi:nil="true"/>
    <CSXSubmissionDate xmlns="4873beb7-5857-4685-be1f-d57550cc96cc" xsi:nil="true"/>
    <CSXUpdate xmlns="4873beb7-5857-4685-be1f-d57550cc96cc">false</CSXUpdate>
    <AssetType xmlns="4873beb7-5857-4685-be1f-d57550cc96cc">TP</AssetType>
    <ApprovalLog xmlns="4873beb7-5857-4685-be1f-d57550cc96cc" xsi:nil="true"/>
    <BugNumber xmlns="4873beb7-5857-4685-be1f-d57550cc96cc" xsi:nil="true"/>
    <OriginAsset xmlns="4873beb7-5857-4685-be1f-d57550cc96cc" xsi:nil="true"/>
    <TPComponent xmlns="4873beb7-5857-4685-be1f-d57550cc96cc" xsi:nil="true"/>
    <Milestone xmlns="4873beb7-5857-4685-be1f-d57550cc96cc" xsi:nil="true"/>
    <RecommendationsModifier xmlns="4873beb7-5857-4685-be1f-d57550cc96cc" xsi:nil="true"/>
    <AssetId xmlns="4873beb7-5857-4685-be1f-d57550cc96cc">TP102787001</AssetId>
    <PolicheckWords xmlns="4873beb7-5857-4685-be1f-d57550cc96cc" xsi:nil="true"/>
    <TPLaunchHelpLink xmlns="4873beb7-5857-4685-be1f-d57550cc96cc" xsi:nil="true"/>
    <IntlLocPriority xmlns="4873beb7-5857-4685-be1f-d57550cc96cc" xsi:nil="true"/>
    <TPApplication xmlns="4873beb7-5857-4685-be1f-d57550cc96cc" xsi:nil="true"/>
    <IntlLangReviewer xmlns="4873beb7-5857-4685-be1f-d57550cc96cc" xsi:nil="true"/>
    <HandoffToMSDN xmlns="4873beb7-5857-4685-be1f-d57550cc96cc" xsi:nil="true"/>
    <PlannedPubDate xmlns="4873beb7-5857-4685-be1f-d57550cc96cc" xsi:nil="true"/>
    <CrawlForDependencies xmlns="4873beb7-5857-4685-be1f-d57550cc96cc">false</CrawlForDependencies>
    <LocLastLocAttemptVersionLookup xmlns="4873beb7-5857-4685-be1f-d57550cc96cc">693888</LocLastLocAttemptVersionLookup>
    <LocProcessedForHandoffsLookup xmlns="4873beb7-5857-4685-be1f-d57550cc96cc" xsi:nil="true"/>
    <TrustLevel xmlns="4873beb7-5857-4685-be1f-d57550cc96cc">1 Microsoft Managed Content</TrustLevel>
    <CampaignTagsTaxHTField0 xmlns="4873beb7-5857-4685-be1f-d57550cc96cc">
      <Terms xmlns="http://schemas.microsoft.com/office/infopath/2007/PartnerControls"/>
    </CampaignTagsTaxHTField0>
    <TPNamespace xmlns="4873beb7-5857-4685-be1f-d57550cc96cc" xsi:nil="true"/>
    <LocOverallPreviewStatusLookup xmlns="4873beb7-5857-4685-be1f-d57550cc96cc" xsi:nil="true"/>
    <TaxCatchAll xmlns="4873beb7-5857-4685-be1f-d57550cc96cc"/>
    <IsSearchable xmlns="4873beb7-5857-4685-be1f-d57550cc96cc">false</IsSearchable>
    <TemplateTemplateType xmlns="4873beb7-5857-4685-be1f-d57550cc96cc">Word Document Template</TemplateTemplateType>
    <Markets xmlns="4873beb7-5857-4685-be1f-d57550cc96cc"/>
    <IntlLangReview xmlns="4873beb7-5857-4685-be1f-d57550cc96cc" xsi:nil="true"/>
    <UAProjectedTotalWords xmlns="4873beb7-5857-4685-be1f-d57550cc96cc" xsi:nil="true"/>
    <OutputCachingOn xmlns="4873beb7-5857-4685-be1f-d57550cc96cc">false</OutputCachingOn>
    <AverageRating xmlns="4873beb7-5857-4685-be1f-d57550cc96cc" xsi:nil="true"/>
    <LocMarketGroupTiers2 xmlns="4873beb7-5857-4685-be1f-d57550cc96cc" xsi:nil="true"/>
    <APAuthor xmlns="4873beb7-5857-4685-be1f-d57550cc96cc">
      <UserInfo>
        <DisplayName>REDMOND\v-namall</DisplayName>
        <AccountId>978</AccountId>
        <AccountType/>
      </UserInfo>
    </APAuthor>
    <TPCommandLine xmlns="4873beb7-5857-4685-be1f-d57550cc96cc" xsi:nil="true"/>
    <LocManualTestRequired xmlns="4873beb7-5857-4685-be1f-d57550cc96cc">false</LocManualTestRequired>
    <TPAppVersion xmlns="4873beb7-5857-4685-be1f-d57550cc96cc" xsi:nil="true"/>
    <EditorialStatus xmlns="4873beb7-5857-4685-be1f-d57550cc96cc">Complete</EditorialStatus>
    <LocProcessedForMarketsLookup xmlns="4873beb7-5857-4685-be1f-d57550cc96cc" xsi:nil="true"/>
    <LastModifiedDateTime xmlns="4873beb7-5857-4685-be1f-d57550cc96cc" xsi:nil="true"/>
    <TPLaunchHelpLinkType xmlns="4873beb7-5857-4685-be1f-d57550cc96cc">Template</TPLaunchHelpLinkType>
    <ScenarioTagsTaxHTField0 xmlns="4873beb7-5857-4685-be1f-d57550cc96cc">
      <Terms xmlns="http://schemas.microsoft.com/office/infopath/2007/PartnerControls"/>
    </ScenarioTagsTaxHTField0>
    <OriginalRelease xmlns="4873beb7-5857-4685-be1f-d57550cc96cc">14</OriginalRelease>
    <LocalizationTagsTaxHTField0 xmlns="4873beb7-5857-4685-be1f-d57550cc96cc">
      <Terms xmlns="http://schemas.microsoft.com/office/infopath/2007/PartnerControls"/>
    </LocalizationTagsTaxHTField0>
    <Manager xmlns="4873beb7-5857-4685-be1f-d57550cc96cc" xsi:nil="true"/>
    <UALocRecommendation xmlns="4873beb7-5857-4685-be1f-d57550cc96cc">Localize</UALocRecommendation>
    <LocOverallHandbackStatusLookup xmlns="4873beb7-5857-4685-be1f-d57550cc96cc" xsi:nil="true"/>
    <ArtSampleDocs xmlns="4873beb7-5857-4685-be1f-d57550cc96cc" xsi:nil="true"/>
    <UACurrentWords xmlns="4873beb7-5857-4685-be1f-d57550cc96cc" xsi:nil="true"/>
    <ShowIn xmlns="4873beb7-5857-4685-be1f-d57550cc96cc">Show everywhere</ShowIn>
    <CSXHash xmlns="4873beb7-5857-4685-be1f-d57550cc96cc" xsi:nil="true"/>
    <VoteCount xmlns="4873beb7-5857-4685-be1f-d57550cc96cc" xsi:nil="true"/>
    <InternalTagsTaxHTField0 xmlns="4873beb7-5857-4685-be1f-d57550cc96cc">
      <Terms xmlns="http://schemas.microsoft.com/office/infopath/2007/PartnerControls"/>
    </InternalTagsTaxHTField0>
    <UANotes xmlns="4873beb7-5857-4685-be1f-d57550cc96cc"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1C3C56-10DB-49F7-B061-44D8728D078A}">
  <ds:schemaRefs>
    <ds:schemaRef ds:uri="http://schemas.microsoft.com/sharepoint/v3/contenttype/forms"/>
  </ds:schemaRefs>
</ds:datastoreItem>
</file>

<file path=customXml/itemProps2.xml><?xml version="1.0" encoding="utf-8"?>
<ds:datastoreItem xmlns:ds="http://schemas.openxmlformats.org/officeDocument/2006/customXml" ds:itemID="{4B3A7E92-E05A-4924-9E8A-9F6659E585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73beb7-5857-4685-be1f-d57550cc96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FBDB1CC-CEFB-4E46-8174-1F0AA0D30B24}">
  <ds:schemaRefs>
    <ds:schemaRef ds:uri="http://schemas.microsoft.com/office/2006/metadata/properties"/>
    <ds:schemaRef ds:uri="http://schemas.microsoft.com/office/infopath/2007/PartnerControls"/>
    <ds:schemaRef ds:uri="4873beb7-5857-4685-be1f-d57550cc96cc"/>
  </ds:schemaRefs>
</ds:datastoreItem>
</file>

<file path=customXml/itemProps4.xml><?xml version="1.0" encoding="utf-8"?>
<ds:datastoreItem xmlns:ds="http://schemas.openxmlformats.org/officeDocument/2006/customXml" ds:itemID="{7B585740-68D4-4699-AF54-9086CAD7A2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Single spaced (blank)(2)</Template>
  <TotalTime>4</TotalTime>
  <Pages>13</Pages>
  <Words>14318</Words>
  <Characters>81617</Characters>
  <Application>Microsoft Office Word</Application>
  <DocSecurity>0</DocSecurity>
  <Lines>680</Lines>
  <Paragraphs>191</Paragraphs>
  <ScaleCrop>false</ScaleCrop>
  <HeadingPairs>
    <vt:vector size="2" baseType="variant">
      <vt:variant>
        <vt:lpstr>Title</vt:lpstr>
      </vt:variant>
      <vt:variant>
        <vt:i4>1</vt:i4>
      </vt:variant>
    </vt:vector>
  </HeadingPairs>
  <TitlesOfParts>
    <vt:vector size="1" baseType="lpstr">
      <vt:lpstr/>
    </vt:vector>
  </TitlesOfParts>
  <Company>The Ottawa Hospital</Company>
  <LinksUpToDate>false</LinksUpToDate>
  <CharactersWithSpaces>95744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Vignan</dc:creator>
  <cp:lastModifiedBy>Vignan Yogendrakumar</cp:lastModifiedBy>
  <cp:revision>4</cp:revision>
  <dcterms:created xsi:type="dcterms:W3CDTF">2018-08-26T14:01:00Z</dcterms:created>
  <dcterms:modified xsi:type="dcterms:W3CDTF">2018-08-26T16:25:00Z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ternalTags">
    <vt:lpwstr/>
  </property>
  <property fmtid="{D5CDD505-2E9C-101B-9397-08002B2CF9AE}" pid="3" name="ContentTypeId">
    <vt:lpwstr>0x0101006EDDDB5EE6D98C44930B742096920B300400F5B6D36B3EF94B4E9A635CDF2A18F5B8</vt:lpwstr>
  </property>
  <property fmtid="{D5CDD505-2E9C-101B-9397-08002B2CF9AE}" pid="4" name="FeatureTags">
    <vt:lpwstr/>
  </property>
  <property fmtid="{D5CDD505-2E9C-101B-9397-08002B2CF9AE}" pid="5" name="LocalizationTags">
    <vt:lpwstr/>
  </property>
  <property fmtid="{D5CDD505-2E9C-101B-9397-08002B2CF9AE}" pid="6" name="CampaignTags">
    <vt:lpwstr/>
  </property>
  <property fmtid="{D5CDD505-2E9C-101B-9397-08002B2CF9AE}" pid="7" name="ScenarioTags">
    <vt:lpwstr/>
  </property>
  <property fmtid="{D5CDD505-2E9C-101B-9397-08002B2CF9AE}" pid="8" name="Mendeley Document_1">
    <vt:lpwstr>True</vt:lpwstr>
  </property>
  <property fmtid="{D5CDD505-2E9C-101B-9397-08002B2CF9AE}" pid="9" name="Mendeley Unique User Id_1">
    <vt:lpwstr>3b55fdad-66df-3fa7-ad92-f00001146c4f</vt:lpwstr>
  </property>
  <property fmtid="{D5CDD505-2E9C-101B-9397-08002B2CF9AE}" pid="10" name="Mendeley Citation Style_1">
    <vt:lpwstr>http://www.zotero.org/styles/bmj-open</vt:lpwstr>
  </property>
  <property fmtid="{D5CDD505-2E9C-101B-9397-08002B2CF9AE}" pid="11" name="Mendeley Recent Style Id 0_1">
    <vt:lpwstr>http://www.zotero.org/styles/american-journal-of-epidemiology</vt:lpwstr>
  </property>
  <property fmtid="{D5CDD505-2E9C-101B-9397-08002B2CF9AE}" pid="12" name="Mendeley Recent Style Name 0_1">
    <vt:lpwstr>American Journal of Epidemiology</vt:lpwstr>
  </property>
  <property fmtid="{D5CDD505-2E9C-101B-9397-08002B2CF9AE}" pid="13" name="Mendeley Recent Style Id 1_1">
    <vt:lpwstr>http://www.zotero.org/styles/american-medical-association</vt:lpwstr>
  </property>
  <property fmtid="{D5CDD505-2E9C-101B-9397-08002B2CF9AE}" pid="14" name="Mendeley Recent Style Name 1_1">
    <vt:lpwstr>American Medical Association</vt:lpwstr>
  </property>
  <property fmtid="{D5CDD505-2E9C-101B-9397-08002B2CF9AE}" pid="15" name="Mendeley Recent Style Id 2_1">
    <vt:lpwstr>http://www.zotero.org/styles/american-sociological-association</vt:lpwstr>
  </property>
  <property fmtid="{D5CDD505-2E9C-101B-9397-08002B2CF9AE}" pid="16" name="Mendeley Recent Style Name 2_1">
    <vt:lpwstr>American Sociological Association</vt:lpwstr>
  </property>
  <property fmtid="{D5CDD505-2E9C-101B-9397-08002B2CF9AE}" pid="17" name="Mendeley Recent Style Id 3_1">
    <vt:lpwstr>http://www.zotero.org/styles/bmj-open</vt:lpwstr>
  </property>
  <property fmtid="{D5CDD505-2E9C-101B-9397-08002B2CF9AE}" pid="18" name="Mendeley Recent Style Name 3_1">
    <vt:lpwstr>BMJ Open</vt:lpwstr>
  </property>
  <property fmtid="{D5CDD505-2E9C-101B-9397-08002B2CF9AE}" pid="19" name="Mendeley Recent Style Id 4_1">
    <vt:lpwstr>http://www.zotero.org/styles/chicago-author-date</vt:lpwstr>
  </property>
  <property fmtid="{D5CDD505-2E9C-101B-9397-08002B2CF9AE}" pid="20" name="Mendeley Recent Style Name 4_1">
    <vt:lpwstr>Chicago Manual of Style 16th edition (author-date)</vt:lpwstr>
  </property>
  <property fmtid="{D5CDD505-2E9C-101B-9397-08002B2CF9AE}" pid="21" name="Mendeley Recent Style Id 5_1">
    <vt:lpwstr>http://www.zotero.org/styles/harvard1</vt:lpwstr>
  </property>
  <property fmtid="{D5CDD505-2E9C-101B-9397-08002B2CF9AE}" pid="22" name="Mendeley Recent Style Name 5_1">
    <vt:lpwstr>Harvard Reference format 1 (author-date)</vt:lpwstr>
  </property>
  <property fmtid="{D5CDD505-2E9C-101B-9397-08002B2CF9AE}" pid="23" name="Mendeley Recent Style Id 6_1">
    <vt:lpwstr>http://www.zotero.org/styles/ieee</vt:lpwstr>
  </property>
  <property fmtid="{D5CDD505-2E9C-101B-9397-08002B2CF9AE}" pid="24" name="Mendeley Recent Style Name 6_1">
    <vt:lpwstr>IEEE</vt:lpwstr>
  </property>
  <property fmtid="{D5CDD505-2E9C-101B-9397-08002B2CF9AE}" pid="25" name="Mendeley Recent Style Id 7_1">
    <vt:lpwstr>http://www.zotero.org/styles/jama</vt:lpwstr>
  </property>
  <property fmtid="{D5CDD505-2E9C-101B-9397-08002B2CF9AE}" pid="26" name="Mendeley Recent Style Name 7_1">
    <vt:lpwstr>JAMA (The Journal of the American Medical Association)</vt:lpwstr>
  </property>
  <property fmtid="{D5CDD505-2E9C-101B-9397-08002B2CF9AE}" pid="27" name="Mendeley Recent Style Id 8_1">
    <vt:lpwstr>http://www.zotero.org/styles/neurology</vt:lpwstr>
  </property>
  <property fmtid="{D5CDD505-2E9C-101B-9397-08002B2CF9AE}" pid="28" name="Mendeley Recent Style Name 8_1">
    <vt:lpwstr>Neurology</vt:lpwstr>
  </property>
  <property fmtid="{D5CDD505-2E9C-101B-9397-08002B2CF9AE}" pid="29" name="Mendeley Recent Style Id 9_1">
    <vt:lpwstr>http://www.zotero.org/styles/stroke</vt:lpwstr>
  </property>
  <property fmtid="{D5CDD505-2E9C-101B-9397-08002B2CF9AE}" pid="30" name="Mendeley Recent Style Name 9_1">
    <vt:lpwstr>Stroke</vt:lpwstr>
  </property>
</Properties>
</file>