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B2F0D" w14:textId="2FE8F613" w:rsidR="00B47A33" w:rsidRDefault="00966DCE">
      <w:pPr>
        <w:pStyle w:val="Heading1"/>
      </w:pPr>
      <w:r>
        <w:t xml:space="preserve">Examining outdoor recreation as an approach to promote </w:t>
      </w:r>
      <w:r w:rsidR="00E75F7F">
        <w:t>youth</w:t>
      </w:r>
      <w:r w:rsidR="007B06C6">
        <w:t xml:space="preserve"> engagement in </w:t>
      </w:r>
      <w:r>
        <w:t>environmental activism</w:t>
      </w:r>
    </w:p>
    <w:p w14:paraId="63BC27A2" w14:textId="77777777" w:rsidR="00B47A33" w:rsidRDefault="00966DCE">
      <w:pPr>
        <w:pStyle w:val="Heading1"/>
      </w:pPr>
      <w:r>
        <w:t>Introduction</w:t>
      </w:r>
    </w:p>
    <w:p w14:paraId="44495CD9" w14:textId="46E06B7D" w:rsidR="00B47A33" w:rsidRDefault="00AF512D">
      <w:pPr>
        <w:spacing w:line="480" w:lineRule="auto"/>
        <w:ind w:firstLine="720"/>
      </w:pPr>
      <w:r>
        <w:t xml:space="preserve">Currently, young people are not highly engaged in efforts to diminish climate change (Corner et al., 2015). </w:t>
      </w:r>
      <w:r w:rsidR="00966DCE">
        <w:t xml:space="preserve">Recognizing that youth will play a critical role in shaping our future (Patton et al., 2016) and taking consideration of the environmental crisis at hand, it is imperative to examine new ways to engage young people in environmental efforts so that they can contribute to viable solutions related to environmental sustainability. This chapter examines Sport for Development (SfD) opportunities, with a specific focus on outdoor recreation programming as a significant opportunity to promote youth connection to nature and engagement in environmental sustainability in order to enhance environmental outcomes in the future. It highlights the health benefits that can be derived from engaging in nature and emphasizes that this may help to moderate human investment in the environment and influence engagement in sustainable behaviours. This chapter also </w:t>
      </w:r>
      <w:r w:rsidR="00D4750B">
        <w:t xml:space="preserve">presents </w:t>
      </w:r>
      <w:r w:rsidR="00966DCE">
        <w:t xml:space="preserve">a range of program approaches and applies ecological systems theory (EST) to examine </w:t>
      </w:r>
      <w:r w:rsidR="00D4750B">
        <w:t xml:space="preserve">how programming can deliver </w:t>
      </w:r>
      <w:r w:rsidR="00966DCE">
        <w:t xml:space="preserve">benefits, both for youth as well as for the community and environment. Finally, it </w:t>
      </w:r>
      <w:r w:rsidR="00D4750B">
        <w:t xml:space="preserve">reviews the application of </w:t>
      </w:r>
      <w:r w:rsidR="00966DCE">
        <w:t xml:space="preserve">EST </w:t>
      </w:r>
      <w:r w:rsidR="00D4750B">
        <w:t>within</w:t>
      </w:r>
      <w:r w:rsidR="00966DCE">
        <w:t xml:space="preserve"> Indigenous </w:t>
      </w:r>
      <w:r w:rsidR="00D4750B">
        <w:t xml:space="preserve">context </w:t>
      </w:r>
      <w:r w:rsidR="00966DCE">
        <w:t xml:space="preserve">and </w:t>
      </w:r>
      <w:r w:rsidR="003E6C53">
        <w:t xml:space="preserve">discusses </w:t>
      </w:r>
      <w:r w:rsidR="00966DCE">
        <w:t xml:space="preserve">the </w:t>
      </w:r>
      <w:r w:rsidR="003E6C53">
        <w:t xml:space="preserve">related </w:t>
      </w:r>
      <w:r w:rsidR="00966DCE">
        <w:t>concept of two-eyed seeing.</w:t>
      </w:r>
    </w:p>
    <w:p w14:paraId="4D7BD95B" w14:textId="0EA41D5B" w:rsidR="00B47A33" w:rsidRDefault="00BE0144">
      <w:pPr>
        <w:pStyle w:val="Heading1"/>
      </w:pPr>
      <w:r>
        <w:t xml:space="preserve">An Overview of </w:t>
      </w:r>
      <w:r w:rsidR="00966DCE">
        <w:t xml:space="preserve">Outdoor Recreation </w:t>
      </w:r>
      <w:r>
        <w:t>Programming</w:t>
      </w:r>
      <w:r w:rsidR="00966DCE">
        <w:t xml:space="preserve"> </w:t>
      </w:r>
    </w:p>
    <w:p w14:paraId="234E60CF" w14:textId="59D6B547" w:rsidR="00B47A33" w:rsidRDefault="00966DCE">
      <w:pPr>
        <w:spacing w:line="480" w:lineRule="auto"/>
        <w:ind w:firstLine="360"/>
      </w:pPr>
      <w:r>
        <w:t>The Sustainable Development Goals (SDG) are a set of interrelated economic, social and environmental objectives that were adopted by world leaders in 2015 to guide global development leading up to the year 2030 (United Nations, 2015). The United Nations Office on Sport for Development and Peace (2017) recognized the contributions that SfD programming can provide in achieving the SDGs, including those directly focused on the environment, notably six</w:t>
      </w:r>
      <w:r w:rsidR="003E6C53">
        <w:t xml:space="preserve"> (</w:t>
      </w:r>
      <w:r w:rsidR="003E6C53" w:rsidRPr="003E6C53">
        <w:t>Clean water and sanitation</w:t>
      </w:r>
      <w:r w:rsidR="003E6C53">
        <w:t>)</w:t>
      </w:r>
      <w:r>
        <w:t>,12</w:t>
      </w:r>
      <w:r w:rsidR="003E6C53">
        <w:t xml:space="preserve"> (</w:t>
      </w:r>
      <w:r w:rsidR="003E6C53" w:rsidRPr="003E6C53">
        <w:t>Responsible consumption and production</w:t>
      </w:r>
      <w:r w:rsidR="003E6C53">
        <w:t>)</w:t>
      </w:r>
      <w:r>
        <w:t>,13</w:t>
      </w:r>
      <w:r w:rsidR="003E6C53">
        <w:t xml:space="preserve"> (</w:t>
      </w:r>
      <w:r w:rsidR="003E6C53" w:rsidRPr="003E6C53">
        <w:t>Climate action</w:t>
      </w:r>
      <w:r w:rsidR="003E6C53">
        <w:t>)</w:t>
      </w:r>
      <w:r>
        <w:t xml:space="preserve">,14 </w:t>
      </w:r>
      <w:r w:rsidR="003E6C53">
        <w:t>(</w:t>
      </w:r>
      <w:r w:rsidR="003E6C53" w:rsidRPr="003E6C53">
        <w:t>Life Below Water</w:t>
      </w:r>
      <w:r w:rsidR="003E6C53">
        <w:t xml:space="preserve">) </w:t>
      </w:r>
      <w:r>
        <w:t>and 15</w:t>
      </w:r>
      <w:r w:rsidR="003E6C53">
        <w:t xml:space="preserve"> (</w:t>
      </w:r>
      <w:r w:rsidR="003E6C53" w:rsidRPr="003E6C53">
        <w:t>Life on land</w:t>
      </w:r>
      <w:r w:rsidR="003E6C53">
        <w:t>)</w:t>
      </w:r>
      <w:r>
        <w:t xml:space="preserve">. Furthermore, environmental education has been outlined as a valuable area of action within sport </w:t>
      </w:r>
      <w:r>
        <w:lastRenderedPageBreak/>
        <w:t xml:space="preserve">in order to promote sustainable development (Jagemann, 2004) and researchers have also recognized that youth have an important role to play regarding environmental conservation as they will be increasingly impacted by environmental issues and climate change (Sayal et al., 2017). </w:t>
      </w:r>
    </w:p>
    <w:p w14:paraId="10E4BC7E" w14:textId="390DBA08" w:rsidR="00B47A33" w:rsidRDefault="00966DCE">
      <w:pPr>
        <w:spacing w:line="480" w:lineRule="auto"/>
        <w:ind w:firstLine="360"/>
      </w:pPr>
      <w:r>
        <w:t>To date SfD programming has primarily focused on using sport as a vehicle to foster positive outcomes for youth including life skill development, enhanced education, improved health and the reduction of conflict (Kidd, 2008).  A few studies have examined the influence that sport, sport organizations, facilities and mega-event may have on environmental issues</w:t>
      </w:r>
      <w:r w:rsidR="004F60C1">
        <w:t xml:space="preserve"> </w:t>
      </w:r>
      <w:r>
        <w:t>(Casper, Pfahl, McSherry, 2012; Jin, Zhang, Ma, &amp; Connaughton, 2011; Mallen &amp; Chard, 2012). However, the main focus has been on how to reduce negative impacts, rather than examining how SfD programming can be used to enhance environmental sustainability. Sport-based positive youth development (PYD) programming is a promising SfD practice that may contribute key insights to sport interventions for the environment. PYD interventions focus on the promotion of positive developmental assets and influences that lead to successful development (Roth, Brooks-Gunn, Murray, &amp; Foster, 1998) and recognizes that interventions must go beyond resolving youth problems in order to prepare them to successfully navigate life’s challenges (Pittman, 2001; Pittman, Irby, Tolman, Yohalem, &amp; Ferber 2003). Youth leadership has been identified as one of the critical components of effective PYD programs (Lerner et al., 2006).</w:t>
      </w:r>
    </w:p>
    <w:p w14:paraId="321FF8B4" w14:textId="6E24BCF4" w:rsidR="00B47A33" w:rsidRDefault="00966DCE">
      <w:pPr>
        <w:spacing w:line="480" w:lineRule="auto"/>
        <w:ind w:firstLine="360"/>
      </w:pPr>
      <w:r>
        <w:t>Although the majority of research in PYD has examined the impact of more traditional sport-based programs, there has been an expanding body of research in more recent years that examines o</w:t>
      </w:r>
      <w:r w:rsidR="00D3089A">
        <w:t>utdoor recreation as a context in which</w:t>
      </w:r>
      <w:r>
        <w:t xml:space="preserve"> positive developmental outcomes </w:t>
      </w:r>
      <w:r w:rsidR="00D3089A">
        <w:t xml:space="preserve">can be supported </w:t>
      </w:r>
      <w:r>
        <w:t xml:space="preserve">(Browne, Garst, &amp; Bialeschki, 2011; Ferrari &amp; McNeely, 2007; Halsall, Kendellen, Bean, &amp; Forneris, 2016; Reis, Ng-A-Fook, &amp; Glithero, 2015). Outdoor PYD programming may be unique compared to other sport-based interventions as it includes the added benefit of exposing participants to the natural environment and may support enhanced well-being and the development of leadership within ecological conservation. </w:t>
      </w:r>
    </w:p>
    <w:p w14:paraId="5064D211" w14:textId="14E986C5" w:rsidR="006B3310" w:rsidRDefault="006B3310" w:rsidP="006B3310">
      <w:pPr>
        <w:spacing w:line="480" w:lineRule="auto"/>
        <w:ind w:firstLine="851"/>
      </w:pPr>
      <w:r>
        <w:lastRenderedPageBreak/>
        <w:t>There is a range of outdoor recreation programming targeted at children and youth that has been found to promote positive health and development</w:t>
      </w:r>
      <w:r w:rsidR="00432217">
        <w:t xml:space="preserve"> outcomes</w:t>
      </w:r>
      <w:r>
        <w:t xml:space="preserve">. One promising practice within outdoor recreation is the Forest School model. This outdoor education model was originally developed in Scandinavia in the late 1950s (MacEachren, 2013; Slade, Lowery, &amp; Bland , 2013)  and involves experiential learning within a natural space (MacEachren, 2013; Ridgers, Knowles, &amp; Sayers, 2012; Slade et al., 2013). In Canada, the Forest School model is also informed by Indigenous land-based pedagogy that emphasizes self-directed learning and includes the integration of story (Forest School Canada, 2014). Researchers suggest that learning in an outdoor environment, such as within a Forest School, can benefit children and youth through the improvement of academic outcomes (Williams &amp; Dixon, 2013) and increased engagement in physical activity (Mygind, 2007). </w:t>
      </w:r>
    </w:p>
    <w:p w14:paraId="46DBC106" w14:textId="77777777" w:rsidR="006B3310" w:rsidRDefault="006B3310" w:rsidP="006B3310">
      <w:pPr>
        <w:spacing w:line="480" w:lineRule="auto"/>
        <w:ind w:firstLine="720"/>
      </w:pPr>
      <w:r>
        <w:t xml:space="preserve">Outdoor adventure programming is another example of nature-based programs that can support positive developmental outcomes for youth. Often referred to as adventure therapy, these programs comprise interventions that involve natural settings to promote positive change that incorporate an element of challenge, participant engagement, meaningful learning through natural consequences and the inclusion of strong therapeutic support (Gass, Gillis, &amp; Russell, 2012). Although this definition places a focus on the medical model and clinical populations, in Canada the term adventure therapy is not widely used and many interventions take a more holistic perspective to promote general wellbeing (Ritchie, Patrick, Corbould, Harper, &amp; Oddson, 2016). There are a range of formats that include day-only programs, multiple-day expeditions, center-based programs, summer camps and journey-based programs (Gass et al., 2012). </w:t>
      </w:r>
    </w:p>
    <w:p w14:paraId="7788DDC4" w14:textId="0E8DE601" w:rsidR="006B3310" w:rsidRDefault="006B3310" w:rsidP="006B3310">
      <w:pPr>
        <w:spacing w:line="480" w:lineRule="auto"/>
        <w:ind w:firstLine="709"/>
      </w:pPr>
      <w:r>
        <w:t xml:space="preserve">Residential camp is a programming model whereby youth participate in an extended stay (American Camping Association [ACA], 1998, n.p.) and experience community living within an outdoor recreational setting (ACA, 2006). Residential camps have also been found to create positive impacts on children and youth (Bialeschki, Henderson, &amp; James, 2007; Henderson et al., 2007; Garst &amp; Johnson, </w:t>
      </w:r>
      <w:r>
        <w:lastRenderedPageBreak/>
        <w:t xml:space="preserve">2005; Thurber, Scanlin, Scheuler, &amp; Henderson, 2007). Researchers have identified a range of positive youth outcomes that can be developed through camp experiences, including enhanced independence, spirituality, self-esteem, hopefulness, positive identity, social skills and levels of responsibility (Bialeschki, Henderson, &amp; James, 2007; Halsall, et al., 2016; Henderson et al., 2007; Garst &amp; Johnson, 2005; Thurber, Scanlin, Scheuler, &amp; Henderson, 2007). Other research has also reported on the benefits of camp that were related to engagement in an outdoor context, including increased awareness of the environment and appreciation of nature (DeGraaf &amp; Glover, 2003). </w:t>
      </w:r>
    </w:p>
    <w:p w14:paraId="09F1E9B6" w14:textId="7A14254B" w:rsidR="006B3310" w:rsidRDefault="006B3310" w:rsidP="00432217">
      <w:pPr>
        <w:spacing w:line="480" w:lineRule="auto"/>
        <w:ind w:firstLine="709"/>
      </w:pPr>
      <w:r>
        <w:t xml:space="preserve">There is also an expanding body of research that examines land-based programming, an Indigenous outdoor recreation practice informed by Indigenous education. </w:t>
      </w:r>
      <w:r w:rsidR="00432217">
        <w:t xml:space="preserve">Indigenous education reflects the importance of land in Indigenous culture and the intrinsic personal connections to community and the environment. Cajete (1994) suggests that Indigenous education “unfolds within an authentic context of community in Nature” (p. 30) and emphasizes that “A sacred view of Nature permeates its foundational process of teaching and learning.” (p. 29) </w:t>
      </w:r>
    </w:p>
    <w:p w14:paraId="209F96BA" w14:textId="77777777" w:rsidR="006B3310" w:rsidRDefault="006B3310" w:rsidP="006B3310">
      <w:pPr>
        <w:spacing w:line="480" w:lineRule="auto"/>
        <w:ind w:firstLine="720"/>
      </w:pPr>
      <w:r>
        <w:t xml:space="preserve">There are several examples of land-based education programming for youth in the literature. Ritchie and colleagues (2014) examined an outdoor adventure-based youth leadership program that was implemented with youth from the Wikwemikong community on Manitoulin Island in Ontario. This was an expedition-based program that involved a 10-day canoe trip that included cultural activities including ceremonies, traditional teachings from Elders and explorations of hunting grounds and local medicines. They found that youth participant’s resilience increased after participation in the program (Ritchie, Wabano, Russell, Enosse, &amp; Young, 2014). In Moose Cree First Nation, Gaudet (2016) studied two land-based programs for youth: Project George and Milo Pimatisiwin. Activities included fishing and trapping expeditions, sweat lodge ceremonies and traditional teachings related to hunting, gathering and preparing food and community feasts. They also recorded and broadcast a segment on the local radio that described the seven pimatisiwin teachings modules. These were later translated to Cree and shared </w:t>
      </w:r>
      <w:r>
        <w:lastRenderedPageBreak/>
        <w:t xml:space="preserve">on the community app. Alfred (2014) describes the Akwesasne Cultural Restoration, a land-based apprenticeship program that was implemented Akwesasne, a Mohawk community near Cornwall whose territory straddles Ontario, Quebec, and New York state. This community-driven program was designed to enhance youth cultural knowledge and experience in order to promote land-based practice such as fishing, hunting, horticultural practices, use of traditional medicines and basket-making. </w:t>
      </w:r>
    </w:p>
    <w:p w14:paraId="444C3A0D" w14:textId="75B5BFE4" w:rsidR="00432217" w:rsidRDefault="00432217" w:rsidP="00432217">
      <w:pPr>
        <w:spacing w:line="480" w:lineRule="auto"/>
        <w:ind w:firstLine="360"/>
      </w:pPr>
      <w:r>
        <w:t xml:space="preserve">Environmental issues and climate change are being felt more intensely by Indigenous populations and this is having a profound impact on their health and well-being (Harada et al., 2005; McQuigge, 2012; Sarkar, Hanrahan, &amp; Hudson, 2015). For example, in examining a sport-for-development leadership program for Indigenous youth, researchers found that many communities participating in the program across Ontario were coping with critical environmental issues within their communities, including toxicity of local bodies of water, exposure to petrochemical pollution and floods (Halsall, 2016). In research with Inuit communities in Nunatsiavut, Labrador, Willox and colleagues (2013) explored the impact of climate change on health and well-being. They found that changes in temperature, weather patterns and ice stability, were creating barriers for community members’ participation in land-based practices and this was resulting in diminished cultural identity and well-being. These findings are very concerning considering that Indigenous health and well-being is intrinsically connected to the land (Dell et al., 2011; Kirmayer et al., 2009). </w:t>
      </w:r>
    </w:p>
    <w:p w14:paraId="719DB889" w14:textId="77777777" w:rsidR="00DA26A4" w:rsidRDefault="006B3310">
      <w:pPr>
        <w:spacing w:line="480" w:lineRule="auto"/>
        <w:ind w:firstLine="360"/>
      </w:pPr>
      <w:r>
        <w:t>In sum, there is strong support for the health and wellness benefits of outdoor recreation programming for children and youth. However, it is important to also explore how these interventions may contribute to youth leadership in environmental activism and hence understand the reciprocal relationship posited by EST.</w:t>
      </w:r>
    </w:p>
    <w:p w14:paraId="0CD24AF9" w14:textId="21AE6557" w:rsidR="00B47A33" w:rsidRDefault="00DA26A4" w:rsidP="00B3345D">
      <w:pPr>
        <w:pStyle w:val="Heading1"/>
      </w:pPr>
      <w:r>
        <w:t xml:space="preserve">Possible </w:t>
      </w:r>
      <w:r w:rsidR="00BE0144">
        <w:t>M</w:t>
      </w:r>
      <w:r w:rsidR="00E75F7F">
        <w:t xml:space="preserve">echanisms </w:t>
      </w:r>
      <w:r>
        <w:t xml:space="preserve">of </w:t>
      </w:r>
      <w:r w:rsidR="00BE0144">
        <w:t>I</w:t>
      </w:r>
      <w:r>
        <w:t xml:space="preserve">nfluence </w:t>
      </w:r>
      <w:r w:rsidR="00BE0144">
        <w:t>between</w:t>
      </w:r>
      <w:r>
        <w:t xml:space="preserve"> </w:t>
      </w:r>
      <w:r w:rsidR="00BE0144">
        <w:t>O</w:t>
      </w:r>
      <w:r>
        <w:t xml:space="preserve">utdoor </w:t>
      </w:r>
      <w:r w:rsidR="00BE0144">
        <w:t>R</w:t>
      </w:r>
      <w:r>
        <w:t xml:space="preserve">ecreation </w:t>
      </w:r>
      <w:r w:rsidR="00BE0144">
        <w:t>and</w:t>
      </w:r>
      <w:r>
        <w:t xml:space="preserve"> </w:t>
      </w:r>
      <w:r w:rsidR="00BE0144">
        <w:t>E</w:t>
      </w:r>
      <w:r>
        <w:t xml:space="preserve">nvironmental </w:t>
      </w:r>
      <w:r w:rsidR="00BE0144">
        <w:t>E</w:t>
      </w:r>
      <w:r>
        <w:t>ngagement</w:t>
      </w:r>
    </w:p>
    <w:p w14:paraId="585C11DF" w14:textId="50D64629" w:rsidR="00DA26A4" w:rsidRDefault="00432217" w:rsidP="00DA26A4">
      <w:pPr>
        <w:spacing w:line="480" w:lineRule="auto"/>
        <w:ind w:firstLine="720"/>
      </w:pPr>
      <w:r>
        <w:t>We argue that affinity for the environment and investment in environmental sustainability can be developed through ongoing exposure to the environment</w:t>
      </w:r>
      <w:r w:rsidR="00AF512D">
        <w:t xml:space="preserve"> </w:t>
      </w:r>
      <w:r w:rsidR="00BE0144">
        <w:t xml:space="preserve">within outdoor recreation </w:t>
      </w:r>
      <w:r w:rsidR="00AF512D">
        <w:t xml:space="preserve">and the </w:t>
      </w:r>
      <w:r w:rsidR="00AF512D">
        <w:lastRenderedPageBreak/>
        <w:t>experience of related benefits</w:t>
      </w:r>
      <w:r>
        <w:t xml:space="preserve">. </w:t>
      </w:r>
      <w:r w:rsidR="00DA26A4">
        <w:t xml:space="preserve">Researchers </w:t>
      </w:r>
      <w:r w:rsidR="00BE0144">
        <w:t>suggest</w:t>
      </w:r>
      <w:r w:rsidR="00DA26A4">
        <w:t xml:space="preserve"> that much of contemporary society suffers from disengagement with nature as a result of industrial development, urbanization and the constraints created through modern lifestyle (Capaldi, Passmore, Nisbet, Zelenski, &amp; Dopko, 2015; Gass, 2012; Keniger, Gaston, Irvine, &amp; Fuller, 2013; Louv, 2009). In addition, excessive rules and regulations designed to reduce risk of injury in children and youth and concerns regarding perceived liabilities along with increased levels of screen time have also been found to be related with children and youth spending less time outdoors (ParticipACTION, 2015). </w:t>
      </w:r>
    </w:p>
    <w:p w14:paraId="5F2678E4" w14:textId="77777777" w:rsidR="00DA26A4" w:rsidRDefault="00DA26A4" w:rsidP="00DA26A4">
      <w:pPr>
        <w:spacing w:line="480" w:lineRule="auto"/>
        <w:ind w:firstLine="720"/>
      </w:pPr>
      <w:r>
        <w:t xml:space="preserve">This is concerning as interactions with nature have been found to have a positive effect on physiological states, psychological well-being and cognitive functioning.  For example, research has identified that experiencing nature can promote a range of benefits, including enhanced mood, cognitive function and productivity, reduced mental fatigue, stress and anxiety, and an improvement in a variety of physical health indicators (Keniger et al., 2013). Researchers have also begun to identify the reasons why the natural environment may have an impact on well-being. Major theoretical explanations suggest that attraction to nature may be influenced by our evolutionary development, through stress reduction or through the restoration of attention (Capaldi et al., 2015). Gass (2012) provides an example describing the process of attention restoration “Clouds, sunsets, and moving river water capture attention because they are visually and auditorily fascinating, but in a way that does not require direct attention” (p. 107). </w:t>
      </w:r>
    </w:p>
    <w:p w14:paraId="1E92C4C3" w14:textId="770A6D54" w:rsidR="00DA26A4" w:rsidRDefault="00DA26A4" w:rsidP="00DA26A4">
      <w:pPr>
        <w:spacing w:line="480" w:lineRule="auto"/>
        <w:ind w:firstLine="720"/>
      </w:pPr>
      <w:r>
        <w:t xml:space="preserve">There also appears to be added health benefits related with being active outdoors. In a meta-analysis of studies examining exercising in a natural environment in comparison with built environments, Bowler, Buyung-Ali, Knight, and Pullin (2010) found that green exercise was associated with reduced negative emotions and improved attention. In another systematic review comparing exercising indoors as compared with exercising in natural environments, Thompson Coon et al. (2011) identified that green exercise was associated with increased energy, greater feelings of revitalization, </w:t>
      </w:r>
      <w:r>
        <w:lastRenderedPageBreak/>
        <w:t>positive engagement, enjoyment, decreases in tension, confusion, anger, and depression, enhanced satisfaction and stronger motivation to continue the activity.</w:t>
      </w:r>
      <w:r w:rsidR="00AF512D">
        <w:t xml:space="preserve"> </w:t>
      </w:r>
      <w:r>
        <w:t xml:space="preserve">In addition, researchers have found that children and youth tend to be most active when engaged in outdoor play (Perry, Ackert, Sallis, Glanz, &amp; Saelens, 2016) and outdoor exposure has been found to increase levels of physical activity (Gray et al., 2015). In order to encourage Canadian families and services to increase children’s levels of outdoor activity, ParticipACTION released a position statement in 2015 that states: “Access to active play in nature and outdoors—with its risks—is essential for healthy child development. We recommend increasing children’s opportunities for self-directed play outdoors in all settings—at home, at school, in child care, the community and nature” (2015, p. 8). </w:t>
      </w:r>
    </w:p>
    <w:p w14:paraId="6E6A220D" w14:textId="4426D8C8" w:rsidR="00B47A33" w:rsidRDefault="00BE0144" w:rsidP="00BE0144">
      <w:pPr>
        <w:spacing w:line="480" w:lineRule="auto"/>
        <w:ind w:firstLine="851"/>
      </w:pPr>
      <w:r w:rsidRPr="00D341A3">
        <w:t>Exposure to the environment through outdoor recreation programming may accrue individual benefits as well as connection and investment in the natural environment</w:t>
      </w:r>
      <w:r w:rsidR="00D341A3" w:rsidRPr="00D341A3">
        <w:t>.</w:t>
      </w:r>
      <w:r w:rsidRPr="00D341A3">
        <w:t xml:space="preserve"> </w:t>
      </w:r>
      <w:r w:rsidR="00D341A3" w:rsidRPr="00D341A3">
        <w:t>T</w:t>
      </w:r>
      <w:r w:rsidRPr="00D341A3">
        <w:t>he</w:t>
      </w:r>
      <w:r w:rsidR="00DA26A4" w:rsidRPr="00D341A3">
        <w:t xml:space="preserve"> EST may help to explain the possible </w:t>
      </w:r>
      <w:r w:rsidR="0045685F" w:rsidRPr="00D341A3">
        <w:t>mechanism through which</w:t>
      </w:r>
      <w:r w:rsidR="00DA26A4" w:rsidRPr="00D341A3">
        <w:t xml:space="preserve"> outdoor recreation </w:t>
      </w:r>
      <w:r w:rsidR="0045685F" w:rsidRPr="00D341A3">
        <w:t>can influence</w:t>
      </w:r>
      <w:r w:rsidR="00DA26A4" w:rsidRPr="00D341A3">
        <w:t xml:space="preserve"> youth environment</w:t>
      </w:r>
      <w:r w:rsidR="0045685F" w:rsidRPr="00D341A3">
        <w:t>al engagement</w:t>
      </w:r>
      <w:r w:rsidR="00DA26A4" w:rsidRPr="00D341A3">
        <w:t>. The</w:t>
      </w:r>
      <w:r w:rsidR="00966DCE" w:rsidRPr="00D341A3">
        <w:t xml:space="preserve"> EST </w:t>
      </w:r>
      <w:r w:rsidR="0045685F" w:rsidRPr="00D341A3">
        <w:t>conceptualizes</w:t>
      </w:r>
      <w:r w:rsidR="00966DCE" w:rsidRPr="00D341A3">
        <w:t xml:space="preserve"> youth development within the context of multiple levels of influence derived from environmental factors such as family, school, community, and socio-cultural systems (Bronfenbrenner &amp; Morris, 2006). </w:t>
      </w:r>
      <w:r w:rsidR="003E6C53" w:rsidRPr="00D341A3">
        <w:t xml:space="preserve">The EST includes four major components: 1) process, 2) person, 3) context, and 4) time </w:t>
      </w:r>
      <w:r w:rsidR="00D341A3">
        <w:t>(Bronfenbrenner, 1995; 1997; Bronfenbrenner &amp; Morris, 2006)</w:t>
      </w:r>
      <w:r w:rsidR="003E6C53" w:rsidRPr="00D341A3">
        <w:t xml:space="preserve">.  The process component, also called proximal process is the most fundamental concept within the theory and is defined as the “progressively more complex reciprocal interaction between an active, evolving biopsychological human organism and the persons, objects, and symbols in its immediate </w:t>
      </w:r>
      <w:r w:rsidR="00D341A3">
        <w:t>external environment” (Bronfenbrenner &amp; Morris, 2006</w:t>
      </w:r>
      <w:r w:rsidR="003E6C53" w:rsidRPr="00D341A3">
        <w:t>, p. 797</w:t>
      </w:r>
      <w:r w:rsidR="00D341A3">
        <w:t>)</w:t>
      </w:r>
      <w:r w:rsidR="003E6C53" w:rsidRPr="00D341A3">
        <w:t xml:space="preserve">. </w:t>
      </w:r>
      <w:r w:rsidR="005124D3" w:rsidRPr="00D341A3">
        <w:t>The process of y</w:t>
      </w:r>
      <w:r w:rsidR="00966DCE" w:rsidRPr="00D341A3">
        <w:t xml:space="preserve">outh leadership </w:t>
      </w:r>
      <w:r w:rsidR="005124D3" w:rsidRPr="00D341A3">
        <w:t xml:space="preserve">development </w:t>
      </w:r>
      <w:r w:rsidR="00966DCE" w:rsidRPr="00D341A3">
        <w:t xml:space="preserve">can </w:t>
      </w:r>
      <w:r w:rsidR="00AF512D" w:rsidRPr="00D341A3">
        <w:t xml:space="preserve">also </w:t>
      </w:r>
      <w:r w:rsidR="00966DCE" w:rsidRPr="00D341A3">
        <w:t xml:space="preserve">be </w:t>
      </w:r>
      <w:r w:rsidR="005124D3" w:rsidRPr="00D341A3">
        <w:t>understood using the concept of proximal process</w:t>
      </w:r>
      <w:r w:rsidR="00966DCE" w:rsidRPr="00D341A3">
        <w:t xml:space="preserve">. Youth leadership and contribution </w:t>
      </w:r>
      <w:r w:rsidR="00D341A3" w:rsidRPr="00D341A3">
        <w:t xml:space="preserve">to community </w:t>
      </w:r>
      <w:r w:rsidR="00966DCE" w:rsidRPr="00D341A3">
        <w:t xml:space="preserve">have been </w:t>
      </w:r>
      <w:r w:rsidR="00D341A3" w:rsidRPr="00D341A3">
        <w:t>identified as behaviours that</w:t>
      </w:r>
      <w:r w:rsidR="005124D3" w:rsidRPr="00D341A3">
        <w:t xml:space="preserve"> </w:t>
      </w:r>
      <w:r w:rsidR="00966DCE" w:rsidRPr="00D341A3">
        <w:t xml:space="preserve">resulting from healthy youth development and </w:t>
      </w:r>
      <w:r w:rsidR="00D341A3" w:rsidRPr="00D341A3">
        <w:t>this development</w:t>
      </w:r>
      <w:r w:rsidR="00966DCE" w:rsidRPr="00D341A3">
        <w:t xml:space="preserve"> enhance</w:t>
      </w:r>
      <w:r w:rsidR="00D341A3" w:rsidRPr="00D341A3">
        <w:t>s</w:t>
      </w:r>
      <w:r w:rsidR="00966DCE" w:rsidRPr="00D341A3">
        <w:t xml:space="preserve"> a mutually adaptive interaction between youth and their environment (Lerner et al., 2005). This interaction can be understood using the construct of proximal processes </w:t>
      </w:r>
      <w:r w:rsidR="00D341A3" w:rsidRPr="00D341A3">
        <w:t>as representing</w:t>
      </w:r>
      <w:r w:rsidR="00966DCE" w:rsidRPr="00D341A3">
        <w:t xml:space="preserve"> </w:t>
      </w:r>
      <w:r w:rsidR="00D341A3" w:rsidRPr="00D341A3">
        <w:lastRenderedPageBreak/>
        <w:t>the</w:t>
      </w:r>
      <w:r w:rsidR="00966DCE" w:rsidRPr="00D341A3">
        <w:t xml:space="preserve"> interaction</w:t>
      </w:r>
      <w:r w:rsidR="00D341A3" w:rsidRPr="00D341A3">
        <w:t xml:space="preserve"> between youth leadership skill development and associated positive outcomes within the developmental context</w:t>
      </w:r>
      <w:r w:rsidR="00966DCE" w:rsidRPr="00D341A3">
        <w:t xml:space="preserve">. For example, programming that is designed to enhance youth leadership skills through life skills development can also benefit the community through the promotion of youth engagement in voluntary service and community action. In their study examining a SfD youth leadership program for Indigenous youth, Halsall and Forneris (2016b) found that the program had positive impacts on </w:t>
      </w:r>
      <w:r w:rsidR="00D341A3" w:rsidRPr="00D341A3">
        <w:t xml:space="preserve">youth leadership skills as well as the </w:t>
      </w:r>
      <w:r w:rsidR="00966DCE" w:rsidRPr="00D341A3">
        <w:t xml:space="preserve">community, including an enhanced sense of community and greater </w:t>
      </w:r>
      <w:r w:rsidR="00D341A3" w:rsidRPr="00D341A3">
        <w:t xml:space="preserve">community </w:t>
      </w:r>
      <w:r w:rsidR="00966DCE" w:rsidRPr="00D341A3">
        <w:t>partnership including increased volunteerism and collaboration between organizations. This mutually reciprocal interaction between youth and community may also apply in programs that promote youth engagement in environmental efforts</w:t>
      </w:r>
      <w:r w:rsidR="00487F76" w:rsidRPr="00D341A3">
        <w:t>, w</w:t>
      </w:r>
      <w:r w:rsidR="00966DCE" w:rsidRPr="00D341A3">
        <w:t xml:space="preserve">hereby, in this setting, contextual impacts would be exhibited as environmental benefits. </w:t>
      </w:r>
      <w:r w:rsidR="00D4750B" w:rsidRPr="00D341A3">
        <w:t>For example, youth programming that focuses on developing leadership skills related with environmental policy might support youth advocacy efforts to influence decision-making with respect to environmental protection and sustainable practices.</w:t>
      </w:r>
      <w:r w:rsidR="00AF512D">
        <w:t xml:space="preserve"> </w:t>
      </w:r>
    </w:p>
    <w:p w14:paraId="78A938FE" w14:textId="52DC9059" w:rsidR="00B47A33" w:rsidRDefault="00AF512D" w:rsidP="00AF512D">
      <w:pPr>
        <w:spacing w:line="480" w:lineRule="auto"/>
        <w:ind w:firstLine="720"/>
      </w:pPr>
      <w:r>
        <w:t xml:space="preserve">Researchers have identified that </w:t>
      </w:r>
      <w:r w:rsidR="00D341A3">
        <w:t xml:space="preserve">currently </w:t>
      </w:r>
      <w:r>
        <w:t>youth</w:t>
      </w:r>
      <w:r w:rsidR="00D341A3">
        <w:t xml:space="preserve">: 1) </w:t>
      </w:r>
      <w:r>
        <w:t xml:space="preserve">have relatively low levels of knowledge about the underlying mechanisms and scientific perspectives on environmental issues, </w:t>
      </w:r>
      <w:r w:rsidR="00D341A3">
        <w:t xml:space="preserve">2) </w:t>
      </w:r>
      <w:r>
        <w:t xml:space="preserve">perceive that climate change is primarily a government responsibility and </w:t>
      </w:r>
      <w:r w:rsidR="00D341A3">
        <w:t xml:space="preserve">3) </w:t>
      </w:r>
      <w:r>
        <w:t xml:space="preserve">have a general lack of self-efficacy with respect to environmental engagement (Corner et al., 2015). Recognizing these issues, it is very important to invest in grass roots efforts that directly engage young people with trusted leaders, apply experiential and peer-to-peer approaches that help to enhance their interest and support their confidence and ability related to climate change efforts (Corner et al., 2015). </w:t>
      </w:r>
      <w:r w:rsidR="00966DCE">
        <w:t xml:space="preserve">Outdoor recreation programs can promote this development of youth leadership and specifically target these skills to environmental conservation.  In their study, Browne, Garst and Bialeschki, (2011) examined the effectiveness of Camp 2 Grow, a nature-based day and residential camp program designed to promote leadership, personal development and engagement in environmental sustainability. They found that participation in a nature-based camp enhanced independence, leadership, confidence in problem </w:t>
      </w:r>
      <w:r w:rsidR="00966DCE">
        <w:lastRenderedPageBreak/>
        <w:t xml:space="preserve">solving and affinity for nature. In another example, Students on Ice (SOI), an expedition-based program that was initiated in 1999, provides an opportunity for university students from across the world to visit the Polar Regions (Reis et al., 2015). This program was designed to expose participants to the natural environment, increase knowledge and values regarding the environment, develop problem-solving related to environmental challenges and to promote engagement in environmental activism (Reis et al., 2015).  Similar to other PYD programs that promote youth leadership and community contribution, research has identified that engagement in environmental efforts also promotes positive developmental outcomes and well-being in youth (Browne, 2011; Waite, 2016). </w:t>
      </w:r>
    </w:p>
    <w:p w14:paraId="0EFC5440" w14:textId="21573CEF" w:rsidR="00B47A33" w:rsidRDefault="005124D3">
      <w:pPr>
        <w:pStyle w:val="Heading1"/>
      </w:pPr>
      <w:r>
        <w:t>Discussion</w:t>
      </w:r>
    </w:p>
    <w:p w14:paraId="0138C4FD" w14:textId="2DC0A87A" w:rsidR="00B47A33" w:rsidRDefault="00966DCE">
      <w:pPr>
        <w:spacing w:line="480" w:lineRule="auto"/>
        <w:ind w:firstLine="360"/>
      </w:pPr>
      <w:r>
        <w:t xml:space="preserve">Looking forward, research is needed to further examine the reciprocal impact that youth participation in outdoor recreation may have. In addition, further work is needed to increase the opportunities for youth engagement and participation in outdoor recreation, particularly given the findings related to health outcomes. For instance, models like the Forest School have not yet been broadly adopted, yet they are designed to have population-level impacts if they are implemented within publicly funded schools. Creating opportunities for all children and youth to appreciate and benefit from an appreciable amount of time spent in nature may have population-level health and education benefits and may create a future population that is more invested in the natural environment and willing to contribute to conservation efforts. Jagemann (2004) warns against possible damage to the natural environment when there are too many sport participants impacting vulnerable contexts. He emphasizes the importance of using urban greenspace and residential areas for physical activities so that more susceptible settings are spared. This aligns with recent research and programming that applies the EST to enhance participation in physical activity within urban environments and through active living (Sallis et al., 2006). These initiatives create more local opportunities </w:t>
      </w:r>
      <w:r w:rsidR="005124D3">
        <w:t xml:space="preserve">within urban greenspace </w:t>
      </w:r>
      <w:r>
        <w:t xml:space="preserve">for children and </w:t>
      </w:r>
      <w:r>
        <w:lastRenderedPageBreak/>
        <w:t>youth to spend active time outdoors, whether within school programming or during day-to-day activities such as time spent in leisure and travel.</w:t>
      </w:r>
    </w:p>
    <w:p w14:paraId="79E9D80D" w14:textId="4DE4CF2F" w:rsidR="00B47A33" w:rsidRDefault="00966DCE">
      <w:pPr>
        <w:spacing w:line="480" w:lineRule="auto"/>
        <w:ind w:firstLine="360"/>
      </w:pPr>
      <w:r>
        <w:tab/>
        <w:t>According to the EST, in order to be effective, the reciprocal interactions between an individual and their environment must exert their influence over an extended period of time (Bronfenbrenner &amp; Morris, 2006). As such, long-term programs such as Forest School may provide added benefit over interventions that are delivered over a shorter timeframe. Conversely, programs that bring participants out of their typical context, such as outdoor adventure programs and camps, also temporarily remove the influence of the other contexts during programming (</w:t>
      </w:r>
      <w:r w:rsidR="00B3345D">
        <w:t>i.e.</w:t>
      </w:r>
      <w:r>
        <w:t xml:space="preserve"> family, school and community). In cases where these typical contexts are exerting a negative influence, there may be an enhanced influence of the intervention during the time of programming. Relatedly, </w:t>
      </w:r>
      <w:r w:rsidR="00FC4FAB">
        <w:t>extended</w:t>
      </w:r>
      <w:r>
        <w:t xml:space="preserve"> program exposure </w:t>
      </w:r>
      <w:r w:rsidR="00FC4FAB">
        <w:t xml:space="preserve">over time </w:t>
      </w:r>
      <w:r>
        <w:t>has been identified as being more effective in the promotion of youth development (Catalano et al., 2002) and  researchers have also identified that intensity or frequency of intervention exposure was related to a sense of belonging and engagement (Akiva, Cortina, Eccles, &amp; Smith, 2013). Future research should examine the comparative effects between long-term programming and out-of-context intensive short-term programming</w:t>
      </w:r>
      <w:r w:rsidR="009E596E">
        <w:t xml:space="preserve"> and examine the influence on participant environmental engagement</w:t>
      </w:r>
      <w:r>
        <w:t>.</w:t>
      </w:r>
    </w:p>
    <w:p w14:paraId="1B126921" w14:textId="2AC97338" w:rsidR="00B47A33" w:rsidRDefault="00966DCE">
      <w:pPr>
        <w:spacing w:line="480" w:lineRule="auto"/>
        <w:ind w:firstLine="360"/>
      </w:pPr>
      <w:r>
        <w:t>The EST has also been used to better understand sport programming in Indigenous communities. Two-eyed seeing is a concept that Mi’kmaq Elder, Albert Marshall, used to describe an approach to understanding that combines both Indigenous and non-Indigenous perspectives and emphasizes integrating strengths from each cultural viewpoint (Lavall</w:t>
      </w:r>
      <w:r w:rsidR="00AE603C">
        <w:t>é</w:t>
      </w:r>
      <w:r>
        <w:t>e &amp; Lévesque, 2012). Two-eyed seeing has been applied as a research framework within sport and physical activity research and it has also been used to adapt the EST to enhance its application within Indigenous communities (see Baillie, 2016; Lavall</w:t>
      </w:r>
      <w:r w:rsidR="00AE603C">
        <w:t>é</w:t>
      </w:r>
      <w:r>
        <w:t>e, 2012). For example, Lavall</w:t>
      </w:r>
      <w:r w:rsidR="00AE603C">
        <w:t>é</w:t>
      </w:r>
      <w:r>
        <w:t xml:space="preserve">e and Lévesque (2012) created a hybrid </w:t>
      </w:r>
      <w:r w:rsidR="00A26EB3">
        <w:t>EST</w:t>
      </w:r>
      <w:r>
        <w:t xml:space="preserve"> that incorporates the medicine wheel and integrates nature and spirit as systems of influence. This model depicts decolonizing sport and physical activity interventions delivered at multiple system levels within intrapersonal, </w:t>
      </w:r>
      <w:r>
        <w:lastRenderedPageBreak/>
        <w:t xml:space="preserve">interpersonal, organizational, community, policy/system/environment, mother earth and all of creation in order to promote holistic health and balance between the physical, mental, emotional and spiritual life aspects. </w:t>
      </w:r>
    </w:p>
    <w:p w14:paraId="2C57E67D" w14:textId="77777777" w:rsidR="00B47A33" w:rsidRDefault="00966DCE">
      <w:pPr>
        <w:spacing w:line="480" w:lineRule="auto"/>
        <w:ind w:firstLine="360"/>
      </w:pPr>
      <w:r>
        <w:t>These adaptations of the EST further highlight the influence of the natural environment and the potential reciprocal interaction between the individual. Since these models conceptualize nature as a specific context of influence, they may be useful to apply to future research to conceptualize proximal processes between individuals and the natural environment and how these processes may enhance individual wellbeing and promote individual engagement within environmental conservation.</w:t>
      </w:r>
    </w:p>
    <w:p w14:paraId="375A0048" w14:textId="77777777" w:rsidR="00A26EB3" w:rsidRDefault="00966DCE">
      <w:pPr>
        <w:spacing w:line="480" w:lineRule="auto"/>
        <w:ind w:firstLine="360"/>
      </w:pPr>
      <w:bookmarkStart w:id="0" w:name="_gjdgxs" w:colFirst="0" w:colLast="0"/>
      <w:bookmarkEnd w:id="0"/>
      <w:r>
        <w:t xml:space="preserve">The concept of two-eyed seeing can also be applied to enhance programming. For example, integrating Western technology into land-based approaches can make the programs more accessible to youth and more applicable to their modern lifestyle. Similar to the general youth population, mobile technology and social media has become a big part of many Indigenous youths’ lives. Programs for Indigenous youth should take advantage of social media as an opportunity to engage youth and facilitate communication. Within their youth leadership program for Indigenous youth, Right to Play integrated Facebook to support communication and to promote the program while also emphasizing the learning of traditional cultural values and practices (Halsall &amp; Forneris, 2016a). </w:t>
      </w:r>
    </w:p>
    <w:p w14:paraId="43321889" w14:textId="05D498DC" w:rsidR="00B47A33" w:rsidRDefault="00966DCE">
      <w:pPr>
        <w:spacing w:line="480" w:lineRule="auto"/>
        <w:ind w:firstLine="360"/>
      </w:pPr>
      <w:r>
        <w:t xml:space="preserve">There are also many successful examples of research that applies Photovoice to facilitate Indigenous youth empowerment, engagement in community development and reflection on cultural identity (Baillie, 2016; Halsall &amp; Forneris, 2016c; McHugh et al., 2013; Pearce &amp; Coholic, 2013; Young et al., 2013). In her research examining land-based programming for Indigenous youth, Gaudet (2016) used a community app to share traditional Cree teachings with community youth. To highlight the importance of increasing the accessibility of programming for modern Indigenous youth, she suggests that: “Youth have a unique circumstance in that they must learn who they are as Cree people in the contemporary Western world. Our youth and our people would benefit greatly from learning to walk in both worlds.” </w:t>
      </w:r>
      <w:r>
        <w:lastRenderedPageBreak/>
        <w:t xml:space="preserve">(Gaudet, 2016, p. 191). Similarly, Cajete (1994) suggests that program processes must take account of the current context while building on historical developments: “… we engineer the new reality built upon earlier ones, while simultaneously addressing the needs, and </w:t>
      </w:r>
      <w:r w:rsidR="00B3345D">
        <w:t>acting in the sun, of our times</w:t>
      </w:r>
      <w:r>
        <w:t>” (p. 27)</w:t>
      </w:r>
      <w:r w:rsidR="00B3345D">
        <w:t>.</w:t>
      </w:r>
      <w:r w:rsidR="00A26EB3">
        <w:t xml:space="preserve"> These technologies can be used to enhance Indigenous youth engagement within land-based programming and can also be applied raise awareness about the cultural importance of the land and current environmental issues.</w:t>
      </w:r>
    </w:p>
    <w:p w14:paraId="73E4126A" w14:textId="77777777" w:rsidR="00B47A33" w:rsidRDefault="00966DCE">
      <w:pPr>
        <w:spacing w:line="480" w:lineRule="auto"/>
        <w:ind w:firstLine="360"/>
      </w:pPr>
      <w:r>
        <w:t xml:space="preserve">Conversely, Indigenous practices and approaches can be used to improve western-based programming. For example, the Canadian Forest School model is informed by Indigenous land-based pedagogy that emphasizes self-directed experiential learning and the integration of stories (Forest School Canada, 2014). This approach utilizes the strengths from Indigenous education to benefit children and youth from the general population. Researchers have identified that stories can enhance learning as it is enhances meaning, relevance, and learner engagement and promotes retention (Davis, 2014; Green, 2004; Lawrence &amp; Paige, 2016; Phillips, 2013). Furthermore, experiential education, a traditional Indigenous approach, can promote critical thinking and ability to apply new knowledge, a deeper understanding of content, and the ability to engage in life-long learning across contexts (Eyler, 2009). Cajete (1994) argues that the Western education system in general would benefit from a greater adoption of Indigenous philosophy and practice: </w:t>
      </w:r>
    </w:p>
    <w:p w14:paraId="0FA353C3" w14:textId="77777777" w:rsidR="00B47A33" w:rsidRDefault="00966DCE">
      <w:pPr>
        <w:spacing w:line="480" w:lineRule="auto"/>
        <w:ind w:left="360"/>
      </w:pPr>
      <w:r>
        <w:t>What underlies the crisis of American education is the crisis of modern man's identity and his cosmological disconnection from the natural world… Traditional American Indian forms of education must be considered conceptual wellsprings for the “new” kinds of educational thought that can address the tremendous challenges of the 21st-century. Tribal education presents models and universal foundations to transform American education and develop a “new” paradigm for curricula that will make a difference for Life’s Sake.  (p. 25-26)</w:t>
      </w:r>
    </w:p>
    <w:p w14:paraId="07D11F02" w14:textId="114AA512" w:rsidR="00B47A33" w:rsidRDefault="00966DCE">
      <w:pPr>
        <w:spacing w:line="480" w:lineRule="auto"/>
        <w:ind w:firstLine="360"/>
      </w:pPr>
      <w:r>
        <w:lastRenderedPageBreak/>
        <w:tab/>
        <w:t xml:space="preserve">Finally, another added benefit related to two-eyed seeing and combining Indigenous with Western values and approaches is that it can foster reconciliation. Acknowledging and valuing both perspectives supports the recognition of cultural strengths. Paraschak (2013) recommends applying strengths-based approaches as they promote the identification of successes, provide a holistic perspective and place an emphasis on cultural similarities, rather than differences. </w:t>
      </w:r>
      <w:r w:rsidR="00E75F7F">
        <w:t>With respect to environmental issues, n</w:t>
      </w:r>
      <w:r w:rsidR="00A26EB3">
        <w:t xml:space="preserve">on-Indigenous </w:t>
      </w:r>
      <w:r w:rsidR="00E75F7F">
        <w:t>individuals may develop an increased connection and respect for the environment through an improved understanding of Indigenous culture and recognition of the value of the environment within</w:t>
      </w:r>
      <w:r w:rsidR="00B3345D">
        <w:t xml:space="preserve"> the</w:t>
      </w:r>
      <w:r w:rsidR="00E75F7F">
        <w:t xml:space="preserve"> Indigenous </w:t>
      </w:r>
      <w:r w:rsidR="00B3345D">
        <w:t>perspective</w:t>
      </w:r>
      <w:r w:rsidR="00E75F7F">
        <w:t>.</w:t>
      </w:r>
    </w:p>
    <w:p w14:paraId="7C9F47EB" w14:textId="77777777" w:rsidR="00B47A33" w:rsidRDefault="00966DCE">
      <w:pPr>
        <w:pStyle w:val="Heading1"/>
      </w:pPr>
      <w:r>
        <w:t>Conclusion</w:t>
      </w:r>
    </w:p>
    <w:p w14:paraId="05970B6B" w14:textId="77777777" w:rsidR="00B47A33" w:rsidRDefault="00966DCE">
      <w:pPr>
        <w:spacing w:line="480" w:lineRule="auto"/>
        <w:ind w:firstLine="360"/>
      </w:pPr>
      <w:r>
        <w:t>This chapter presented the argument that outdoor recreation programs have the potential to benefit youth as well as the environment. Using outdoor recreation programming to create a personal connection to and affinity for nature, as well as the knowledge and skills needed to engage in environmental sustainability will help to create a population of future adults who are willing and able to promote environmental sustainability. In addition, there is a need for researchers to continue to use the EST to support the exploration of youth development, environmental activism and sustainable development and to help explain reciprocal influences. Finally, both researchers and practitioners need to recognize the value of integrating models of outdoor recreation and Indigenous land-based education as such an approach can have benefits for both Indigenous and non-Indigenous youth as well as for our collective future.</w:t>
      </w:r>
    </w:p>
    <w:p w14:paraId="0E9DC3E4" w14:textId="77777777" w:rsidR="00B47A33" w:rsidRDefault="00B47A33">
      <w:pPr>
        <w:spacing w:line="480" w:lineRule="auto"/>
        <w:ind w:firstLine="720"/>
      </w:pPr>
    </w:p>
    <w:p w14:paraId="5570C842" w14:textId="77777777" w:rsidR="00B47A33" w:rsidRDefault="00B47A33"/>
    <w:p w14:paraId="62BF8249" w14:textId="77777777" w:rsidR="00B47A33" w:rsidRDefault="00966DCE">
      <w:pPr>
        <w:spacing w:after="200" w:line="276" w:lineRule="auto"/>
        <w:rPr>
          <w:b/>
          <w:color w:val="366091"/>
        </w:rPr>
      </w:pPr>
      <w:r>
        <w:br w:type="page"/>
      </w:r>
    </w:p>
    <w:p w14:paraId="67F62374" w14:textId="77777777" w:rsidR="00B47A33" w:rsidRDefault="00966DCE">
      <w:pPr>
        <w:pStyle w:val="Heading1"/>
      </w:pPr>
      <w:r>
        <w:lastRenderedPageBreak/>
        <w:t>References</w:t>
      </w:r>
    </w:p>
    <w:p w14:paraId="68BAF96C" w14:textId="77777777" w:rsidR="00B47A33" w:rsidRDefault="00966DCE">
      <w:pPr>
        <w:spacing w:line="480" w:lineRule="auto"/>
        <w:ind w:left="360" w:hanging="720"/>
      </w:pPr>
      <w:r>
        <w:t>Akiva, T., Cortina, K. S., Eccles, J. S., &amp; Smith, C. (2013). Youth belonging and cognitive engagement in organized activities: A large-scale field study. Journal of Applied Developmental Psychology, 34(5), 208-218.</w:t>
      </w:r>
    </w:p>
    <w:p w14:paraId="67FF8DBB" w14:textId="77777777" w:rsidR="00B47A33" w:rsidRDefault="00966DCE">
      <w:pPr>
        <w:spacing w:line="480" w:lineRule="auto"/>
        <w:ind w:left="360" w:hanging="720"/>
      </w:pPr>
      <w:r>
        <w:t>Alfred, T. (2014). The Akwesasne cultural restoration program: A Mohawk approach to land-based education. Decolonization: Indigeneity, Education &amp; Society, 3(3).</w:t>
      </w:r>
    </w:p>
    <w:p w14:paraId="51ED358B" w14:textId="77777777" w:rsidR="00B47A33" w:rsidRDefault="00966DCE">
      <w:pPr>
        <w:spacing w:line="480" w:lineRule="auto"/>
        <w:ind w:left="360" w:hanging="720"/>
      </w:pPr>
      <w:r>
        <w:t>American Camping Association. (2006). Inspirations: Developmental supports and opportunities of youths’ experiences at camp. Martinsville, IN: American Camping Association, Inc.</w:t>
      </w:r>
    </w:p>
    <w:p w14:paraId="142C03F2" w14:textId="77777777" w:rsidR="00B47A33" w:rsidRDefault="00966DCE">
      <w:pPr>
        <w:spacing w:line="480" w:lineRule="auto"/>
        <w:ind w:left="360" w:hanging="720"/>
      </w:pPr>
      <w:r>
        <w:t>Baillie, C. P., Johnson, A. M., Drane, S., LePage, R., Whitecrow, D., &amp; Lévesque, L. (2016). For the Community, By the Community: Working with Youth to Understand the Physical Activity-Environment Relationship in First Nations Communities. Youth Engagement in Health Promotion, 1(2).</w:t>
      </w:r>
    </w:p>
    <w:p w14:paraId="50D3B554" w14:textId="77777777" w:rsidR="00B47A33" w:rsidRDefault="00966DCE">
      <w:pPr>
        <w:spacing w:line="480" w:lineRule="auto"/>
        <w:ind w:left="360" w:hanging="720"/>
      </w:pPr>
      <w:r w:rsidRPr="0013707E">
        <w:t xml:space="preserve">Bialeschki, M. D., Henderson, K. A., &amp; James, P. A. (2007). </w:t>
      </w:r>
      <w:r>
        <w:t xml:space="preserve">Camp experiences and developmental outcomes for youth. Child and Adolescent Psychiatric Clinics of North America, 16(4), 769-788. </w:t>
      </w:r>
    </w:p>
    <w:p w14:paraId="64E0400A" w14:textId="77777777" w:rsidR="00B47A33" w:rsidRDefault="00966DCE">
      <w:pPr>
        <w:spacing w:line="480" w:lineRule="auto"/>
        <w:ind w:left="360" w:hanging="720"/>
      </w:pPr>
      <w:r>
        <w:t>Bowler, D. E., Buyung-Ali, L. M., Knight, T. M., &amp; Pullin, A. S. (2010). A systematic review of evidence for the added benefits to health of exposure to natural environments. BMC public health, 10(1), 456.</w:t>
      </w:r>
    </w:p>
    <w:p w14:paraId="6C43C8D2" w14:textId="11DEDC3A" w:rsidR="00993816" w:rsidRDefault="00993816" w:rsidP="00EF55D2">
      <w:pPr>
        <w:spacing w:line="480" w:lineRule="auto"/>
        <w:ind w:left="360" w:hanging="720"/>
      </w:pPr>
      <w:r>
        <w:t>Bronfenbrenner U. (1995). Developmental ecology through space and time: A future perspective. In P. Moen, G. H. Elder, Jr., &amp; K. Luscher (Eds.), Examining lives in context: Perspective son the ecology of human development (pp. 619-647). Washington. D.C: American Psychological Association.</w:t>
      </w:r>
    </w:p>
    <w:p w14:paraId="7F7C11A7" w14:textId="57086FC9" w:rsidR="00993816" w:rsidRDefault="00993816" w:rsidP="00EF55D2">
      <w:pPr>
        <w:spacing w:line="480" w:lineRule="auto"/>
        <w:ind w:left="360" w:hanging="720"/>
      </w:pPr>
      <w:r>
        <w:t xml:space="preserve">Bronfenbrenner U. (1999) Environments in developmental perspective: Theoretical and operational models. In S. L. Friedman &amp; T. D. Wachs (Eds.), Measuring the environment across the lifespan: Emerging methods and concepts (pp. 3-28). Washington. D.C: American Psychological Association. </w:t>
      </w:r>
    </w:p>
    <w:p w14:paraId="16198EE5" w14:textId="77777777" w:rsidR="00B47A33" w:rsidRDefault="00966DCE">
      <w:pPr>
        <w:spacing w:line="480" w:lineRule="auto"/>
        <w:ind w:left="360" w:hanging="720"/>
      </w:pPr>
      <w:r>
        <w:t xml:space="preserve">Bronfenbrenner, U., &amp; Morris, P. A. (2006). The Bioecological Model of Human Development. In R. M. Lerner &amp; W. Damon (Eds.), Handbook of child psychology: Theoretical models of human development (pp. 793-828). Hoboken, NJ: John Wiley. </w:t>
      </w:r>
    </w:p>
    <w:p w14:paraId="6D8BB21E" w14:textId="77777777" w:rsidR="00B47A33" w:rsidRDefault="00966DCE">
      <w:pPr>
        <w:spacing w:line="480" w:lineRule="auto"/>
        <w:ind w:left="360" w:hanging="720"/>
      </w:pPr>
      <w:r>
        <w:lastRenderedPageBreak/>
        <w:t>Browne, L. P., Garst, B. A., &amp; Bialeschki, D. (2011). Engaging youth in environmental sustainability: Impact of the Camp 2 Grow Program. Journal of Park and Recreation Administration, 29(3), 70-85.</w:t>
      </w:r>
    </w:p>
    <w:p w14:paraId="233D1B51" w14:textId="77777777" w:rsidR="00B47A33" w:rsidRDefault="00966DCE">
      <w:pPr>
        <w:spacing w:line="480" w:lineRule="auto"/>
        <w:ind w:left="360" w:hanging="720"/>
      </w:pPr>
      <w:r>
        <w:t>Cajete, G. (1994). Look to the mountain: An ecology of indigenous education. Kivaki Press: Durango, CO.</w:t>
      </w:r>
    </w:p>
    <w:p w14:paraId="7A4DB3FC" w14:textId="77777777" w:rsidR="00B47A33" w:rsidRDefault="00966DCE">
      <w:pPr>
        <w:spacing w:line="480" w:lineRule="auto"/>
        <w:ind w:left="360" w:hanging="720"/>
      </w:pPr>
      <w:r>
        <w:t>Capaldi, C. A., Passmore, H. A., Nisbet, E. K., Zelenski, J. M., &amp; Dopko, R. L. (2015). Flourishing in nature: A review of the benefits of connecting with nature and its application as a wellbeing intervention. International Journal of Wellbeing, 5(4).</w:t>
      </w:r>
    </w:p>
    <w:p w14:paraId="35FD3623" w14:textId="77777777" w:rsidR="00993816" w:rsidRDefault="00966DCE" w:rsidP="00993816">
      <w:pPr>
        <w:spacing w:line="480" w:lineRule="auto"/>
        <w:ind w:left="360" w:hanging="720"/>
      </w:pPr>
      <w:r>
        <w:t xml:space="preserve">Casper, J., Pfahl, M., &amp; McSherry, M. (2012). Athletics department awareness and action regarding the environment: A study of NCAA athletics department sustainability practices. </w:t>
      </w:r>
      <w:r>
        <w:rPr>
          <w:i/>
        </w:rPr>
        <w:t>Journal of Sport Management</w:t>
      </w:r>
      <w:r>
        <w:t xml:space="preserve">, </w:t>
      </w:r>
      <w:r>
        <w:rPr>
          <w:i/>
        </w:rPr>
        <w:t>26</w:t>
      </w:r>
      <w:r>
        <w:t>(1), 11-29.</w:t>
      </w:r>
    </w:p>
    <w:p w14:paraId="055FF97F" w14:textId="6EC0790C" w:rsidR="00993816" w:rsidRPr="00993816" w:rsidRDefault="00993816" w:rsidP="00993816">
      <w:pPr>
        <w:spacing w:line="480" w:lineRule="auto"/>
        <w:ind w:left="360" w:hanging="720"/>
        <w:rPr>
          <w:rFonts w:asciiTheme="majorHAnsi" w:eastAsia="Times New Roman" w:hAnsiTheme="majorHAnsi" w:cs="Times New Roman"/>
          <w:lang w:eastAsia="en-CA"/>
        </w:rPr>
      </w:pPr>
      <w:r w:rsidRPr="00993816">
        <w:rPr>
          <w:rFonts w:asciiTheme="majorHAnsi" w:eastAsia="Times New Roman" w:hAnsiTheme="majorHAnsi" w:cs="Times New Roman"/>
          <w:lang w:eastAsia="en-CA"/>
        </w:rPr>
        <w:t>Catalano, R</w:t>
      </w:r>
      <w:r>
        <w:rPr>
          <w:rFonts w:asciiTheme="majorHAnsi" w:eastAsia="Times New Roman" w:hAnsiTheme="majorHAnsi" w:cs="Times New Roman"/>
          <w:lang w:eastAsia="en-CA"/>
        </w:rPr>
        <w:t>.</w:t>
      </w:r>
      <w:r w:rsidRPr="00993816">
        <w:rPr>
          <w:rFonts w:asciiTheme="majorHAnsi" w:eastAsia="Times New Roman" w:hAnsiTheme="majorHAnsi" w:cs="Times New Roman"/>
          <w:lang w:eastAsia="en-CA"/>
        </w:rPr>
        <w:t xml:space="preserve">, Berglund, M. </w:t>
      </w:r>
      <w:r>
        <w:t>Ryan, J., Lonczak, H. &amp; Hawkins, J.</w:t>
      </w:r>
      <w:r w:rsidRPr="00993816">
        <w:rPr>
          <w:rFonts w:asciiTheme="majorHAnsi" w:eastAsia="Times New Roman" w:hAnsiTheme="majorHAnsi" w:cs="Times New Roman"/>
          <w:lang w:eastAsia="en-CA"/>
        </w:rPr>
        <w:t xml:space="preserve"> </w:t>
      </w:r>
      <w:r>
        <w:rPr>
          <w:rFonts w:asciiTheme="majorHAnsi" w:eastAsia="Times New Roman" w:hAnsiTheme="majorHAnsi" w:cs="Times New Roman"/>
          <w:lang w:eastAsia="en-CA"/>
        </w:rPr>
        <w:t>(</w:t>
      </w:r>
      <w:r w:rsidRPr="00993816">
        <w:rPr>
          <w:rFonts w:asciiTheme="majorHAnsi" w:eastAsia="Times New Roman" w:hAnsiTheme="majorHAnsi" w:cs="Times New Roman"/>
          <w:lang w:eastAsia="en-CA"/>
        </w:rPr>
        <w:t>2002</w:t>
      </w:r>
      <w:r>
        <w:rPr>
          <w:rFonts w:asciiTheme="majorHAnsi" w:eastAsia="Times New Roman" w:hAnsiTheme="majorHAnsi" w:cs="Times New Roman"/>
          <w:lang w:eastAsia="en-CA"/>
        </w:rPr>
        <w:t>)</w:t>
      </w:r>
      <w:r w:rsidRPr="00993816">
        <w:rPr>
          <w:rFonts w:asciiTheme="majorHAnsi" w:eastAsia="Times New Roman" w:hAnsiTheme="majorHAnsi" w:cs="Times New Roman"/>
          <w:lang w:eastAsia="en-CA"/>
        </w:rPr>
        <w:t xml:space="preserve">. Positive youth development in the United States: Research findings on evaluations of positive youth development programs. </w:t>
      </w:r>
      <w:r w:rsidRPr="00993816">
        <w:rPr>
          <w:rFonts w:asciiTheme="majorHAnsi" w:eastAsia="Times New Roman" w:hAnsiTheme="majorHAnsi" w:cs="Arial"/>
          <w:i/>
          <w:lang w:eastAsia="en-CA"/>
        </w:rPr>
        <w:t xml:space="preserve">Prevention and Treatment, </w:t>
      </w:r>
      <w:r w:rsidRPr="00993816">
        <w:rPr>
          <w:rFonts w:asciiTheme="majorHAnsi" w:eastAsia="Times New Roman" w:hAnsiTheme="majorHAnsi" w:cs="Times New Roman"/>
          <w:i/>
          <w:lang w:eastAsia="en-CA"/>
        </w:rPr>
        <w:t>5</w:t>
      </w:r>
      <w:r w:rsidRPr="00993816">
        <w:rPr>
          <w:rFonts w:asciiTheme="majorHAnsi" w:eastAsia="Times New Roman" w:hAnsiTheme="majorHAnsi" w:cs="Times New Roman"/>
          <w:lang w:eastAsia="en-CA"/>
        </w:rPr>
        <w:t xml:space="preserve"> (15)</w:t>
      </w:r>
      <w:r>
        <w:rPr>
          <w:rFonts w:asciiTheme="majorHAnsi" w:eastAsia="Times New Roman" w:hAnsiTheme="majorHAnsi" w:cs="Times New Roman"/>
          <w:lang w:eastAsia="en-CA"/>
        </w:rPr>
        <w:t>, 1-111</w:t>
      </w:r>
      <w:r w:rsidRPr="00993816">
        <w:rPr>
          <w:rFonts w:asciiTheme="majorHAnsi" w:eastAsia="Times New Roman" w:hAnsiTheme="majorHAnsi" w:cs="Times New Roman"/>
          <w:lang w:eastAsia="en-CA"/>
        </w:rPr>
        <w:t>.</w:t>
      </w:r>
    </w:p>
    <w:p w14:paraId="60C396F9" w14:textId="77777777" w:rsidR="00B47A33" w:rsidRDefault="00966DCE">
      <w:pPr>
        <w:spacing w:line="480" w:lineRule="auto"/>
        <w:ind w:left="360" w:hanging="720"/>
      </w:pPr>
      <w:r>
        <w:t xml:space="preserve">Catalano, R., Berglund, M., Ryan, J., Lonczak, H. &amp; Hawkins, J. (2004). Positive youth development in the United States: Research findings on evaluations of positive youth development programs. </w:t>
      </w:r>
      <w:r w:rsidRPr="00993816">
        <w:rPr>
          <w:i/>
        </w:rPr>
        <w:t>The Annals of the American Academy of Political and Social Science, 591</w:t>
      </w:r>
      <w:r>
        <w:t xml:space="preserve">(1), 98-124. doi: 10.1177/0002716203260102 </w:t>
      </w:r>
    </w:p>
    <w:p w14:paraId="4A83AE97" w14:textId="77777777" w:rsidR="00B47A33" w:rsidRDefault="00966DCE">
      <w:pPr>
        <w:spacing w:line="480" w:lineRule="auto"/>
        <w:ind w:left="360" w:hanging="720"/>
      </w:pPr>
      <w:r>
        <w:t xml:space="preserve">Corner, A., Roberts, O., Chiari, S., Völler, S., Mayrhuber, E. S., Mandl, S., &amp; Monson, K. (2015). How do young people engage with climate change? The role of knowledge, values, message framing, and trusted communicators. </w:t>
      </w:r>
      <w:r>
        <w:rPr>
          <w:i/>
        </w:rPr>
        <w:t>Wiley Interdisciplinary Reviews: Climate Change</w:t>
      </w:r>
      <w:r>
        <w:t xml:space="preserve">, </w:t>
      </w:r>
      <w:r>
        <w:rPr>
          <w:i/>
        </w:rPr>
        <w:t>6</w:t>
      </w:r>
      <w:r>
        <w:t>(5), 523-534.</w:t>
      </w:r>
    </w:p>
    <w:p w14:paraId="38CDB26B" w14:textId="77777777" w:rsidR="00B47A33" w:rsidRDefault="00966DCE">
      <w:pPr>
        <w:spacing w:line="480" w:lineRule="auto"/>
        <w:ind w:left="360" w:hanging="720"/>
      </w:pPr>
      <w:r>
        <w:t xml:space="preserve">Davis, J. (2014). Towards a Further Understanding of What Indigenous People Have Always Known: Storytelling as the Basis of Good Pedagogy. </w:t>
      </w:r>
      <w:r>
        <w:rPr>
          <w:i/>
        </w:rPr>
        <w:t>First Nations Perspectives: The Journal of the Manitoba First Nations Education Resource Centre Inc. 6</w:t>
      </w:r>
      <w:r>
        <w:t>(1), p. 83-96.</w:t>
      </w:r>
    </w:p>
    <w:p w14:paraId="46428B5D" w14:textId="77777777" w:rsidR="00B47A33" w:rsidRDefault="00966DCE">
      <w:pPr>
        <w:spacing w:line="480" w:lineRule="auto"/>
        <w:ind w:left="360" w:hanging="720"/>
      </w:pPr>
      <w:r>
        <w:t>DeGraaf, D., &amp; Glover, J. (2003). Long-Term Impacts of Working at an Organized Camp for Seasonal Staff. Journal of Park &amp; Recreation Administration, 21(1).</w:t>
      </w:r>
    </w:p>
    <w:p w14:paraId="01E9361F" w14:textId="77777777" w:rsidR="00B47A33" w:rsidRDefault="00966DCE">
      <w:pPr>
        <w:spacing w:line="480" w:lineRule="auto"/>
        <w:ind w:left="360" w:hanging="720"/>
      </w:pPr>
      <w:r>
        <w:lastRenderedPageBreak/>
        <w:t>Dell, C. A., Seguin, M., Hopkins, C., Tempier, R., Mehl-Madrona, L., Dell, D., ... &amp; Mosier, K. (2011). From benzos to berries: treatment offered at an Aboriginal youth solvent abuse treatment centre relays the importance of culture. The Canadian Journal of Psychiatry, 56(2), 75-83.</w:t>
      </w:r>
    </w:p>
    <w:p w14:paraId="6ACDF3BD" w14:textId="77777777" w:rsidR="00B47A33" w:rsidRDefault="00966DCE">
      <w:pPr>
        <w:spacing w:line="480" w:lineRule="auto"/>
        <w:ind w:left="360" w:hanging="720"/>
      </w:pPr>
      <w:r>
        <w:t xml:space="preserve">Eyler, J. (2009). The power of experiential education. </w:t>
      </w:r>
      <w:r>
        <w:rPr>
          <w:i/>
        </w:rPr>
        <w:t>Liberal Education</w:t>
      </w:r>
      <w:r>
        <w:t xml:space="preserve">, </w:t>
      </w:r>
      <w:r>
        <w:rPr>
          <w:i/>
        </w:rPr>
        <w:t>95</w:t>
      </w:r>
      <w:r>
        <w:t>(4), 24-31.</w:t>
      </w:r>
    </w:p>
    <w:p w14:paraId="7A0C8781" w14:textId="77777777" w:rsidR="00B47A33" w:rsidRDefault="00966DCE">
      <w:pPr>
        <w:spacing w:line="480" w:lineRule="auto"/>
        <w:ind w:left="360" w:hanging="720"/>
      </w:pPr>
      <w:r>
        <w:t xml:space="preserve">Ferrari, T. M., &amp; McNeely, N. N. (2007). Positive youth development: What's camp counseling got to do with it? Findings from a study of Ohio 4-H camp counselors. </w:t>
      </w:r>
      <w:r>
        <w:rPr>
          <w:i/>
        </w:rPr>
        <w:t>Journal of extension</w:t>
      </w:r>
      <w:r>
        <w:t>.</w:t>
      </w:r>
    </w:p>
    <w:p w14:paraId="0E46856D" w14:textId="3B408D49" w:rsidR="00B47A33" w:rsidRDefault="00966DCE">
      <w:pPr>
        <w:spacing w:line="480" w:lineRule="auto"/>
        <w:ind w:left="360" w:hanging="720"/>
      </w:pPr>
      <w:r>
        <w:t xml:space="preserve"> Garst, B. A. &amp; Johnson, J. (2005). Adolescent leadership skill development through residential 4-H camp counseling. Journal of Extension, 43(5), 1-6. </w:t>
      </w:r>
    </w:p>
    <w:p w14:paraId="4279696F" w14:textId="77777777" w:rsidR="00B47A33" w:rsidRDefault="00966DCE">
      <w:pPr>
        <w:spacing w:line="480" w:lineRule="auto"/>
        <w:ind w:left="360" w:hanging="720"/>
      </w:pPr>
      <w:r>
        <w:t>Gass, M. A., Gillis, L., &amp; Russell, K. C. (2012). Adventure therapy: Theory, research, and practice. Routledge.</w:t>
      </w:r>
    </w:p>
    <w:p w14:paraId="46CEA210" w14:textId="77777777" w:rsidR="00B47A33" w:rsidRDefault="00966DCE">
      <w:pPr>
        <w:spacing w:line="480" w:lineRule="auto"/>
        <w:ind w:left="360" w:hanging="720"/>
      </w:pPr>
      <w:r>
        <w:t>Gaudet, J. C. (2016). An Indigenous Methodology for Coming to Know Milo Pimatisiwin as Land-Based Initiatives for Indigenous Youth (Doctoral dissertation, Université d'Ottawa/University of Ottawa).</w:t>
      </w:r>
    </w:p>
    <w:p w14:paraId="002C1862" w14:textId="77777777" w:rsidR="00B47A33" w:rsidRDefault="00966DCE">
      <w:pPr>
        <w:spacing w:line="480" w:lineRule="auto"/>
        <w:ind w:left="360" w:hanging="720"/>
      </w:pPr>
      <w:r>
        <w:t>Gray, C., Gibbons, R., Larouche, R., Sandseter, E. B. H., Bienenstock, A., Brussoni, M., ... &amp; Power, M. (2015). What is the relationship between outdoor time and physical activity, sedentary behaviour, and physical fitness in children? A systematic review. International journal of environmental research and public health, 12(6), 6455-6474.</w:t>
      </w:r>
    </w:p>
    <w:p w14:paraId="36B00F8A" w14:textId="77777777" w:rsidR="00B47A33" w:rsidRDefault="00966DCE">
      <w:pPr>
        <w:spacing w:line="480" w:lineRule="auto"/>
        <w:ind w:left="360" w:hanging="720"/>
      </w:pPr>
      <w:r>
        <w:t xml:space="preserve">Green, M. C. (2004). Storytelling in teaching. </w:t>
      </w:r>
      <w:r>
        <w:rPr>
          <w:i/>
        </w:rPr>
        <w:t>The Association for Psychological Science Observer</w:t>
      </w:r>
      <w:r>
        <w:t xml:space="preserve">, </w:t>
      </w:r>
      <w:r>
        <w:rPr>
          <w:i/>
        </w:rPr>
        <w:t>17</w:t>
      </w:r>
      <w:r>
        <w:t>(4), 37-39.</w:t>
      </w:r>
    </w:p>
    <w:p w14:paraId="1B50F3DC" w14:textId="77777777" w:rsidR="00B47A33" w:rsidRDefault="00966DCE">
      <w:pPr>
        <w:spacing w:line="480" w:lineRule="auto"/>
        <w:ind w:left="360" w:hanging="720"/>
      </w:pPr>
      <w:r>
        <w:t>Halsall, T., 2016. Evaluation of a sports-based positive youth development program for First Nations youth: Experiences of community, growth and youth engagement (Doctoral dissertation, Université d'Ottawa/University of Ottawa).</w:t>
      </w:r>
    </w:p>
    <w:p w14:paraId="0BA7EECE" w14:textId="77777777" w:rsidR="00B47A33" w:rsidRDefault="00966DCE">
      <w:pPr>
        <w:spacing w:line="480" w:lineRule="auto"/>
        <w:ind w:left="360" w:hanging="720"/>
      </w:pPr>
      <w:r>
        <w:t>Halsall, T. &amp; Forneris, T. (2016a). Challenges and strategies for success of a Sport-for-Development programme for First Nations, Métis and Inuit youth. Journal of Sport for Development, 4(7), 39-57.</w:t>
      </w:r>
    </w:p>
    <w:p w14:paraId="44810AEF" w14:textId="77777777" w:rsidR="00B47A33" w:rsidRDefault="00966DCE">
      <w:pPr>
        <w:spacing w:line="480" w:lineRule="auto"/>
        <w:ind w:left="360" w:hanging="720"/>
      </w:pPr>
      <w:r>
        <w:lastRenderedPageBreak/>
        <w:t>Halsall, T. &amp; Forneris, T. (2016b). Evaluation of a Leadership Program for First Nation, Métis and Inuit Youth: Stories of Positive Youth Development and Community Engagement. Applied Developmental Science, 1-14.</w:t>
      </w:r>
    </w:p>
    <w:p w14:paraId="258D5236" w14:textId="77777777" w:rsidR="00B47A33" w:rsidRDefault="00966DCE">
      <w:pPr>
        <w:spacing w:line="480" w:lineRule="auto"/>
        <w:ind w:left="360" w:hanging="720"/>
      </w:pPr>
      <w:r>
        <w:t>Halsall, T. &amp; Forneris, T. (2016c). Behind the Scenes of Youth-led Community Events: A Participatory Evaluation Approach Using Photovoice in a Canadian First Nation Community. Youth Engagement in Health Promotion, 1(2), 1-40.</w:t>
      </w:r>
    </w:p>
    <w:p w14:paraId="39979DDC" w14:textId="77777777" w:rsidR="00B47A33" w:rsidRDefault="00966DCE">
      <w:pPr>
        <w:spacing w:line="480" w:lineRule="auto"/>
        <w:ind w:left="360" w:hanging="720"/>
      </w:pPr>
      <w:r>
        <w:t>Halsall, T., Kendellen, K., Bean, C., &amp; Forneris, T. (2016). Processes that facilitate positive youth development through residential camp: Understanding the importance of leader characteristics for developing supportive relationships and strategies for youth engagement. Journal of Park and Recreation Administration, 34(4), 20-35.</w:t>
      </w:r>
    </w:p>
    <w:p w14:paraId="088FDC43" w14:textId="77777777" w:rsidR="00B47A33" w:rsidRDefault="00966DCE">
      <w:pPr>
        <w:spacing w:line="480" w:lineRule="auto"/>
        <w:ind w:left="360" w:hanging="720"/>
      </w:pPr>
      <w:r>
        <w:t>Harada, M., Fujino, T., Oorui, T., Nakachi, S., Nou, T., Kizaki, T., ... &amp; Ohno, H. (2005). Follow-up Study of Mercury Pollution in Indigenous Tribe Reservations in Province of Ontario, Canada, 1975-2002, Bulletin of Environmental Contamination and Toxicology, 74(4), 689-697.</w:t>
      </w:r>
    </w:p>
    <w:p w14:paraId="67468CCA" w14:textId="77777777" w:rsidR="00B47A33" w:rsidRDefault="00966DCE">
      <w:pPr>
        <w:spacing w:line="480" w:lineRule="auto"/>
        <w:ind w:left="360" w:hanging="720"/>
      </w:pPr>
      <w:r>
        <w:t xml:space="preserve">Henderson, K. A., Bialeschki, M. D., Scanlin, M. M., Thurber, C., Whitaker, L. S., &amp; Marsh, P. E. (2007). Components of camp experiences for positive youth development. Journal of Youth Development, 1(3), 1-12. </w:t>
      </w:r>
    </w:p>
    <w:p w14:paraId="053B3048" w14:textId="77777777" w:rsidR="00B47A33" w:rsidRDefault="00966DCE">
      <w:pPr>
        <w:spacing w:line="480" w:lineRule="auto"/>
        <w:ind w:left="360" w:hanging="720"/>
      </w:pPr>
      <w:r>
        <w:t xml:space="preserve">Jagemann, H. (2004). Sports and the environment: ways towards achieving the sustainable development of sport. </w:t>
      </w:r>
      <w:r>
        <w:rPr>
          <w:i/>
        </w:rPr>
        <w:t>The Sport Journal</w:t>
      </w:r>
      <w:r>
        <w:t xml:space="preserve">, </w:t>
      </w:r>
      <w:r>
        <w:rPr>
          <w:i/>
        </w:rPr>
        <w:t>7</w:t>
      </w:r>
      <w:r>
        <w:t>(1).</w:t>
      </w:r>
    </w:p>
    <w:p w14:paraId="4AB7E9A9" w14:textId="77777777" w:rsidR="00B47A33" w:rsidRDefault="00966DCE">
      <w:pPr>
        <w:spacing w:line="480" w:lineRule="auto"/>
        <w:ind w:left="360" w:hanging="720"/>
      </w:pPr>
      <w:r>
        <w:t xml:space="preserve"> Jin, L., Zhang, J. J., Ma, X., &amp; Connaughton, D. P. (2011). Residents' perceptions of environmental impacts of the 2008 Beijing Green Olympic Games. </w:t>
      </w:r>
      <w:r>
        <w:rPr>
          <w:i/>
        </w:rPr>
        <w:t>European Sport Management Quarterly</w:t>
      </w:r>
      <w:r>
        <w:t xml:space="preserve">, </w:t>
      </w:r>
      <w:r>
        <w:rPr>
          <w:i/>
        </w:rPr>
        <w:t>11</w:t>
      </w:r>
      <w:r>
        <w:t>(3), 275-300.</w:t>
      </w:r>
    </w:p>
    <w:p w14:paraId="0C8BD862" w14:textId="77777777" w:rsidR="00B47A33" w:rsidRDefault="00966DCE">
      <w:pPr>
        <w:spacing w:line="480" w:lineRule="auto"/>
        <w:ind w:left="360" w:hanging="720"/>
      </w:pPr>
      <w:r>
        <w:t xml:space="preserve"> Keniger, L. E., Gaston, K. J., Irvine, K. N., &amp; Fuller, R. A. (2013). What are the benefits of interacting with nature? International journal of environmental research and public health, 10(3), 913-935.</w:t>
      </w:r>
    </w:p>
    <w:p w14:paraId="6BF8CEDD" w14:textId="77777777" w:rsidR="00B47A33" w:rsidRDefault="00966DCE">
      <w:pPr>
        <w:spacing w:line="480" w:lineRule="auto"/>
        <w:ind w:left="360" w:hanging="720"/>
      </w:pPr>
      <w:r>
        <w:t xml:space="preserve">Kidd, B. (2008). A new social movement: Sport for development and peace. </w:t>
      </w:r>
      <w:r>
        <w:rPr>
          <w:i/>
        </w:rPr>
        <w:t>Sport in society</w:t>
      </w:r>
      <w:r>
        <w:t xml:space="preserve">, </w:t>
      </w:r>
      <w:r>
        <w:rPr>
          <w:i/>
        </w:rPr>
        <w:t>11</w:t>
      </w:r>
      <w:r>
        <w:t>(4), 370-380.</w:t>
      </w:r>
    </w:p>
    <w:p w14:paraId="4324D505" w14:textId="77777777" w:rsidR="00B47A33" w:rsidRDefault="00966DCE">
      <w:pPr>
        <w:spacing w:line="480" w:lineRule="auto"/>
        <w:ind w:left="360" w:hanging="720"/>
      </w:pPr>
      <w:r>
        <w:lastRenderedPageBreak/>
        <w:t>Kirmayer, L. J., Tait, C. L., &amp; Simpson, C. (2009). The mental health of aboriginal peoples in Canada: Transformations of identity and community. In L. J. Kirmayer, &amp; G. G. Valaskis (Eds.), Healing traditions: The mental health of aboriginal peoples in Canada (pp. 3-35). Vancouver, BC: UBC Press.</w:t>
      </w:r>
    </w:p>
    <w:p w14:paraId="770CE779" w14:textId="77777777" w:rsidR="00B47A33" w:rsidRDefault="00966DCE">
      <w:pPr>
        <w:spacing w:line="480" w:lineRule="auto"/>
        <w:ind w:left="360" w:hanging="720"/>
      </w:pPr>
      <w:r>
        <w:t xml:space="preserve">Lawrence, R. L., &amp; Paige, D. S. (2016). What our ancestors knew: Teaching and learning through storytelling. </w:t>
      </w:r>
      <w:r>
        <w:rPr>
          <w:i/>
        </w:rPr>
        <w:t>New Directions for Adult and Continuing Education</w:t>
      </w:r>
      <w:r>
        <w:t xml:space="preserve">, </w:t>
      </w:r>
      <w:r>
        <w:rPr>
          <w:i/>
        </w:rPr>
        <w:t>2016</w:t>
      </w:r>
      <w:r>
        <w:t>(149), 63-72.</w:t>
      </w:r>
    </w:p>
    <w:p w14:paraId="4518F1CF" w14:textId="77777777" w:rsidR="00B47A33" w:rsidRDefault="00966DCE">
      <w:pPr>
        <w:spacing w:line="480" w:lineRule="auto"/>
        <w:ind w:left="360" w:hanging="720"/>
      </w:pPr>
      <w:r>
        <w:t>Lavallée, L., &amp; Lévesque, L. (2012). Two-eyed seeing: Physical activity, sport, and recreation promotion in Indigenous communities. In J. Forsyth &amp; A. R. Giles (Eds.),</w:t>
      </w:r>
      <w:r>
        <w:rPr>
          <w:i/>
        </w:rPr>
        <w:t xml:space="preserve"> Aboriginal peoples &amp; sport in Canada </w:t>
      </w:r>
      <w:r>
        <w:t>(pp. 206-228). Vancouver: UBC.</w:t>
      </w:r>
    </w:p>
    <w:p w14:paraId="796EECB6" w14:textId="11841519" w:rsidR="00B47A33" w:rsidRDefault="00966DCE">
      <w:pPr>
        <w:spacing w:line="480" w:lineRule="auto"/>
        <w:ind w:left="360" w:hanging="720"/>
      </w:pPr>
      <w:r>
        <w:t xml:space="preserve"> Lerner, R. M., Lerner, J. V., Almerigi, J. B., Theokas, C., Phelps, E., Gestsdottir, S., ... &amp; Smith, L. M. (2005). Positive youth development, participation in community youth development programs, and community contributions of fifth-grade adolescents: Findings from the first wave of the 4-H study of positive youth development. </w:t>
      </w:r>
      <w:r>
        <w:rPr>
          <w:i/>
        </w:rPr>
        <w:t>The Journal of Early Adolescence</w:t>
      </w:r>
      <w:r>
        <w:t xml:space="preserve">, </w:t>
      </w:r>
      <w:r>
        <w:rPr>
          <w:i/>
        </w:rPr>
        <w:t>25</w:t>
      </w:r>
      <w:r>
        <w:t>(1), 17-71.</w:t>
      </w:r>
    </w:p>
    <w:p w14:paraId="2F7BFF2D" w14:textId="77777777" w:rsidR="00B47A33" w:rsidRDefault="00966DCE">
      <w:pPr>
        <w:spacing w:line="480" w:lineRule="auto"/>
        <w:ind w:left="360" w:hanging="720"/>
      </w:pPr>
      <w:r>
        <w:t xml:space="preserve"> Lerner, R. M., Lerner, J. V., Almerigi, J., Theokas, C., Phelps, E., Naudeau, S., . . . von Eye, A. (2006). Toward a new vision and vocabulary about adolescence: Theoretical, empirical, and applied bases of a "positive youth development" perspective. In L. Balter &amp; C. Tamis-Lemonda, (Eds.), Child psychology: A handbook of contemporary issues (pp. 445-469). New York: Taylor and Francis Group. </w:t>
      </w:r>
    </w:p>
    <w:p w14:paraId="42F91AF8" w14:textId="77777777" w:rsidR="00B47A33" w:rsidRDefault="00966DCE">
      <w:pPr>
        <w:spacing w:line="480" w:lineRule="auto"/>
        <w:ind w:left="360" w:hanging="720"/>
      </w:pPr>
      <w:r>
        <w:t xml:space="preserve">Louv, R. (2009). Do our kids have nature-deficit disorder. Educational Leadership, 67(4), 24-30. </w:t>
      </w:r>
    </w:p>
    <w:p w14:paraId="698C69B8" w14:textId="77777777" w:rsidR="00B47A33" w:rsidRDefault="00966DCE">
      <w:pPr>
        <w:spacing w:line="480" w:lineRule="auto"/>
        <w:ind w:left="360" w:hanging="720"/>
      </w:pPr>
      <w:r>
        <w:t xml:space="preserve"> MacEachren, Z. (2013). “The Canadian Forest School movement.” Learning Landscapes, 17(1), 219-. Available at: </w:t>
      </w:r>
      <w:hyperlink r:id="rId6">
        <w:r>
          <w:rPr>
            <w:color w:val="0000FF"/>
            <w:u w:val="single"/>
          </w:rPr>
          <w:t>http://www.learninglandscapes.ca/images/documents/ll-no13/maseachren.pdf</w:t>
        </w:r>
      </w:hyperlink>
    </w:p>
    <w:p w14:paraId="4AC09893" w14:textId="77777777" w:rsidR="00B47A33" w:rsidRDefault="00966DCE">
      <w:pPr>
        <w:spacing w:line="480" w:lineRule="auto"/>
        <w:ind w:left="360" w:hanging="720"/>
      </w:pPr>
      <w:r>
        <w:t xml:space="preserve">Mallen, C., &amp; Chard, C. (2012). “What could be” in Canadian sport facility environmental sustainability. </w:t>
      </w:r>
      <w:r>
        <w:rPr>
          <w:i/>
        </w:rPr>
        <w:t>Sport Management Review</w:t>
      </w:r>
      <w:r>
        <w:t xml:space="preserve">, </w:t>
      </w:r>
      <w:r>
        <w:rPr>
          <w:i/>
        </w:rPr>
        <w:t>15</w:t>
      </w:r>
      <w:r>
        <w:t>(2), 230-243.</w:t>
      </w:r>
    </w:p>
    <w:p w14:paraId="70743037" w14:textId="6FF0BD43" w:rsidR="00B47A33" w:rsidRDefault="00966DCE">
      <w:pPr>
        <w:spacing w:line="480" w:lineRule="auto"/>
        <w:ind w:left="360" w:hanging="720"/>
      </w:pPr>
      <w:r>
        <w:t xml:space="preserve">Mygind, E. (2007). A comparison between children's physical activity levels at school and learning in an outdoor environment. Journal of Adventure Education &amp; Outdoor Learning, 7(2), 161-176. </w:t>
      </w:r>
    </w:p>
    <w:p w14:paraId="346A9EAC" w14:textId="77777777" w:rsidR="00B47A33" w:rsidRDefault="00966DCE">
      <w:pPr>
        <w:spacing w:line="480" w:lineRule="auto"/>
        <w:ind w:left="360" w:hanging="720"/>
      </w:pPr>
      <w:r>
        <w:lastRenderedPageBreak/>
        <w:t xml:space="preserve">Paraschak, V. (2013). Hope and Strength(s) Through Physical Activity for Canada’s Aboriginal Peoples. In C. Hallinan &amp; B. Judd, (Eds.), </w:t>
      </w:r>
      <w:r>
        <w:rPr>
          <w:i/>
        </w:rPr>
        <w:t>Native Games: Indigenous Peoples and Sports in the Post-Colonial World</w:t>
      </w:r>
      <w:r>
        <w:t xml:space="preserve"> (pp. 229-246). Emerald Group Publishing Limited.</w:t>
      </w:r>
    </w:p>
    <w:p w14:paraId="79560D83" w14:textId="77777777" w:rsidR="00B47A33" w:rsidRDefault="00966DCE">
      <w:pPr>
        <w:spacing w:line="480" w:lineRule="auto"/>
        <w:ind w:left="360" w:hanging="720"/>
      </w:pPr>
      <w:r>
        <w:t>ParticipACTION (2015). The biggest risk is keeping kids indoors: The 2015 ParticipACTION report card on physical activity for children and youth. Toronto, Canada: ParticipACTION.</w:t>
      </w:r>
    </w:p>
    <w:p w14:paraId="75516368" w14:textId="77777777" w:rsidR="00B47A33" w:rsidRDefault="00966DCE">
      <w:pPr>
        <w:spacing w:line="480" w:lineRule="auto"/>
        <w:ind w:left="360" w:hanging="720"/>
      </w:pPr>
      <w:r>
        <w:t xml:space="preserve">Patton, G. C., Sawyer, S. M., Santelli, J. S., Ross, D. A., Afifi, R., Allen, N. B., ... &amp; Kakuma, R. (2016). Our future: a Lancet commission on adolescent health and wellbeing. </w:t>
      </w:r>
      <w:r>
        <w:rPr>
          <w:i/>
        </w:rPr>
        <w:t>The Lancet</w:t>
      </w:r>
      <w:r>
        <w:t xml:space="preserve">, </w:t>
      </w:r>
      <w:r>
        <w:rPr>
          <w:i/>
        </w:rPr>
        <w:t>387</w:t>
      </w:r>
      <w:r>
        <w:t>(10036), 2423-2478.</w:t>
      </w:r>
    </w:p>
    <w:p w14:paraId="4E5F80B2" w14:textId="08CC9700" w:rsidR="00B47A33" w:rsidRDefault="00966DCE">
      <w:pPr>
        <w:spacing w:line="480" w:lineRule="auto"/>
        <w:ind w:left="360" w:hanging="720"/>
      </w:pPr>
      <w:r>
        <w:t>Perry, C. K., Ackert, E., Sallis, J. F., Glanz, K., &amp; Saelens, B. E. (2016). Places where children are active: A longitudinal examination of children's physical activity. Preventive Medicine, 93, 88-95.</w:t>
      </w:r>
    </w:p>
    <w:p w14:paraId="40D90681" w14:textId="77777777" w:rsidR="00B47A33" w:rsidRDefault="00966DCE">
      <w:pPr>
        <w:spacing w:line="480" w:lineRule="auto"/>
        <w:ind w:left="360" w:hanging="720"/>
      </w:pPr>
      <w:r>
        <w:t xml:space="preserve">Pittman, K. (2001). Balancing the equation: Communities supporting youth, youth supporting communities. Community Youth Development Journal, 1(1), 19-24. </w:t>
      </w:r>
    </w:p>
    <w:p w14:paraId="60DB5489" w14:textId="77777777" w:rsidR="00B47A33" w:rsidRDefault="00966DCE">
      <w:pPr>
        <w:spacing w:line="480" w:lineRule="auto"/>
        <w:ind w:left="360" w:hanging="720"/>
      </w:pPr>
      <w:r>
        <w:t xml:space="preserve">Pittman, K., Irby, M., Tolman, J., Yohalem, N., &amp; Ferber, T. (2003). Preventing Problems, Promoting Development Encouraging Engagement: Competing Priorities or Inseparable Goals?. Based upon Pittman, K. &amp; Irby, M. (1996). Preventing Problems or Promoting Development? Washington, DC: The Forum for Youth Investment, Impact Strategies, Inc. Available online at </w:t>
      </w:r>
      <w:hyperlink r:id="rId7">
        <w:r>
          <w:rPr>
            <w:color w:val="0000FF"/>
            <w:u w:val="single"/>
          </w:rPr>
          <w:t>www.forumfyi.org</w:t>
        </w:r>
      </w:hyperlink>
      <w:r>
        <w:t xml:space="preserve">. </w:t>
      </w:r>
    </w:p>
    <w:p w14:paraId="5946E528" w14:textId="77777777" w:rsidR="00B47A33" w:rsidRDefault="00966DCE">
      <w:pPr>
        <w:spacing w:line="480" w:lineRule="auto"/>
        <w:ind w:left="360" w:hanging="720"/>
      </w:pPr>
      <w:r>
        <w:t xml:space="preserve">Phillips, L. (2013). Storytelling as pedagogy. </w:t>
      </w:r>
      <w:r>
        <w:rPr>
          <w:i/>
        </w:rPr>
        <w:t>Literacy Learning: The Middle Years</w:t>
      </w:r>
      <w:r>
        <w:t xml:space="preserve">, </w:t>
      </w:r>
      <w:r>
        <w:rPr>
          <w:i/>
        </w:rPr>
        <w:t>21</w:t>
      </w:r>
      <w:r>
        <w:t>(2), ii-iv.</w:t>
      </w:r>
    </w:p>
    <w:p w14:paraId="0FD2241F" w14:textId="77777777" w:rsidR="00B47A33" w:rsidRDefault="00966DCE">
      <w:pPr>
        <w:spacing w:line="480" w:lineRule="auto"/>
        <w:ind w:left="360" w:hanging="720"/>
      </w:pPr>
      <w:r>
        <w:t xml:space="preserve">Reis, G., Ng-A-Fook, N., &amp; Glithero, L. (2015). Provoking EcoJustice—Taking Citizen Science and Youth Activism Beyond the School Curriculum. In EcoJustice, Citizen Science and Youth Activism (pp. 39-61). Springer International Publishing </w:t>
      </w:r>
    </w:p>
    <w:p w14:paraId="0BC08505" w14:textId="77777777" w:rsidR="00B47A33" w:rsidRDefault="00966DCE">
      <w:pPr>
        <w:spacing w:line="480" w:lineRule="auto"/>
        <w:ind w:left="360" w:hanging="720"/>
      </w:pPr>
      <w:r>
        <w:t>Ridgers, N. D., Knowles, Z. R., &amp; Sayers, J. (2012). Encouraging play in the natural environment: A child-focused case study of Forest School. Children's geographies, 10(1), 49-6</w:t>
      </w:r>
    </w:p>
    <w:p w14:paraId="73BBB66D" w14:textId="77777777" w:rsidR="00B47A33" w:rsidRDefault="00966DCE">
      <w:pPr>
        <w:spacing w:line="480" w:lineRule="auto"/>
        <w:ind w:left="360" w:hanging="720"/>
      </w:pPr>
      <w:r>
        <w:t xml:space="preserve">Ritchie, S. D., Patrick, K., Corbould, G. M., Harper, N. J., &amp; Oddson, B. E. (2016). An Environmental Scan of Adventure Therapy in Canada. </w:t>
      </w:r>
      <w:r>
        <w:rPr>
          <w:i/>
        </w:rPr>
        <w:t>Journal of Experiential Education</w:t>
      </w:r>
      <w:r>
        <w:t xml:space="preserve">, </w:t>
      </w:r>
      <w:r>
        <w:rPr>
          <w:i/>
        </w:rPr>
        <w:t>39</w:t>
      </w:r>
      <w:r>
        <w:t>(3), 303-320.</w:t>
      </w:r>
    </w:p>
    <w:p w14:paraId="03527AD9" w14:textId="77777777" w:rsidR="00B47A33" w:rsidRDefault="00966DCE">
      <w:pPr>
        <w:spacing w:line="480" w:lineRule="auto"/>
        <w:ind w:left="360" w:hanging="720"/>
      </w:pPr>
      <w:r>
        <w:lastRenderedPageBreak/>
        <w:t xml:space="preserve">Ritchie, S. D., Wabano, M., Russell, K., Enosse, L. &amp; Young, N. L., (2014). Promoting resilience and wellbeing through an outdoor intervention designed for Aboriginal adolescents. Rural and remote health, 14(2523), 1-19. </w:t>
      </w:r>
    </w:p>
    <w:p w14:paraId="0E3F8511" w14:textId="77777777" w:rsidR="00B47A33" w:rsidRDefault="00966DCE">
      <w:pPr>
        <w:spacing w:line="480" w:lineRule="auto"/>
        <w:ind w:left="360" w:hanging="720"/>
      </w:pPr>
      <w:r>
        <w:t>Roth, J., Brooks-Gunn, J., Murray, L. &amp; Foster, W. (1998). Promoting healthy adolescents: Synthesis of youth development program evaluations. Journal of Research on Adolescence, 8(4), 423-459.</w:t>
      </w:r>
    </w:p>
    <w:p w14:paraId="35E0936D" w14:textId="77777777" w:rsidR="00B47A33" w:rsidRDefault="00966DCE">
      <w:pPr>
        <w:spacing w:line="480" w:lineRule="auto"/>
        <w:ind w:left="360" w:hanging="720"/>
      </w:pPr>
      <w:r>
        <w:t xml:space="preserve">Sallis, J. F., Cervero, R. B., Ascher, W., Henderson, K. A., Kraft, M. K., &amp; Kerr, J. (2006). An ecological approach to creating active living communities. </w:t>
      </w:r>
      <w:r>
        <w:rPr>
          <w:i/>
        </w:rPr>
        <w:t>Annu. Rev. Public Health</w:t>
      </w:r>
      <w:r>
        <w:t xml:space="preserve">, </w:t>
      </w:r>
      <w:r>
        <w:rPr>
          <w:i/>
        </w:rPr>
        <w:t>27</w:t>
      </w:r>
      <w:r>
        <w:t>, 297–322.</w:t>
      </w:r>
    </w:p>
    <w:p w14:paraId="03849A90" w14:textId="77777777" w:rsidR="00B47A33" w:rsidRDefault="00966DCE">
      <w:pPr>
        <w:spacing w:line="480" w:lineRule="auto"/>
        <w:ind w:left="360" w:hanging="720"/>
      </w:pPr>
      <w:r>
        <w:t>Sarkar, A., Hanrahan, M., &amp; Hudson, A. (2015). Water insecurity in Canadian Indigenous communities: Some inconvenient truths. Rural and remote health, 15(3354), 1-14.</w:t>
      </w:r>
    </w:p>
    <w:p w14:paraId="112A3140" w14:textId="77777777" w:rsidR="00B47A33" w:rsidRDefault="00966DCE">
      <w:pPr>
        <w:spacing w:line="480" w:lineRule="auto"/>
        <w:ind w:left="360" w:hanging="720"/>
      </w:pPr>
      <w:r>
        <w:t xml:space="preserve">Sayal, R., Bidisha, S. H., Lynes, J., Riemer, M., Jasani, J., Monteiro, E., ... &amp; Eady, A. (2016). Fostering systems thinking for Youth Leading Environmental Change: A multinational exploration. </w:t>
      </w:r>
      <w:r>
        <w:rPr>
          <w:i/>
        </w:rPr>
        <w:t>Ecopsychology</w:t>
      </w:r>
      <w:r>
        <w:t xml:space="preserve">, </w:t>
      </w:r>
      <w:r>
        <w:rPr>
          <w:i/>
        </w:rPr>
        <w:t>8</w:t>
      </w:r>
      <w:r>
        <w:t>(3), 188-201.</w:t>
      </w:r>
    </w:p>
    <w:p w14:paraId="1AB01ACD" w14:textId="77777777" w:rsidR="00B47A33" w:rsidRDefault="00966DCE">
      <w:pPr>
        <w:spacing w:line="480" w:lineRule="auto"/>
        <w:ind w:left="360" w:hanging="720"/>
      </w:pPr>
      <w:r>
        <w:t xml:space="preserve"> Slade, M., Lowery, C., &amp; Bland, K. (2013). Evaluating the impact of forest Schools: A collaboration between a university and a primary school. Support for Learning, 28(2), 66-72.</w:t>
      </w:r>
    </w:p>
    <w:p w14:paraId="7100E6F0" w14:textId="77777777" w:rsidR="00B47A33" w:rsidRDefault="00966DCE">
      <w:pPr>
        <w:spacing w:line="480" w:lineRule="auto"/>
        <w:ind w:left="360" w:hanging="720"/>
      </w:pPr>
      <w:r>
        <w:t>Thompson Coon, J., Boddy, K., Stein, K., Whear, R., Barton, J., &amp; Depledge, M. H. (2011). Does participating in physical activity in outdoor natural environments have a greater effect on physical and mental wellbeing than physical activity indoors? A systematic review. Environmental science &amp; technology, 45(5), 1761-1772.</w:t>
      </w:r>
    </w:p>
    <w:p w14:paraId="4AA8756E" w14:textId="77777777" w:rsidR="00B47A33" w:rsidRDefault="00966DCE">
      <w:pPr>
        <w:spacing w:line="480" w:lineRule="auto"/>
        <w:ind w:left="360" w:hanging="720"/>
      </w:pPr>
      <w:r>
        <w:t xml:space="preserve">Thurber, C. A., Scanlin, M. M., Scheuler, L., &amp; Henderson, K. A. (2007). Youth development outcomes of the camp experience: Evidence for multidimensional growth. Journal of Youth and Adolescence, 36(3), 241-254. </w:t>
      </w:r>
    </w:p>
    <w:p w14:paraId="3BADDAB2" w14:textId="77777777" w:rsidR="00B47A33" w:rsidRDefault="00966DCE">
      <w:pPr>
        <w:spacing w:line="480" w:lineRule="auto"/>
        <w:ind w:left="360" w:hanging="720"/>
      </w:pPr>
      <w:r>
        <w:t>United Nations (2015). Transforming our world: The 2030 agenda for sustainable development. United Nations. Retrieved on April 11, 2018 from: https://sustainabledevelopment.un.org/post2015/transformingourworld/publication</w:t>
      </w:r>
    </w:p>
    <w:p w14:paraId="17ABC16C" w14:textId="77777777" w:rsidR="00B47A33" w:rsidRDefault="00966DCE">
      <w:pPr>
        <w:spacing w:line="480" w:lineRule="auto"/>
        <w:ind w:left="360" w:hanging="720"/>
      </w:pPr>
      <w:r>
        <w:lastRenderedPageBreak/>
        <w:t xml:space="preserve">United Nations Office on Sport for Development and Peace (2017). Sport and the sustainable development goals: An overview outlining the contribution of sport to the SDGs. United Nations Office on Spirt for Development and Peace. Retrieved on January 23, 2018 from: </w:t>
      </w:r>
      <w:hyperlink r:id="rId8">
        <w:r>
          <w:rPr>
            <w:color w:val="0000FF"/>
            <w:u w:val="single"/>
          </w:rPr>
          <w:t>https://www.un.org/sport/sites/www.un.org.sport/files/ckfiles/files/Sport_for_SDGs_finalversion9.pdf</w:t>
        </w:r>
      </w:hyperlink>
      <w:r>
        <w:t>.</w:t>
      </w:r>
    </w:p>
    <w:p w14:paraId="33280F25" w14:textId="77777777" w:rsidR="00B47A33" w:rsidRDefault="00966DCE">
      <w:pPr>
        <w:spacing w:line="480" w:lineRule="auto"/>
        <w:ind w:left="360" w:hanging="720"/>
      </w:pPr>
      <w:r>
        <w:t>Williams, D. R., &amp; Dixon, P. S. (2013). Impact of garden-based learning on academic outcomes in schools: Synthesis of research between 1990 and 2010. Review of Educational Research, 83(2), 211-235.</w:t>
      </w:r>
    </w:p>
    <w:p w14:paraId="22D9E026" w14:textId="77777777" w:rsidR="00B47A33" w:rsidRDefault="00966DCE">
      <w:pPr>
        <w:spacing w:line="480" w:lineRule="auto"/>
        <w:ind w:left="360" w:hanging="720"/>
      </w:pPr>
      <w:r>
        <w:t>Willox, A. C., Harper, S. L., Ford, J. D., Edge, V. L., Landman, K., Houle, K., ... &amp; Wolfrey, C. (2013). Climate change and mental health: an exploratory case study from Rigolet, Nunatsiavut, Canada. Climatic Change, 121(2), 255-270.</w:t>
      </w:r>
    </w:p>
    <w:p w14:paraId="24C53648" w14:textId="77777777" w:rsidR="00DA26A4" w:rsidRDefault="00DA26A4">
      <w:pPr>
        <w:spacing w:line="480" w:lineRule="auto"/>
        <w:ind w:left="360" w:hanging="720"/>
      </w:pPr>
    </w:p>
    <w:sectPr w:rsidR="00DA26A4">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999316" w14:textId="77777777" w:rsidR="002420EA" w:rsidRDefault="002420EA" w:rsidP="0013707E">
      <w:r>
        <w:separator/>
      </w:r>
    </w:p>
  </w:endnote>
  <w:endnote w:type="continuationSeparator" w:id="0">
    <w:p w14:paraId="077BDD65" w14:textId="77777777" w:rsidR="002420EA" w:rsidRDefault="002420EA" w:rsidP="001370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D73A3" w14:textId="77777777" w:rsidR="0013707E" w:rsidRDefault="001370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A78E2" w14:textId="77777777" w:rsidR="0013707E" w:rsidRDefault="0013707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83D2A5" w14:textId="77777777" w:rsidR="0013707E" w:rsidRDefault="001370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ADA716" w14:textId="77777777" w:rsidR="002420EA" w:rsidRDefault="002420EA" w:rsidP="0013707E">
      <w:r>
        <w:separator/>
      </w:r>
    </w:p>
  </w:footnote>
  <w:footnote w:type="continuationSeparator" w:id="0">
    <w:p w14:paraId="7B023575" w14:textId="77777777" w:rsidR="002420EA" w:rsidRDefault="002420EA" w:rsidP="001370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9E577D" w14:textId="37994EFE" w:rsidR="0013707E" w:rsidRDefault="0013707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7FAA4E" w14:textId="0F78370D" w:rsidR="0013707E" w:rsidRDefault="0013707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E479DF" w14:textId="09DE7E20" w:rsidR="0013707E" w:rsidRDefault="0013707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B47A33"/>
    <w:rsid w:val="0013707E"/>
    <w:rsid w:val="00186995"/>
    <w:rsid w:val="002420EA"/>
    <w:rsid w:val="003A541D"/>
    <w:rsid w:val="003A6BE2"/>
    <w:rsid w:val="003E6C53"/>
    <w:rsid w:val="00432217"/>
    <w:rsid w:val="0045685F"/>
    <w:rsid w:val="00481FFC"/>
    <w:rsid w:val="0048776F"/>
    <w:rsid w:val="00487F76"/>
    <w:rsid w:val="004F60C1"/>
    <w:rsid w:val="005124D3"/>
    <w:rsid w:val="006218E9"/>
    <w:rsid w:val="006B3310"/>
    <w:rsid w:val="00727C50"/>
    <w:rsid w:val="007B06C6"/>
    <w:rsid w:val="008164A9"/>
    <w:rsid w:val="00966DCE"/>
    <w:rsid w:val="00993816"/>
    <w:rsid w:val="009E596E"/>
    <w:rsid w:val="00A26EB3"/>
    <w:rsid w:val="00A31149"/>
    <w:rsid w:val="00A80992"/>
    <w:rsid w:val="00AC4E93"/>
    <w:rsid w:val="00AE603C"/>
    <w:rsid w:val="00AF512D"/>
    <w:rsid w:val="00B3345D"/>
    <w:rsid w:val="00B47A33"/>
    <w:rsid w:val="00B7510D"/>
    <w:rsid w:val="00B96348"/>
    <w:rsid w:val="00BE0144"/>
    <w:rsid w:val="00C85694"/>
    <w:rsid w:val="00D3089A"/>
    <w:rsid w:val="00D341A3"/>
    <w:rsid w:val="00D4750B"/>
    <w:rsid w:val="00DA26A4"/>
    <w:rsid w:val="00E75F7F"/>
    <w:rsid w:val="00EF55D2"/>
    <w:rsid w:val="00F1044B"/>
    <w:rsid w:val="00F93F30"/>
    <w:rsid w:val="00FC4FA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708812"/>
  <w15:docId w15:val="{23107D44-8E7A-4031-82DA-5D0AC6860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line="480" w:lineRule="auto"/>
      <w:jc w:val="center"/>
      <w:outlineLvl w:val="0"/>
    </w:pPr>
    <w:rPr>
      <w:b/>
    </w:rPr>
  </w:style>
  <w:style w:type="paragraph" w:styleId="Heading2">
    <w:name w:val="heading 2"/>
    <w:basedOn w:val="Normal"/>
    <w:next w:val="Normal"/>
    <w:pPr>
      <w:keepNext/>
      <w:keepLines/>
      <w:outlineLvl w:val="1"/>
    </w:pPr>
    <w:rPr>
      <w:rFonts w:ascii="Cambria" w:eastAsia="Cambria" w:hAnsi="Cambria" w:cs="Cambria"/>
      <w:b/>
      <w:color w:val="4F81BD"/>
      <w:sz w:val="26"/>
      <w:szCs w:val="26"/>
    </w:rPr>
  </w:style>
  <w:style w:type="paragraph" w:styleId="Heading3">
    <w:name w:val="heading 3"/>
    <w:basedOn w:val="Normal"/>
    <w:next w:val="Normal"/>
    <w:pPr>
      <w:keepNext/>
      <w:keepLines/>
      <w:spacing w:before="40"/>
      <w:outlineLvl w:val="2"/>
    </w:pPr>
    <w:rPr>
      <w:rFonts w:ascii="Cambria" w:eastAsia="Cambria" w:hAnsi="Cambria" w:cs="Cambria"/>
      <w:color w:val="243F61"/>
      <w:sz w:val="24"/>
      <w:szCs w:val="24"/>
    </w:rPr>
  </w:style>
  <w:style w:type="paragraph" w:styleId="Heading4">
    <w:name w:val="heading 4"/>
    <w:basedOn w:val="Normal"/>
    <w:next w:val="Normal"/>
    <w:pPr>
      <w:keepNext/>
      <w:keepLines/>
      <w:spacing w:line="480" w:lineRule="auto"/>
      <w:outlineLvl w:val="3"/>
    </w:pPr>
    <w:rPr>
      <w:rFonts w:ascii="Cambria" w:eastAsia="Cambria" w:hAnsi="Cambria" w:cs="Cambria"/>
      <w:i/>
      <w:color w:val="366091"/>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66DC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66DCE"/>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D3089A"/>
    <w:rPr>
      <w:b/>
      <w:bCs/>
    </w:rPr>
  </w:style>
  <w:style w:type="character" w:customStyle="1" w:styleId="CommentSubjectChar">
    <w:name w:val="Comment Subject Char"/>
    <w:basedOn w:val="CommentTextChar"/>
    <w:link w:val="CommentSubject"/>
    <w:uiPriority w:val="99"/>
    <w:semiHidden/>
    <w:rsid w:val="00D3089A"/>
    <w:rPr>
      <w:b/>
      <w:bCs/>
      <w:sz w:val="20"/>
      <w:szCs w:val="20"/>
    </w:rPr>
  </w:style>
  <w:style w:type="paragraph" w:styleId="Bibliography">
    <w:name w:val="Bibliography"/>
    <w:basedOn w:val="Normal"/>
    <w:next w:val="Normal"/>
    <w:uiPriority w:val="37"/>
    <w:semiHidden/>
    <w:unhideWhenUsed/>
    <w:rsid w:val="00DA26A4"/>
  </w:style>
  <w:style w:type="paragraph" w:styleId="Header">
    <w:name w:val="header"/>
    <w:basedOn w:val="Normal"/>
    <w:link w:val="HeaderChar"/>
    <w:uiPriority w:val="99"/>
    <w:unhideWhenUsed/>
    <w:rsid w:val="0013707E"/>
    <w:pPr>
      <w:tabs>
        <w:tab w:val="center" w:pos="4680"/>
        <w:tab w:val="right" w:pos="9360"/>
      </w:tabs>
    </w:pPr>
  </w:style>
  <w:style w:type="character" w:customStyle="1" w:styleId="HeaderChar">
    <w:name w:val="Header Char"/>
    <w:basedOn w:val="DefaultParagraphFont"/>
    <w:link w:val="Header"/>
    <w:uiPriority w:val="99"/>
    <w:rsid w:val="0013707E"/>
  </w:style>
  <w:style w:type="paragraph" w:styleId="Footer">
    <w:name w:val="footer"/>
    <w:basedOn w:val="Normal"/>
    <w:link w:val="FooterChar"/>
    <w:uiPriority w:val="99"/>
    <w:unhideWhenUsed/>
    <w:rsid w:val="0013707E"/>
    <w:pPr>
      <w:tabs>
        <w:tab w:val="center" w:pos="4680"/>
        <w:tab w:val="right" w:pos="9360"/>
      </w:tabs>
    </w:pPr>
  </w:style>
  <w:style w:type="character" w:customStyle="1" w:styleId="FooterChar">
    <w:name w:val="Footer Char"/>
    <w:basedOn w:val="DefaultParagraphFont"/>
    <w:link w:val="Footer"/>
    <w:uiPriority w:val="99"/>
    <w:rsid w:val="001370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739180">
      <w:bodyDiv w:val="1"/>
      <w:marLeft w:val="0"/>
      <w:marRight w:val="0"/>
      <w:marTop w:val="0"/>
      <w:marBottom w:val="0"/>
      <w:divBdr>
        <w:top w:val="none" w:sz="0" w:space="0" w:color="auto"/>
        <w:left w:val="none" w:sz="0" w:space="0" w:color="auto"/>
        <w:bottom w:val="none" w:sz="0" w:space="0" w:color="auto"/>
        <w:right w:val="none" w:sz="0" w:space="0" w:color="auto"/>
      </w:divBdr>
      <w:divsChild>
        <w:div w:id="164516737">
          <w:marLeft w:val="0"/>
          <w:marRight w:val="0"/>
          <w:marTop w:val="0"/>
          <w:marBottom w:val="0"/>
          <w:divBdr>
            <w:top w:val="none" w:sz="0" w:space="0" w:color="auto"/>
            <w:left w:val="none" w:sz="0" w:space="0" w:color="auto"/>
            <w:bottom w:val="none" w:sz="0" w:space="0" w:color="auto"/>
            <w:right w:val="none" w:sz="0" w:space="0" w:color="auto"/>
          </w:divBdr>
        </w:div>
        <w:div w:id="738525555">
          <w:marLeft w:val="0"/>
          <w:marRight w:val="0"/>
          <w:marTop w:val="0"/>
          <w:marBottom w:val="0"/>
          <w:divBdr>
            <w:top w:val="none" w:sz="0" w:space="0" w:color="auto"/>
            <w:left w:val="none" w:sz="0" w:space="0" w:color="auto"/>
            <w:bottom w:val="none" w:sz="0" w:space="0" w:color="auto"/>
            <w:right w:val="none" w:sz="0" w:space="0" w:color="auto"/>
          </w:divBdr>
        </w:div>
        <w:div w:id="238516188">
          <w:marLeft w:val="0"/>
          <w:marRight w:val="0"/>
          <w:marTop w:val="0"/>
          <w:marBottom w:val="0"/>
          <w:divBdr>
            <w:top w:val="none" w:sz="0" w:space="0" w:color="auto"/>
            <w:left w:val="none" w:sz="0" w:space="0" w:color="auto"/>
            <w:bottom w:val="none" w:sz="0" w:space="0" w:color="auto"/>
            <w:right w:val="none" w:sz="0" w:space="0" w:color="auto"/>
          </w:divBdr>
        </w:div>
        <w:div w:id="1597472227">
          <w:marLeft w:val="0"/>
          <w:marRight w:val="0"/>
          <w:marTop w:val="0"/>
          <w:marBottom w:val="0"/>
          <w:divBdr>
            <w:top w:val="none" w:sz="0" w:space="0" w:color="auto"/>
            <w:left w:val="none" w:sz="0" w:space="0" w:color="auto"/>
            <w:bottom w:val="none" w:sz="0" w:space="0" w:color="auto"/>
            <w:right w:val="none" w:sz="0" w:space="0" w:color="auto"/>
          </w:divBdr>
        </w:div>
        <w:div w:id="293415454">
          <w:marLeft w:val="0"/>
          <w:marRight w:val="0"/>
          <w:marTop w:val="0"/>
          <w:marBottom w:val="0"/>
          <w:divBdr>
            <w:top w:val="none" w:sz="0" w:space="0" w:color="auto"/>
            <w:left w:val="none" w:sz="0" w:space="0" w:color="auto"/>
            <w:bottom w:val="none" w:sz="0" w:space="0" w:color="auto"/>
            <w:right w:val="none" w:sz="0" w:space="0" w:color="auto"/>
          </w:divBdr>
        </w:div>
        <w:div w:id="1470169351">
          <w:marLeft w:val="0"/>
          <w:marRight w:val="0"/>
          <w:marTop w:val="0"/>
          <w:marBottom w:val="0"/>
          <w:divBdr>
            <w:top w:val="none" w:sz="0" w:space="0" w:color="auto"/>
            <w:left w:val="none" w:sz="0" w:space="0" w:color="auto"/>
            <w:bottom w:val="none" w:sz="0" w:space="0" w:color="auto"/>
            <w:right w:val="none" w:sz="0" w:space="0" w:color="auto"/>
          </w:divBdr>
        </w:div>
        <w:div w:id="159844127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n.org/sport/sites/www.un.org.sport/files/ckfiles/files/Sport_for_SDGs_finalversion9.pdf" TargetMode="External"/><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hyperlink" Target="http://www.forumfyi.org" TargetMode="External"/><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learninglandscapes.ca/images/documents/ll-no13/maseachren.pdf" TargetMode="External"/><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21</Pages>
  <Words>6528</Words>
  <Characters>37216</Characters>
  <Application>Microsoft Office Word</Application>
  <DocSecurity>0</DocSecurity>
  <Lines>310</Lines>
  <Paragraphs>87</Paragraphs>
  <ScaleCrop>false</ScaleCrop>
  <HeadingPairs>
    <vt:vector size="2" baseType="variant">
      <vt:variant>
        <vt:lpstr>Title</vt:lpstr>
      </vt:variant>
      <vt:variant>
        <vt:i4>1</vt:i4>
      </vt:variant>
    </vt:vector>
  </HeadingPairs>
  <TitlesOfParts>
    <vt:vector size="1" baseType="lpstr">
      <vt:lpstr/>
    </vt:vector>
  </TitlesOfParts>
  <Company>Royal Ottawa Health Care Group</Company>
  <LinksUpToDate>false</LinksUpToDate>
  <CharactersWithSpaces>43657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 Halsall</dc:creator>
  <cp:lastModifiedBy>tanya.halsall@theroyal.ca</cp:lastModifiedBy>
  <cp:revision>3</cp:revision>
  <cp:lastPrinted>2019-01-28T17:40:00Z</cp:lastPrinted>
  <dcterms:created xsi:type="dcterms:W3CDTF">2019-01-28T17:41:00Z</dcterms:created>
  <dcterms:modified xsi:type="dcterms:W3CDTF">2021-08-23T12:04:00Z</dcterms:modified>
</cp:coreProperties>
</file>