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E7861A6" w14:textId="77777777" w:rsidR="00BA12AE" w:rsidRDefault="00BA12AE" w:rsidP="00BA12AE">
      <w:pPr>
        <w:spacing w:line="480" w:lineRule="auto"/>
        <w:jc w:val="center"/>
      </w:pPr>
    </w:p>
    <w:p w14:paraId="0F35F927" w14:textId="77777777" w:rsidR="00BA12AE" w:rsidRDefault="00BA12AE" w:rsidP="00BA12AE">
      <w:pPr>
        <w:spacing w:line="480" w:lineRule="auto"/>
        <w:jc w:val="center"/>
      </w:pPr>
    </w:p>
    <w:p w14:paraId="44F591E1" w14:textId="77777777" w:rsidR="00BA12AE" w:rsidRDefault="00BA12AE" w:rsidP="00BA12AE">
      <w:pPr>
        <w:spacing w:line="480" w:lineRule="auto"/>
        <w:jc w:val="center"/>
      </w:pPr>
    </w:p>
    <w:p w14:paraId="02337F2D" w14:textId="77777777" w:rsidR="00BA12AE" w:rsidRDefault="00BA12AE" w:rsidP="00BA12AE">
      <w:pPr>
        <w:spacing w:line="480" w:lineRule="auto"/>
        <w:jc w:val="center"/>
      </w:pPr>
    </w:p>
    <w:p w14:paraId="564DBC24" w14:textId="4BACA249" w:rsidR="00BA12AE" w:rsidRDefault="00BA12AE" w:rsidP="00BA12AE">
      <w:pPr>
        <w:spacing w:line="480" w:lineRule="auto"/>
        <w:jc w:val="center"/>
      </w:pPr>
    </w:p>
    <w:p w14:paraId="38DAA1F6" w14:textId="77777777" w:rsidR="008A70AB" w:rsidRDefault="008A70AB" w:rsidP="00BA12AE">
      <w:pPr>
        <w:spacing w:line="480" w:lineRule="auto"/>
        <w:jc w:val="center"/>
      </w:pPr>
    </w:p>
    <w:p w14:paraId="13B8ADED" w14:textId="77777777" w:rsidR="00BA12AE" w:rsidRDefault="00BA12AE" w:rsidP="00BA12AE">
      <w:pPr>
        <w:spacing w:line="480" w:lineRule="auto"/>
        <w:jc w:val="center"/>
      </w:pPr>
    </w:p>
    <w:p w14:paraId="0D0D8C1C" w14:textId="77777777" w:rsidR="00BA12AE" w:rsidRDefault="00BA12AE" w:rsidP="00BA12AE">
      <w:pPr>
        <w:spacing w:line="480" w:lineRule="auto"/>
        <w:jc w:val="center"/>
      </w:pPr>
    </w:p>
    <w:p w14:paraId="6704F540" w14:textId="5BC4BECD" w:rsidR="00BA12AE" w:rsidRPr="00185FBA" w:rsidRDefault="00BA12AE" w:rsidP="00BA12AE">
      <w:pPr>
        <w:spacing w:line="480" w:lineRule="auto"/>
        <w:jc w:val="center"/>
      </w:pPr>
      <w:r w:rsidRPr="00185FBA">
        <w:t>Bleeding the Patriarchy: An Intersectional and Human Rights Approach to Menstruation</w:t>
      </w:r>
    </w:p>
    <w:p w14:paraId="4441875F" w14:textId="77777777" w:rsidR="00BA12AE" w:rsidRPr="00185FBA" w:rsidRDefault="00BA12AE" w:rsidP="00BA12AE">
      <w:pPr>
        <w:spacing w:line="480" w:lineRule="auto"/>
        <w:ind w:left="2880" w:firstLine="720"/>
      </w:pPr>
      <w:r w:rsidRPr="00185FBA">
        <w:t>Major Research Paper</w:t>
      </w:r>
    </w:p>
    <w:p w14:paraId="20F3204E" w14:textId="77777777" w:rsidR="00BA12AE" w:rsidRPr="00185FBA" w:rsidRDefault="00BA12AE" w:rsidP="00BA12AE">
      <w:pPr>
        <w:spacing w:line="480" w:lineRule="auto"/>
        <w:jc w:val="center"/>
      </w:pPr>
      <w:r w:rsidRPr="00185FBA">
        <w:t>International Development and Globalization</w:t>
      </w:r>
      <w:r>
        <w:t xml:space="preserve"> with a specialization in Gender Studies</w:t>
      </w:r>
    </w:p>
    <w:p w14:paraId="2A2B0D2E" w14:textId="77777777" w:rsidR="00BA12AE" w:rsidRPr="00185FBA" w:rsidRDefault="00BA12AE" w:rsidP="00BA12AE">
      <w:pPr>
        <w:spacing w:line="480" w:lineRule="auto"/>
        <w:jc w:val="center"/>
      </w:pPr>
      <w:r w:rsidRPr="00185FBA">
        <w:t xml:space="preserve">Lindsey </w:t>
      </w:r>
      <w:proofErr w:type="spellStart"/>
      <w:r w:rsidRPr="00185FBA">
        <w:t>Hollemeyer</w:t>
      </w:r>
      <w:proofErr w:type="spellEnd"/>
    </w:p>
    <w:p w14:paraId="50A56411" w14:textId="77777777" w:rsidR="00BA12AE" w:rsidRPr="00185FBA" w:rsidRDefault="00BA12AE" w:rsidP="00BA12AE">
      <w:pPr>
        <w:spacing w:line="480" w:lineRule="auto"/>
        <w:jc w:val="center"/>
      </w:pPr>
      <w:r w:rsidRPr="00185FBA">
        <w:t>300136416</w:t>
      </w:r>
    </w:p>
    <w:p w14:paraId="73FCCF84" w14:textId="509713B4" w:rsidR="00BA12AE" w:rsidRDefault="00BA12AE" w:rsidP="00BA12AE">
      <w:pPr>
        <w:spacing w:line="480" w:lineRule="auto"/>
        <w:jc w:val="center"/>
      </w:pPr>
      <w:r w:rsidRPr="00185FBA">
        <w:t xml:space="preserve">Supervisor: Kathryn </w:t>
      </w:r>
      <w:proofErr w:type="spellStart"/>
      <w:r w:rsidRPr="00185FBA">
        <w:t>Trevene</w:t>
      </w:r>
      <w:r w:rsidR="00C63D94">
        <w:t>n</w:t>
      </w:r>
      <w:proofErr w:type="spellEnd"/>
    </w:p>
    <w:p w14:paraId="333DE753" w14:textId="77777777" w:rsidR="00BA12AE" w:rsidRDefault="00BA12AE" w:rsidP="00BA12AE"/>
    <w:p w14:paraId="7C8EA3BE" w14:textId="77777777" w:rsidR="00BA12AE" w:rsidRDefault="00BA12AE" w:rsidP="00BA12AE"/>
    <w:p w14:paraId="59600828" w14:textId="77777777" w:rsidR="00BA12AE" w:rsidRDefault="00BA12AE" w:rsidP="00BA12AE"/>
    <w:p w14:paraId="49D2D158" w14:textId="77777777" w:rsidR="00BA12AE" w:rsidRDefault="00BA12AE" w:rsidP="00BA12AE"/>
    <w:p w14:paraId="5AFB12AC" w14:textId="77777777" w:rsidR="00BA12AE" w:rsidRDefault="00BA12AE" w:rsidP="00BA12AE"/>
    <w:p w14:paraId="6E3B1916" w14:textId="77777777" w:rsidR="00BA12AE" w:rsidRDefault="00BA12AE" w:rsidP="00BA12AE"/>
    <w:p w14:paraId="3090C7FF" w14:textId="77777777" w:rsidR="00BA12AE" w:rsidRDefault="00BA12AE" w:rsidP="00BA12AE"/>
    <w:p w14:paraId="0F27630C" w14:textId="77777777" w:rsidR="00BA12AE" w:rsidRDefault="00BA12AE" w:rsidP="00BA12AE"/>
    <w:p w14:paraId="6D93BE4F" w14:textId="77777777" w:rsidR="00BA12AE" w:rsidRDefault="00BA12AE" w:rsidP="00BA12AE"/>
    <w:p w14:paraId="7DE10276" w14:textId="77777777" w:rsidR="00BA12AE" w:rsidRDefault="00BA12AE" w:rsidP="00BA12AE"/>
    <w:p w14:paraId="71DB7152" w14:textId="77777777" w:rsidR="00BA12AE" w:rsidRDefault="00BA12AE" w:rsidP="00BA12AE"/>
    <w:p w14:paraId="68535E3A" w14:textId="77777777" w:rsidR="00BA12AE" w:rsidRDefault="00BA12AE" w:rsidP="00BA12AE"/>
    <w:p w14:paraId="3E8A3319" w14:textId="77777777" w:rsidR="00BA12AE" w:rsidRDefault="00BA12AE" w:rsidP="00BA12AE"/>
    <w:p w14:paraId="162CCFB1" w14:textId="77777777" w:rsidR="00BA12AE" w:rsidRDefault="00BA12AE" w:rsidP="00BA12AE"/>
    <w:p w14:paraId="3E17CF78" w14:textId="77777777" w:rsidR="00BA12AE" w:rsidRDefault="00BA12AE" w:rsidP="00BA12AE"/>
    <w:p w14:paraId="4CC14F86" w14:textId="77777777" w:rsidR="00BA12AE" w:rsidRDefault="00BA12AE" w:rsidP="00BA12AE"/>
    <w:p w14:paraId="46B8CF26" w14:textId="77777777" w:rsidR="00BA12AE" w:rsidRDefault="00BA12AE" w:rsidP="00BA12AE"/>
    <w:p w14:paraId="1D48D0E5" w14:textId="77777777" w:rsidR="00BA12AE" w:rsidRDefault="00BA12AE" w:rsidP="00BA12AE"/>
    <w:p w14:paraId="6A37201F" w14:textId="77777777" w:rsidR="00BA12AE" w:rsidRDefault="00BA12AE" w:rsidP="00BA12AE"/>
    <w:p w14:paraId="3ECCCC23" w14:textId="77777777" w:rsidR="00BA12AE" w:rsidRDefault="00BA12AE" w:rsidP="00BA12AE">
      <w:pPr>
        <w:spacing w:line="480" w:lineRule="auto"/>
      </w:pPr>
    </w:p>
    <w:p w14:paraId="73793D65" w14:textId="00AE6E5E" w:rsidR="00F53219" w:rsidRPr="00BA12AE" w:rsidRDefault="00F53219" w:rsidP="00BA12AE">
      <w:pPr>
        <w:spacing w:line="480" w:lineRule="auto"/>
      </w:pPr>
      <w:r w:rsidRPr="003B1AC1">
        <w:rPr>
          <w:b/>
          <w:bCs/>
        </w:rPr>
        <w:t>Introduction</w:t>
      </w:r>
    </w:p>
    <w:p w14:paraId="0D355065" w14:textId="77777777" w:rsidR="00F53219" w:rsidRPr="003B1AC1" w:rsidRDefault="00F53219" w:rsidP="00BA12AE">
      <w:pPr>
        <w:spacing w:line="480" w:lineRule="auto"/>
        <w:ind w:firstLine="720"/>
      </w:pPr>
      <w:r w:rsidRPr="003B1AC1">
        <w:t>Menstruation is one facet of sexual and reproductive health and rights that has been overlooked in much scholarship and activism in the field. As I will argue in this study, sexual and reproductive health is more than abortion, sexual education and contraception, it includes the management, representation and conceptualization of menstruation. Menstruation, also known as a period, is the regular discharge of blood and mucosal tissue (known as menses) from the inner lining of the uterus through the vagina</w:t>
      </w:r>
      <w:r w:rsidRPr="003B1AC1">
        <w:rPr>
          <w:rStyle w:val="FootnoteReference"/>
        </w:rPr>
        <w:footnoteReference w:id="1"/>
      </w:r>
      <w:r w:rsidRPr="003B1AC1">
        <w:t>. Globally, on any given day, more than 800 million people will menstruate (</w:t>
      </w:r>
      <w:proofErr w:type="spellStart"/>
      <w:r w:rsidRPr="003B1AC1">
        <w:t>Capatides</w:t>
      </w:r>
      <w:proofErr w:type="spellEnd"/>
      <w:r w:rsidRPr="003B1AC1">
        <w:t xml:space="preserve">, 2019). The first period usually begins between twelve and fifteen years of age, a point in time known as menarche, and a period usually lasts between two to seven days (Plan International Canada, 2019). Experiences of menstruation can vary significantly from person to person, and are shaped by genetic, environmental, or cultural factors (Newton, 2016). Due to variation, it is difficult to assess an ‘average experience’ of menstruation. However, a menstruating person will have roughly 450 periods in their lifetime; spending 2,535 days, or seven full years of their life menstruating (Crawford, 2019). Consuming such a significant portion of a menstruator’s lifespan, menstruating should be a protected and supported activity since it can have a large impact on quality of life. </w:t>
      </w:r>
    </w:p>
    <w:p w14:paraId="1B36774B" w14:textId="2433D64D" w:rsidR="0021000A" w:rsidRPr="003B1AC1" w:rsidRDefault="00F53219" w:rsidP="00F53219">
      <w:pPr>
        <w:spacing w:line="480" w:lineRule="auto"/>
        <w:ind w:firstLine="720"/>
      </w:pPr>
      <w:r w:rsidRPr="004B6753">
        <w:t>This study argues that further scholarship on menstrual health is imperative, and that issues of period poverty and menstrual stigma seriously affect menstruating people’s lives.</w:t>
      </w:r>
      <w:r w:rsidRPr="003B1AC1">
        <w:t xml:space="preserve"> This </w:t>
      </w:r>
      <w:r w:rsidRPr="003B1AC1">
        <w:lastRenderedPageBreak/>
        <w:t>paper seeks to offer a preliminary answer to several questions. 1. Is period poverty (as it has been termed in activist and organizational contexts) simply an issue about access to products and sufficient financial resources? 2. Is an intersectional human rights framework an appropriate theoretical framework to address and unpack period poverty and menstrual stigma? 3. How is the Global North affected by and involved in the period poverty conversation, a conversation that most often focusses on the Global South? 4. Finally, does looking at menstrual health, stigma and period poverty through an intersectional lens reveal new policy options and ideas?</w:t>
      </w:r>
    </w:p>
    <w:p w14:paraId="7F13E5FB" w14:textId="126C63D7" w:rsidR="00F53219" w:rsidRPr="003B1AC1" w:rsidRDefault="00F53219" w:rsidP="004B6753">
      <w:pPr>
        <w:spacing w:line="480" w:lineRule="auto"/>
        <w:ind w:firstLine="720"/>
      </w:pPr>
      <w:r w:rsidRPr="003B1AC1">
        <w:t xml:space="preserve">I offer preliminary answers to these questions through a review and analysis of existing scholarship, where I found that in the majority of instances when sexual health and reproductive rights were discussed, menstruation was overlooked. I then argue that we </w:t>
      </w:r>
      <w:r w:rsidR="00FB4D3B">
        <w:t xml:space="preserve">need to </w:t>
      </w:r>
      <w:r w:rsidRPr="003B1AC1">
        <w:t xml:space="preserve">understand menstruation and tackle period poverty </w:t>
      </w:r>
      <w:proofErr w:type="spellStart"/>
      <w:r w:rsidRPr="003B1AC1">
        <w:t>intersectionally</w:t>
      </w:r>
      <w:proofErr w:type="spellEnd"/>
      <w:r w:rsidRPr="003B1AC1">
        <w:t xml:space="preserve"> through a rights-based approach as I believe menstrual health is a multi-dimensional issue overlapping with numerous human rights ideals. I agree that a menstruator’s ability to access period products is important, but it does not cut to the root of the problem. Even if all economic barriers were eliminated, menstrual stigma would continue. </w:t>
      </w:r>
      <w:r w:rsidRPr="004B6753">
        <w:t>I assert that to reach menstrual equity, we must confront the stigmatization, power relations, and policing of women’s bodies that characterize patriarchal societies.</w:t>
      </w:r>
      <w:r w:rsidRPr="003B1AC1">
        <w:t xml:space="preserve"> Moreover, a significant amount of data and discourse is focused on period poverty throughout the Global South; creating a narrative that period poverty is only a concern “over there”. However, I want to highlight that similar experiences of period poverty and menstrual stigma are endured by menstruators in the Global North as well.  </w:t>
      </w:r>
    </w:p>
    <w:p w14:paraId="396AD521" w14:textId="3B66B1FC" w:rsidR="00F53219" w:rsidRPr="003B1AC1" w:rsidRDefault="00F53219" w:rsidP="00F53219">
      <w:pPr>
        <w:spacing w:line="480" w:lineRule="auto"/>
        <w:ind w:firstLine="720"/>
      </w:pPr>
      <w:r w:rsidRPr="003B1AC1">
        <w:t xml:space="preserve">My paper will begin with an introduction to the issue of period poverty and menstrual stigma and their prevalence around the world. I then outline the methodology I use to approach my research questions. I use a Feminist Critical Discourse Analysis to read the primary and </w:t>
      </w:r>
      <w:r w:rsidRPr="003B1AC1">
        <w:lastRenderedPageBreak/>
        <w:t xml:space="preserve">secondary sources relevant to this issue and I then explore the intersectional framework I use to understand how many systems of power and privilege affect menstruators and their experiences. </w:t>
      </w:r>
      <w:r w:rsidRPr="004B6753">
        <w:t>I utilize three different facets of intersectionality - structural, representational, and political – to depict how a menstruator’s identity and positionality affect how she and those around her understand menstruation and navigating the stigmatization of menstruating bodies.</w:t>
      </w:r>
      <w:r w:rsidRPr="003B1AC1">
        <w:t xml:space="preserve"> In the next section, I discuss my two theoretical lenses, human rights theory and critical race theory. </w:t>
      </w:r>
      <w:r w:rsidRPr="004B6753">
        <w:t>Applying a rights-based approach is an effective theory to advocate for menstrual equity as it encompasses more than just product access; it shows us that menstruation covers many facets of our life and can impact women’s rights, capacities and opportunities.</w:t>
      </w:r>
      <w:r w:rsidRPr="003B1AC1">
        <w:t xml:space="preserve"> </w:t>
      </w:r>
      <w:r w:rsidRPr="004B6753">
        <w:t>Critical race theory highlights that gendered and raced norms and institutions take shape differently in diverse structural forms across the globe, but are ultimately based in white supremacy.</w:t>
      </w:r>
      <w:r w:rsidRPr="003B1AC1">
        <w:t xml:space="preserve"> In the second half of the paper, I apply these theoretical tools to the many examples and issues that menstrual equity encompass. I identify and expose menstrual stigmas in societal structures and link the taboos to hindering women’s realization of various human rights. Finally, I conclude with a discussion of the menstrual equity initiatives around the globe and focus on Canada’s contribution to the movement. </w:t>
      </w:r>
    </w:p>
    <w:p w14:paraId="527F3212" w14:textId="3DE272A4" w:rsidR="00F53219" w:rsidRPr="003B1AC1" w:rsidRDefault="00F53219" w:rsidP="00F53219">
      <w:pPr>
        <w:spacing w:line="480" w:lineRule="auto"/>
        <w:rPr>
          <w:b/>
        </w:rPr>
      </w:pPr>
      <w:r w:rsidRPr="003B1AC1">
        <w:rPr>
          <w:b/>
        </w:rPr>
        <w:t xml:space="preserve">Period Poverty and Menstrual Stigma: The Global Issue </w:t>
      </w:r>
    </w:p>
    <w:p w14:paraId="74B0C9A2" w14:textId="24EC33AE" w:rsidR="00F53219" w:rsidRPr="003B1AC1" w:rsidRDefault="00F53219" w:rsidP="00F53219">
      <w:pPr>
        <w:spacing w:line="480" w:lineRule="auto"/>
        <w:ind w:firstLine="720"/>
      </w:pPr>
      <w:r w:rsidRPr="003B1AC1">
        <w:t>Around the world, the onus is on women, girls and other menstruating people to purchase, stock, and keep their period products readily available. Despite this widespread need, period products are not cheap</w:t>
      </w:r>
      <w:r w:rsidRPr="004B6753">
        <w:rPr>
          <w:color w:val="000000" w:themeColor="text1"/>
        </w:rPr>
        <w:t xml:space="preserve">. </w:t>
      </w:r>
      <w:r w:rsidR="0021000A" w:rsidRPr="004B6753">
        <w:rPr>
          <w:color w:val="000000" w:themeColor="text1"/>
        </w:rPr>
        <w:t>In general, t</w:t>
      </w:r>
      <w:r w:rsidRPr="004B6753">
        <w:rPr>
          <w:color w:val="000000" w:themeColor="text1"/>
        </w:rPr>
        <w:t xml:space="preserve">o </w:t>
      </w:r>
      <w:r w:rsidRPr="003B1AC1">
        <w:t xml:space="preserve">cover the approximate 450 lifetime periods they have, many people are spending US$6,100 (Crawford, 2019) on menstrual products in their lifetime. That is an additional US$6,100 expense that menstruators are expected to cover, to address a natural, and biological process. The United Nations Fund for Population Activities </w:t>
      </w:r>
      <w:r w:rsidRPr="003B1AC1">
        <w:lastRenderedPageBreak/>
        <w:t xml:space="preserve">(UNFPA) describes ‘period poverty’ as the struggle many menstruators endure trying to afford menstrual products and the increased economic vulnerability they face due to the financial burden of acquiring menstrual supplies (2020). Period poverty is a global crisis. A minimum of 500 million menstruators experience period poverty every month (Randolph &amp; Singh, 2020). In Ethiopia, 75% of menstruators do not have access to adequate period products and 25% cannot afford to use any product during their period (Randolph &amp; Singh, 2020). Similarly, 65% of menstruators in Kenya are unable to purchase products (Choi, 2020). The high cost of menstrual products makes them unattainable for many users, despite their necessity. The inaccessibility to period products is not an issue solely associated with the Global South. Period poverty exists anywhere poverty exists, it does not know borders. A study conducted by Plan International (2019) noted that 34% of girls and women in Canada, a Global North country, could not afford to purchase menstrual products. To practice menstrual care means being forced to choose between purchasing period products, groceries, or medication. These realities amount to significant barriers affecting half the world’s population.  This issue is even more economically stark when we consider the widespread wage gaps that women, and women of colour in particular, face around the world.   </w:t>
      </w:r>
    </w:p>
    <w:p w14:paraId="3D3437AD" w14:textId="77777777" w:rsidR="00F53219" w:rsidRPr="003B1AC1" w:rsidRDefault="00F53219" w:rsidP="00F53219">
      <w:pPr>
        <w:spacing w:line="480" w:lineRule="auto"/>
        <w:ind w:firstLine="720"/>
      </w:pPr>
      <w:r w:rsidRPr="003B1AC1">
        <w:t xml:space="preserve">While it is important to explore the economic impacts of menstruation and period poverty, this study argues that we need to also explore underlying issues of menstrual stigma, sexism and body shaming that are pervasive within patriarchal culture. Combatting period poverty and reaching menstrual equity requires tackling the stigmas and taboos around menstruation, which often silence menstruators and leaves them uninformed about what to expect and how to manage their periods. Despite the ubiquity of menstruation, in many countries and institutions, it remains a rarely discussed topic, shrouded in secrecy, and it is taboo in many </w:t>
      </w:r>
      <w:r w:rsidRPr="003B1AC1">
        <w:lastRenderedPageBreak/>
        <w:t>parts of the world (</w:t>
      </w:r>
      <w:proofErr w:type="spellStart"/>
      <w:r w:rsidRPr="003B1AC1">
        <w:t>Zivi</w:t>
      </w:r>
      <w:proofErr w:type="spellEnd"/>
      <w:r w:rsidRPr="003B1AC1">
        <w:t xml:space="preserve">, 2020). When the general population often misunderstands the importance of menstruation and its associated cycle, myths and taboos circulate as common knowledge, leading to poor health and well-being for menstruators, particularly those occupying precarious and marginalized spaces. The stigma is rooted in patriarchal notions about the “unclean,” “abject” and “temperamental” nature of the female body. Making menstruators fear their own bodies is an extension of patriarchal control and policing. The impact of the stigma and embarrassment of menstruation can be devastating for a menstruator’s education, health and dignity (Plan International Canada, 2019). </w:t>
      </w:r>
    </w:p>
    <w:p w14:paraId="1748AA03" w14:textId="6551E8A8" w:rsidR="00F53219" w:rsidRPr="003B1AC1" w:rsidRDefault="00F53219" w:rsidP="00F53219">
      <w:pPr>
        <w:spacing w:line="480" w:lineRule="auto"/>
        <w:ind w:firstLine="720"/>
      </w:pPr>
      <w:r w:rsidRPr="004B6753">
        <w:t>Here I argue both that period poverty is a global, human rights issue, and that the fight against period poverty needs to be understood in broad terms</w:t>
      </w:r>
      <w:r w:rsidRPr="003B1AC1">
        <w:t>. Building on campaigns that highlight the economic impact of menstruation, I argue that “period poverty” must become an umbrella term that not only encompasses the lack of access to sanitary products, but also includes insufficient access to menstrual hygiene education, safe and hygienic hand washing facilities, waste management, and gender equality</w:t>
      </w:r>
      <w:r w:rsidR="00744FF2" w:rsidRPr="003B1AC1">
        <w:t>.</w:t>
      </w:r>
    </w:p>
    <w:p w14:paraId="59AEF77A" w14:textId="77777777" w:rsidR="00F53219" w:rsidRPr="003B1AC1" w:rsidRDefault="00F53219" w:rsidP="00F53219">
      <w:pPr>
        <w:spacing w:line="480" w:lineRule="auto"/>
        <w:ind w:firstLine="720"/>
      </w:pPr>
      <w:r w:rsidRPr="004B6753">
        <w:t>Framing period poverty as a human rights issue would help to create a bigger social movement to advocate for menstrual issues as a crucial part of sexual and reproductive health struggles.</w:t>
      </w:r>
      <w:r w:rsidRPr="003B1AC1">
        <w:t xml:space="preserve"> The focus on rights becomes a check on power and an assurance of autonomy (Wood, 2009). There is flexibility within the human rights discourse to frame problems in a way that is universal and creates legitimate demands (</w:t>
      </w:r>
      <w:proofErr w:type="spellStart"/>
      <w:r w:rsidRPr="003B1AC1">
        <w:t>Claeys</w:t>
      </w:r>
      <w:proofErr w:type="spellEnd"/>
      <w:r w:rsidRPr="003B1AC1">
        <w:t xml:space="preserve">, 2015). </w:t>
      </w:r>
      <w:r w:rsidRPr="004B6753">
        <w:t xml:space="preserve">Period poverty can leverage human rights as a means to a convergence of social and cultural practices that is able to mobilize collective action (Keck &amp; </w:t>
      </w:r>
      <w:proofErr w:type="spellStart"/>
      <w:r w:rsidRPr="004B6753">
        <w:t>Sikkink</w:t>
      </w:r>
      <w:proofErr w:type="spellEnd"/>
      <w:r w:rsidRPr="004B6753">
        <w:t>, 2018)</w:t>
      </w:r>
      <w:r w:rsidRPr="003B1AC1">
        <w:t xml:space="preserve"> and call on </w:t>
      </w:r>
      <w:proofErr w:type="gramStart"/>
      <w:r w:rsidRPr="003B1AC1">
        <w:t>policy-makers</w:t>
      </w:r>
      <w:proofErr w:type="gramEnd"/>
      <w:r w:rsidRPr="003B1AC1">
        <w:t xml:space="preserve"> to find solutions that work for all people who menstruate. The human rights perspective shifts our focus </w:t>
      </w:r>
      <w:r w:rsidRPr="004B6753">
        <w:t>toward the role of government institutions,</w:t>
      </w:r>
      <w:r w:rsidRPr="003B1AC1">
        <w:t xml:space="preserve"> and it demands accountability (Winkler, 2019). </w:t>
      </w:r>
    </w:p>
    <w:p w14:paraId="73C783F6" w14:textId="39A66E59" w:rsidR="00F53219" w:rsidRPr="003B1AC1" w:rsidRDefault="00F53219" w:rsidP="00744FF2">
      <w:pPr>
        <w:spacing w:line="480" w:lineRule="auto"/>
        <w:ind w:firstLine="720"/>
      </w:pPr>
      <w:r w:rsidRPr="003B1AC1">
        <w:lastRenderedPageBreak/>
        <w:t xml:space="preserve">The lack of access to menstrual products may be utilized as a tangible entry point for policy change, but products alone will not normalize menstruation and change sociocultural norms. We must create conditions in which menstruators can make informed decisions on any aspect related to their menstrual cycle free of judgement and constraint. Period poverty is more than simply gaining access to period products, it is a human rights issue as other universally agreed upon human rights – the right to </w:t>
      </w:r>
      <w:r w:rsidR="00744FF2" w:rsidRPr="003B1AC1">
        <w:t>dignity, the right to non-discrimination and gender equality, the right to</w:t>
      </w:r>
      <w:r w:rsidR="00EC066A" w:rsidRPr="003B1AC1">
        <w:t xml:space="preserve"> an adequate standard of health and well-being, the right to </w:t>
      </w:r>
      <w:r w:rsidRPr="003B1AC1">
        <w:t xml:space="preserve">clean water, </w:t>
      </w:r>
      <w:r w:rsidR="00EC066A" w:rsidRPr="003B1AC1">
        <w:t xml:space="preserve">and </w:t>
      </w:r>
      <w:r w:rsidRPr="003B1AC1">
        <w:t>the right to education</w:t>
      </w:r>
      <w:r w:rsidR="00EC066A" w:rsidRPr="003B1AC1">
        <w:t xml:space="preserve"> and </w:t>
      </w:r>
      <w:r w:rsidRPr="003B1AC1">
        <w:t>work</w:t>
      </w:r>
      <w:r w:rsidR="00EC066A" w:rsidRPr="003B1AC1">
        <w:t xml:space="preserve"> </w:t>
      </w:r>
      <w:r w:rsidRPr="003B1AC1">
        <w:t xml:space="preserve">- are undermined by the treatment of menstruators during menstruation.  </w:t>
      </w:r>
    </w:p>
    <w:p w14:paraId="660A3547" w14:textId="77777777" w:rsidR="00744FF2" w:rsidRPr="003B1AC1" w:rsidRDefault="00744FF2" w:rsidP="008A70AB">
      <w:pPr>
        <w:spacing w:line="480" w:lineRule="auto"/>
      </w:pPr>
    </w:p>
    <w:p w14:paraId="481E66C8" w14:textId="77777777" w:rsidR="00F53219" w:rsidRPr="003B1AC1" w:rsidRDefault="00F53219" w:rsidP="00F53219">
      <w:pPr>
        <w:spacing w:line="480" w:lineRule="auto"/>
        <w:rPr>
          <w:b/>
          <w:bCs/>
        </w:rPr>
      </w:pPr>
      <w:r w:rsidRPr="003B1AC1">
        <w:rPr>
          <w:b/>
          <w:bCs/>
        </w:rPr>
        <w:t xml:space="preserve">Methodology: Feminist Critical Discourse Analysis and Intersectional Analysis </w:t>
      </w:r>
    </w:p>
    <w:p w14:paraId="5159EE95" w14:textId="77777777" w:rsidR="00F53219" w:rsidRPr="003B1AC1" w:rsidRDefault="00F53219" w:rsidP="00F53219">
      <w:pPr>
        <w:spacing w:line="480" w:lineRule="auto"/>
      </w:pPr>
      <w:r w:rsidRPr="003B1AC1">
        <w:rPr>
          <w:b/>
          <w:bCs/>
        </w:rPr>
        <w:tab/>
      </w:r>
      <w:r w:rsidRPr="004B6753">
        <w:t>The paper used Critical Discourse Analysis to read primary and secondary source documents relating to menstrual health and politics, including primary documents such as UN declarations and sexual health organization documents, as well as the secondary academic literature</w:t>
      </w:r>
      <w:r w:rsidRPr="003B1AC1">
        <w:t xml:space="preserve">. This paper will focus on feminist critical discourse analysis (FCDA) guided by intersectionality. FCDA is a methodological approach that prioritizes an understanding of the intricate workings of power and ideology in discourse through the sustaining hierarchical gendered social arrangements (Lazar, 2007). Simply, the central concern of FCDA is with critiquing discourses which sustain a patriarchal social order (Lazar, 2007). FCDA is not only used for academic analysis of texts and speech, as it desires to effect social change, and recognizes that the issues at hand have concrete, and material consequences for groups in certain communities (Lazar, 2007). </w:t>
      </w:r>
    </w:p>
    <w:p w14:paraId="0222A180" w14:textId="77777777" w:rsidR="00F53219" w:rsidRPr="003B1AC1" w:rsidRDefault="00F53219" w:rsidP="00F53219">
      <w:pPr>
        <w:spacing w:line="480" w:lineRule="auto"/>
        <w:ind w:firstLine="720"/>
      </w:pPr>
      <w:r w:rsidRPr="003B1AC1">
        <w:lastRenderedPageBreak/>
        <w:t xml:space="preserve">FCDA was chosen as the method for this paper because it contributes to critical debates with a perspective that is cognizant of feminist theory as well as suggesting the power of language for the investigation of expanding gender issues. Discourse is a site of struggle where forces of social production and contestation are played out (Lazar, 2007). Using a feminist lens for this research is significant; first, because the research question inherently concerns women and girls, and second, because a feminist perspective is needed to analyze the subtle, yet oppressive nature of gender as a category of social practice and power. </w:t>
      </w:r>
    </w:p>
    <w:p w14:paraId="059A570A" w14:textId="77777777" w:rsidR="00F53219" w:rsidRPr="003B1AC1" w:rsidRDefault="00F53219" w:rsidP="00F53219">
      <w:pPr>
        <w:spacing w:line="480" w:lineRule="auto"/>
        <w:ind w:firstLine="720"/>
      </w:pPr>
      <w:r w:rsidRPr="003B1AC1">
        <w:t xml:space="preserve">To augment FCDA, the methodology of intersectionality was used as well because it allows researchers to study how intersecting oppressions operate at institutional, representational and political levels through policies, practice and discourses. Menstrual health requires an intersectional methodology to explore how income and social position interact with race, age, gender identity, class, and power across an individual’s life cycle to gain a full understanding of their positionality. These other facets are critical in understanding how individual experiences at a micro-level can intersect with structural systems of privilege and oppression at a macro-level. It is short-sighted and gives us only part of the picture to focus on conditions and problems that are shared by a local or national group while disregarding the very different gender-related problems that may be faced by menstruators in very different political and economic circumstances (Nussbaum, 1999). </w:t>
      </w:r>
      <w:r w:rsidRPr="004B6753">
        <w:t>Therefore, an intersectional perspective will help analyse the ways in which menstrual health and well-being is about more than the lack of access to menstrual products. It highlights the impact of stigma, education, water and sanitation, and gender discrimination—human rights issues that I will discuss below.</w:t>
      </w:r>
    </w:p>
    <w:p w14:paraId="4985EFBF" w14:textId="08BC03E1" w:rsidR="00F53219" w:rsidRPr="003B1AC1" w:rsidRDefault="00F53219" w:rsidP="00F53219">
      <w:pPr>
        <w:spacing w:line="480" w:lineRule="auto"/>
      </w:pPr>
      <w:r w:rsidRPr="003B1AC1">
        <w:tab/>
        <w:t xml:space="preserve">Thirty years ago, the term “intersectionality” was coined by </w:t>
      </w:r>
      <w:proofErr w:type="spellStart"/>
      <w:r w:rsidRPr="003B1AC1">
        <w:t>Kimberlé</w:t>
      </w:r>
      <w:proofErr w:type="spellEnd"/>
      <w:r w:rsidRPr="003B1AC1">
        <w:t xml:space="preserve"> Crenshaw, who built on histories of women of colour feminist organizing. Crenshaw defines intersectionality as </w:t>
      </w:r>
      <w:r w:rsidRPr="003B1AC1">
        <w:lastRenderedPageBreak/>
        <w:t>a framework used to observe and assess how and where power structures, collide and intersect (</w:t>
      </w:r>
      <w:proofErr w:type="spellStart"/>
      <w:r w:rsidRPr="003B1AC1">
        <w:t>Santovec</w:t>
      </w:r>
      <w:proofErr w:type="spellEnd"/>
      <w:r w:rsidRPr="003B1AC1">
        <w:t>, 2017). She states that there is an oversight when approaching problems as simply a gender, race, or class problem. Applying a single power/identity framework often erases the voices and experiences of people who identify at the intersections of two or more spaces/identities/power structures (</w:t>
      </w:r>
      <w:proofErr w:type="spellStart"/>
      <w:r w:rsidRPr="003B1AC1">
        <w:t>Santovec</w:t>
      </w:r>
      <w:proofErr w:type="spellEnd"/>
      <w:r w:rsidRPr="003B1AC1">
        <w:t>, 2017). It forces people to prioritize or rank their marginalized spaces rather than having the interlocking identities create a full identity and full picture of how structures of oppression impact their lives. Thus, creating an either/or discourse, where intersectionality can create a both/and discourse that welcomes and encompasses the hidden narratives and challenges the power and privilege of social structures. Ultimately, an intersectional perspective advocates that the power impacting people’s lives are not additive (race plus gender for example) but intersectional (gendered and raced power structures intersect and depend on each other).</w:t>
      </w:r>
      <w:bookmarkStart w:id="0" w:name="_Hlk26767006"/>
      <w:r w:rsidRPr="003B1AC1">
        <w:t xml:space="preserve"> </w:t>
      </w:r>
    </w:p>
    <w:bookmarkEnd w:id="0"/>
    <w:p w14:paraId="324B4D4E" w14:textId="77777777" w:rsidR="00F53219" w:rsidRPr="003B1AC1" w:rsidRDefault="00F53219" w:rsidP="00F53219">
      <w:pPr>
        <w:spacing w:line="480" w:lineRule="auto"/>
        <w:rPr>
          <w:bCs/>
          <w:i/>
        </w:rPr>
      </w:pPr>
      <w:r w:rsidRPr="003B1AC1">
        <w:rPr>
          <w:bCs/>
          <w:i/>
        </w:rPr>
        <w:t xml:space="preserve">Three Types of Intersectional Methodology </w:t>
      </w:r>
    </w:p>
    <w:p w14:paraId="0DE170E5" w14:textId="77777777" w:rsidR="00F53219" w:rsidRPr="003B1AC1" w:rsidRDefault="00F53219" w:rsidP="00F53219">
      <w:pPr>
        <w:pStyle w:val="ListParagraph"/>
        <w:numPr>
          <w:ilvl w:val="0"/>
          <w:numId w:val="1"/>
        </w:numPr>
        <w:spacing w:line="480" w:lineRule="auto"/>
        <w:rPr>
          <w:rFonts w:ascii="Times New Roman" w:hAnsi="Times New Roman" w:cs="Times New Roman"/>
          <w:bCs/>
          <w:i/>
        </w:rPr>
      </w:pPr>
      <w:r w:rsidRPr="003B1AC1">
        <w:rPr>
          <w:rFonts w:ascii="Times New Roman" w:hAnsi="Times New Roman" w:cs="Times New Roman"/>
          <w:bCs/>
          <w:i/>
        </w:rPr>
        <w:t xml:space="preserve">Structural/Institutional Intersectionality </w:t>
      </w:r>
    </w:p>
    <w:p w14:paraId="1CB4C694" w14:textId="0D6EE439" w:rsidR="00F53219" w:rsidRPr="003B1AC1" w:rsidRDefault="00F53219" w:rsidP="00F53219">
      <w:pPr>
        <w:spacing w:line="480" w:lineRule="auto"/>
        <w:ind w:firstLine="360"/>
      </w:pPr>
      <w:r w:rsidRPr="003B1AC1">
        <w:t xml:space="preserve">The first category of intersectional analysis takes place when societal structures and institutions create and divide different societal groups using gender, race, and class (Crenshaw, 1991). Institutional intersectionality informs our understanding of how </w:t>
      </w:r>
      <w:r w:rsidR="00DF1D66" w:rsidRPr="003B1AC1">
        <w:t>political</w:t>
      </w:r>
      <w:r w:rsidRPr="003B1AC1">
        <w:t xml:space="preserve"> systems and institutions, like the government, have the power and ability to dictate the needs and experiences of the marginalized people who are dependent on their services. Often, these institutions have been developed and implemented by those in power – predominantly white, male and well educated – to reflect their assumptions and values (</w:t>
      </w:r>
      <w:proofErr w:type="spellStart"/>
      <w:r w:rsidRPr="003B1AC1">
        <w:t>Hankivsky</w:t>
      </w:r>
      <w:proofErr w:type="spellEnd"/>
      <w:r w:rsidRPr="003B1AC1">
        <w:t xml:space="preserve"> &amp; Jordon-Zachery, 2019), which produces effects that may or may not have been intended, such as perpetuating stigmatization, discrimination and lack of access. </w:t>
      </w:r>
    </w:p>
    <w:p w14:paraId="5E32D6E2" w14:textId="77777777" w:rsidR="00F53219" w:rsidRPr="003B1AC1" w:rsidRDefault="00F53219" w:rsidP="00F53219">
      <w:pPr>
        <w:spacing w:line="480" w:lineRule="auto"/>
        <w:ind w:firstLine="360"/>
      </w:pPr>
      <w:r w:rsidRPr="003B1AC1">
        <w:lastRenderedPageBreak/>
        <w:t>Period poverty activism highlights that women often lack access to menstrual products because they live in a system that favors men’s bodies and thus refuses to distribute resources equitably. Many proposed solutions to menstrual inequity are based on policy changes, particularly ones that require small, incremental changes and work within existing systems (</w:t>
      </w:r>
      <w:proofErr w:type="spellStart"/>
      <w:r w:rsidRPr="003B1AC1">
        <w:t>Bobel</w:t>
      </w:r>
      <w:proofErr w:type="spellEnd"/>
      <w:r w:rsidRPr="003B1AC1">
        <w:t xml:space="preserve"> and Fahs, 2020). Intersectionality challenges the reductionism of small public policy changes and argues that we need to move away from inexpensive, status quo solutions among populations perceived by policy-makers as the most “deserving”. Intersectional analysis makes visible that if policies are to successfully reach populations they serve, particularly those who have been pushed to the margins, public policy must be inclusive of the differently situated populations and be responsive to their needs (</w:t>
      </w:r>
      <w:proofErr w:type="spellStart"/>
      <w:r w:rsidRPr="003B1AC1">
        <w:t>Hankivsky</w:t>
      </w:r>
      <w:proofErr w:type="spellEnd"/>
      <w:r w:rsidRPr="003B1AC1">
        <w:t xml:space="preserve"> &amp; Jordan-Zachery, 2019). </w:t>
      </w:r>
    </w:p>
    <w:p w14:paraId="140A3B67" w14:textId="77777777" w:rsidR="00F53219" w:rsidRPr="003B1AC1" w:rsidRDefault="00F53219" w:rsidP="00F53219">
      <w:pPr>
        <w:pStyle w:val="ListParagraph"/>
        <w:numPr>
          <w:ilvl w:val="0"/>
          <w:numId w:val="1"/>
        </w:numPr>
        <w:spacing w:line="480" w:lineRule="auto"/>
        <w:rPr>
          <w:rFonts w:ascii="Times New Roman" w:hAnsi="Times New Roman" w:cs="Times New Roman"/>
          <w:bCs/>
          <w:i/>
        </w:rPr>
      </w:pPr>
      <w:r w:rsidRPr="003B1AC1">
        <w:rPr>
          <w:rFonts w:ascii="Times New Roman" w:hAnsi="Times New Roman" w:cs="Times New Roman"/>
          <w:bCs/>
          <w:i/>
        </w:rPr>
        <w:t xml:space="preserve">Representational Intersectionality </w:t>
      </w:r>
    </w:p>
    <w:p w14:paraId="6795AC7E" w14:textId="5E426656" w:rsidR="00F53219" w:rsidRPr="003B1AC1" w:rsidRDefault="00F53219" w:rsidP="00F53219">
      <w:pPr>
        <w:spacing w:line="480" w:lineRule="auto"/>
        <w:ind w:firstLine="360"/>
      </w:pPr>
      <w:r w:rsidRPr="003B1AC1">
        <w:t>Caring for the menstruating body is important, but it is essential to think beyond that and to actually fight the stigma. Without recognizing stigma, we fail to adequately take up the gendered, raced, and classed social construction of embodiment that sets in motion cultural discomfort with the menstruating body (</w:t>
      </w:r>
      <w:proofErr w:type="spellStart"/>
      <w:r w:rsidRPr="003B1AC1">
        <w:t>Bobel</w:t>
      </w:r>
      <w:proofErr w:type="spellEnd"/>
      <w:r w:rsidRPr="003B1AC1">
        <w:t xml:space="preserve"> &amp; Fahs, 2020). The second category of intersectional methodology identifies when tropes and taboos are represented as universal assertions, thus ignoring the complexities of those who hold multiple identity positions (Crenshaw, 1991). Universalism has a tendency to portray male views onto women and white views onto people of color. These axes of differentiation construct a high-status code of conduct where a white heterosexual man is normative, not just because of what he is doing (his conduct), but because it is he who is doing it (his status) (</w:t>
      </w:r>
      <w:proofErr w:type="spellStart"/>
      <w:r w:rsidRPr="003B1AC1">
        <w:t>Carbado</w:t>
      </w:r>
      <w:proofErr w:type="spellEnd"/>
      <w:r w:rsidRPr="003B1AC1">
        <w:t xml:space="preserve">, 2020). Gloria Steinem in </w:t>
      </w:r>
      <w:r w:rsidRPr="003B1AC1">
        <w:rPr>
          <w:i/>
          <w:iCs/>
        </w:rPr>
        <w:t xml:space="preserve">Ms. </w:t>
      </w:r>
      <w:r w:rsidRPr="003B1AC1">
        <w:t xml:space="preserve">Magazine in 1978 is famously quoted for saying, “if men could menstruate, sanitary supplies would be </w:t>
      </w:r>
      <w:r w:rsidRPr="003B1AC1">
        <w:lastRenderedPageBreak/>
        <w:t>federally funded and free</w:t>
      </w:r>
      <w:r w:rsidR="008A70AB">
        <w:t xml:space="preserve">.” </w:t>
      </w:r>
      <w:r w:rsidRPr="003B1AC1">
        <w:t xml:space="preserve">Her essay helps readers understand that menstruation is only a problem because women do it.  </w:t>
      </w:r>
    </w:p>
    <w:p w14:paraId="557A01DC" w14:textId="50E559B8" w:rsidR="00F53219" w:rsidRPr="003B1AC1" w:rsidRDefault="00F53219" w:rsidP="00DE57D9">
      <w:pPr>
        <w:spacing w:line="480" w:lineRule="auto"/>
        <w:ind w:firstLine="360"/>
        <w:rPr>
          <w:bCs/>
          <w:i/>
        </w:rPr>
      </w:pPr>
      <w:r w:rsidRPr="003B1AC1">
        <w:rPr>
          <w:bCs/>
          <w:i/>
        </w:rPr>
        <w:t xml:space="preserve">Political Intersectionality </w:t>
      </w:r>
    </w:p>
    <w:p w14:paraId="44A6350E" w14:textId="30F07893" w:rsidR="00F53219" w:rsidRPr="003B1AC1" w:rsidRDefault="002D2915" w:rsidP="00F53219">
      <w:pPr>
        <w:spacing w:line="480" w:lineRule="auto"/>
        <w:ind w:firstLine="360"/>
      </w:pPr>
      <w:r w:rsidRPr="003B1AC1">
        <w:t xml:space="preserve">It is important to note that intersectional analysis is not only about race. </w:t>
      </w:r>
      <w:r w:rsidR="00F53219" w:rsidRPr="003B1AC1">
        <w:t xml:space="preserve">The third category of intersectional methodology refers to the exclusion of interests of marginalized groups by political movements, such as feminism or the mainstream LGBTQ or disability rights movement (Crenshaw, 1991). In all of these movements, the political interests of </w:t>
      </w:r>
      <w:r w:rsidR="00F53219" w:rsidRPr="00312312">
        <w:t>white middle class people</w:t>
      </w:r>
      <w:r w:rsidR="00F53219" w:rsidRPr="003B1AC1">
        <w:t xml:space="preserve"> have been prioritized in the name of a universal political subject. Certain aspects of period poverty in the menstrual equity movement have reinforced further injustices, particularly for those who are part of the trans community. </w:t>
      </w:r>
    </w:p>
    <w:p w14:paraId="3AA02C47" w14:textId="4831728C" w:rsidR="003C367D" w:rsidRPr="003B1AC1" w:rsidRDefault="00F53219" w:rsidP="002D2915">
      <w:pPr>
        <w:spacing w:line="480" w:lineRule="auto"/>
        <w:ind w:firstLine="720"/>
      </w:pPr>
      <w:r w:rsidRPr="00312312">
        <w:t>Many contemporary forms of feminism recognize the lack of a unified “woman” as the “subject” of feminism.</w:t>
      </w:r>
      <w:r w:rsidRPr="003B1AC1">
        <w:t xml:space="preserve"> Therefore, if no unified or concrete definition of “woman” exists we can’t speak in broad totalizing terms of “women’s issues” as it again is problematic by excluding the many diversities and intersections of people identifying as woman or not.</w:t>
      </w:r>
      <w:r w:rsidR="002D2915" w:rsidRPr="003B1AC1">
        <w:t xml:space="preserve"> Intersectional analysis acknowledges that a</w:t>
      </w:r>
      <w:r w:rsidRPr="003B1AC1">
        <w:t xml:space="preserve"> single person can be situated in multiple identity groups, and therefore the groups are not homogenous (</w:t>
      </w:r>
      <w:proofErr w:type="spellStart"/>
      <w:r w:rsidRPr="003B1AC1">
        <w:t>Lépinard</w:t>
      </w:r>
      <w:proofErr w:type="spellEnd"/>
      <w:r w:rsidRPr="003B1AC1">
        <w:t xml:space="preserve">, 2014). </w:t>
      </w:r>
      <w:r w:rsidR="002D2915" w:rsidRPr="003B1AC1">
        <w:t xml:space="preserve">A single </w:t>
      </w:r>
      <w:r w:rsidRPr="003B1AC1">
        <w:t>person can be affected by various intersecting injustices. Intersectional invisibility is a term to describe the failure of political groups, such as feminism to recognize people with multiple marginalized identities, such as</w:t>
      </w:r>
      <w:r w:rsidR="002C0CCD" w:rsidRPr="003B1AC1">
        <w:t xml:space="preserve"> trans</w:t>
      </w:r>
      <w:r w:rsidR="002C0CCD" w:rsidRPr="003B1AC1">
        <w:rPr>
          <w:rStyle w:val="FootnoteReference"/>
        </w:rPr>
        <w:footnoteReference w:id="2"/>
      </w:r>
      <w:r w:rsidR="002C0CCD" w:rsidRPr="003B1AC1">
        <w:t xml:space="preserve"> bodies</w:t>
      </w:r>
      <w:r w:rsidRPr="003B1AC1">
        <w:t xml:space="preserve"> or intersex people.</w:t>
      </w:r>
      <w:r w:rsidR="002D2915" w:rsidRPr="003B1AC1">
        <w:t xml:space="preserve"> The invisibility of trans bodies in questions of menstrual health has important everyday repercussions.</w:t>
      </w:r>
      <w:r w:rsidRPr="003B1AC1">
        <w:t xml:space="preserve"> Crenshaw (1991) notes it is crucial to not ignore </w:t>
      </w:r>
      <w:r w:rsidRPr="003B1AC1">
        <w:lastRenderedPageBreak/>
        <w:t xml:space="preserve">differences </w:t>
      </w:r>
      <w:r w:rsidRPr="003B1AC1">
        <w:rPr>
          <w:i/>
          <w:iCs/>
        </w:rPr>
        <w:t>within</w:t>
      </w:r>
      <w:r w:rsidRPr="003B1AC1">
        <w:t xml:space="preserve"> groups. It is common to compare intersectional relationships across systems and organizations, but it is less common to determine how organizations engage with and practice intersectionality internally. </w:t>
      </w:r>
    </w:p>
    <w:p w14:paraId="0D8D4AE0" w14:textId="77777777" w:rsidR="002D2915" w:rsidRPr="003B1AC1" w:rsidRDefault="002D2915" w:rsidP="002D2915">
      <w:pPr>
        <w:spacing w:line="480" w:lineRule="auto"/>
        <w:ind w:firstLine="720"/>
      </w:pPr>
    </w:p>
    <w:p w14:paraId="37779BE5" w14:textId="77777777" w:rsidR="00F53219" w:rsidRPr="003B1AC1" w:rsidRDefault="00F53219" w:rsidP="00F53219">
      <w:pPr>
        <w:spacing w:line="480" w:lineRule="auto"/>
        <w:contextualSpacing/>
        <w:rPr>
          <w:b/>
          <w:bCs/>
        </w:rPr>
      </w:pPr>
      <w:r w:rsidRPr="002E692A">
        <w:rPr>
          <w:b/>
          <w:bCs/>
        </w:rPr>
        <w:t xml:space="preserve">Theoretical Framework:  Liberal Human Rights for a Feminist </w:t>
      </w:r>
      <w:r w:rsidRPr="00312312">
        <w:rPr>
          <w:b/>
          <w:bCs/>
        </w:rPr>
        <w:t>Challenge</w:t>
      </w:r>
    </w:p>
    <w:p w14:paraId="02A467AD" w14:textId="77777777" w:rsidR="00F53219" w:rsidRPr="003B1AC1" w:rsidRDefault="00F53219" w:rsidP="00F53219">
      <w:pPr>
        <w:spacing w:line="480" w:lineRule="auto"/>
        <w:ind w:firstLine="720"/>
        <w:contextualSpacing/>
      </w:pPr>
      <w:r w:rsidRPr="003B1AC1">
        <w:t>In this study I have used a human rights theoretical framework in tandem with intersectional methodology. As feminist theorist Martha Nussbaum (1997) argues, a human rights framework is especially important for feminist politics because it insists on the individual moral worth of every individual—a moral worth that is often denied women and girls in patriarchal societies. For Nussbaum and other liberal rights theorists, the attraction of human rights is that they are viewed as being so basic and so fundamental to human existence that they should trump any other consideration and exist beyond the determination of specific societies (Heard, 1997). With a global acceptance of human rights, Christians, Muslims, Hindus, capitalists, socialists, democracies, or tribal oligarchies may all legitimately censure each other. Without fully universal human rights, one is left simply trying to assert that one’s own way of doing is better than everybody else’s. The claim that a desired benefit is a human right is meant to challenge an opposition as unprincipled or even immoral.</w:t>
      </w:r>
    </w:p>
    <w:p w14:paraId="782A1643" w14:textId="77777777" w:rsidR="00F53219" w:rsidRPr="003B1AC1" w:rsidRDefault="00F53219" w:rsidP="00F53219">
      <w:pPr>
        <w:spacing w:line="480" w:lineRule="auto"/>
        <w:ind w:firstLine="720"/>
        <w:contextualSpacing/>
        <w:rPr>
          <w:shd w:val="clear" w:color="auto" w:fill="FFFFFF"/>
        </w:rPr>
      </w:pPr>
      <w:r w:rsidRPr="003B1AC1">
        <w:t xml:space="preserve">In 1948, the Universal Declaration of Human Rights was adopted by the United Nations General Assembly (United Nations, </w:t>
      </w:r>
      <w:proofErr w:type="spellStart"/>
      <w:r w:rsidRPr="003B1AC1">
        <w:t>n.d.e</w:t>
      </w:r>
      <w:proofErr w:type="spellEnd"/>
      <w:r w:rsidRPr="003B1AC1">
        <w:t xml:space="preserve">). The ground-breaking document stipulated thirty articles of human rights that should be recognized by all member states. The Declaration recognized the inherent dignity and equal and undisputable rights of all members of the human race as the foundation of freedom, justice and peace in the world (United Nations, </w:t>
      </w:r>
      <w:proofErr w:type="spellStart"/>
      <w:r w:rsidRPr="003B1AC1">
        <w:t>n.d.e</w:t>
      </w:r>
      <w:proofErr w:type="spellEnd"/>
      <w:r w:rsidRPr="003B1AC1">
        <w:t xml:space="preserve">). However, many cultural traditions throughout the world pose barriers to women’s health and </w:t>
      </w:r>
      <w:r w:rsidRPr="003B1AC1">
        <w:lastRenderedPageBreak/>
        <w:t>flourishing. Within the thirty articles of the Universal Declaration of Human Rights, Article 25 has the only indication of health, stating that, “</w:t>
      </w:r>
      <w:r w:rsidRPr="003B1AC1">
        <w:rPr>
          <w:shd w:val="clear" w:color="auto" w:fill="FFFFFF"/>
        </w:rPr>
        <w:t xml:space="preserve">Everyone has the right to a standard of living adequate for the health and well-being of himself and of his family, including food, clothing, housing and medical care and necessary social services …” (United Nations </w:t>
      </w:r>
      <w:proofErr w:type="spellStart"/>
      <w:r w:rsidRPr="003B1AC1">
        <w:rPr>
          <w:shd w:val="clear" w:color="auto" w:fill="FFFFFF"/>
        </w:rPr>
        <w:t>n.d.e</w:t>
      </w:r>
      <w:proofErr w:type="spellEnd"/>
      <w:r w:rsidRPr="003B1AC1">
        <w:rPr>
          <w:shd w:val="clear" w:color="auto" w:fill="FFFFFF"/>
        </w:rPr>
        <w:t>). The first document of its kind, it is foundational, but its vagueness leaves a lot to the imagination. Women all over the world find themselves treated unequally with respect to health care and in many cases the adversities are caused by being a woman (Nussbaum, 1999). As the declaration was conceived in 1948, and eight out of nine drafters were male, it is not surprising that the specifics of women’s sexual and reproductive health were overlooked.</w:t>
      </w:r>
    </w:p>
    <w:p w14:paraId="01A4EDF3" w14:textId="77777777" w:rsidR="00F53219" w:rsidRPr="00B85678" w:rsidRDefault="00F53219" w:rsidP="00F53219">
      <w:pPr>
        <w:spacing w:line="480" w:lineRule="auto"/>
        <w:ind w:firstLine="720"/>
        <w:contextualSpacing/>
        <w:rPr>
          <w:color w:val="000000" w:themeColor="text1"/>
        </w:rPr>
      </w:pPr>
      <w:r w:rsidRPr="00B85678">
        <w:t xml:space="preserve">The idea of human dignity is usually taken to involve an idea of equal worth (Nussbaum, 1999). Nussbaum supports the UN’s liberal view, affirming, “At the heart of this tradition is a twofold intuition about human beings: namely that all, just by being human, are of equal dignity and worth, no matter where they are situated in society, and that the primary source of this worth is a power of more choice within them, a power that consists in the ability to plan a life in accordance with one’s own evaluation of ends” (1999, p. 57). Rich, poor, rural, urban, female or male are all equally deserving of respect, just in virtue of being human. Any disregard or contempt for preserving human rights results in events where human beings no longer live in freedom, but fear for their </w:t>
      </w:r>
      <w:r w:rsidRPr="00B85678">
        <w:rPr>
          <w:color w:val="000000" w:themeColor="text1"/>
        </w:rPr>
        <w:t xml:space="preserve">own aspirations. The moral equality of humans gives them a fair claim to assured types of treatment by society and its institutions. The treatment is responsible for two things: respect and promoting the liberty of choice and the equal worth of persons as choosers (Nussbaum, 1999). </w:t>
      </w:r>
    </w:p>
    <w:p w14:paraId="2F493328" w14:textId="2DCF670D" w:rsidR="00F53219" w:rsidRPr="00B85678" w:rsidRDefault="00F53219" w:rsidP="00F53219">
      <w:pPr>
        <w:spacing w:line="480" w:lineRule="auto"/>
        <w:ind w:firstLine="720"/>
        <w:contextualSpacing/>
        <w:rPr>
          <w:color w:val="000000" w:themeColor="text1"/>
          <w:shd w:val="clear" w:color="auto" w:fill="FFFFFF"/>
        </w:rPr>
      </w:pPr>
      <w:r w:rsidRPr="00B85678">
        <w:rPr>
          <w:color w:val="000000" w:themeColor="text1"/>
          <w:shd w:val="clear" w:color="auto" w:fill="FFFFFF"/>
        </w:rPr>
        <w:t xml:space="preserve">In many instances, laws and institutions construct or perpetuate the inequalities of human rights because a normative human rights framework is too focused on the distribution of </w:t>
      </w:r>
      <w:r w:rsidRPr="00B85678">
        <w:rPr>
          <w:color w:val="000000" w:themeColor="text1"/>
          <w:shd w:val="clear" w:color="auto" w:fill="FFFFFF"/>
        </w:rPr>
        <w:lastRenderedPageBreak/>
        <w:t>resources and maximisation of social welfare. To contest the goal of desire-satisfaction, Marth</w:t>
      </w:r>
      <w:r w:rsidR="003C367D">
        <w:rPr>
          <w:color w:val="000000" w:themeColor="text1"/>
          <w:shd w:val="clear" w:color="auto" w:fill="FFFFFF"/>
        </w:rPr>
        <w:t>a</w:t>
      </w:r>
      <w:r w:rsidRPr="00B85678">
        <w:rPr>
          <w:color w:val="000000" w:themeColor="text1"/>
          <w:shd w:val="clear" w:color="auto" w:fill="FFFFFF"/>
        </w:rPr>
        <w:t xml:space="preserve"> Nussbaum, along with Amartya Sen, pioneered the capabilities approach. The approach is combined with a focus on rights and makes clear that the pertinent goal is to ensure all people are able to function in a variety of areas of central importance (Nussbaum, 2007). Nussbaum created a list of ten “Central Human Capabilities,” including life, bodily health, bodily integrity, the development and expression of senses, imagination and thought, emotional health, practical reason, affiliation (persona and political), relationships with other species and the world of nature, play, and control over one’s environment (Nussbaum, 1999). Shifting attention to human capabilities shows concern for what people are actually able to do and to be. The capability approach maintains that resources have no value in themselves, apart from their role in promoting human functioning; directing us to inquire into the varying needs individuals have for resources and their varying abilities to convert resources into functioning (Nussbaum, 1999). Substantiating her view that human beings are rational agents but one’s material conditions to “choose” are shaped in different ways by their differing social circumstances. Her approach to women’s issues is part of a systemic agenda that addresses hierarchy across the board in the name of human dignity. </w:t>
      </w:r>
    </w:p>
    <w:p w14:paraId="263C61FF" w14:textId="309D6404" w:rsidR="00F53219" w:rsidRPr="00B85678" w:rsidRDefault="00F53219" w:rsidP="00F53219">
      <w:pPr>
        <w:spacing w:line="480" w:lineRule="auto"/>
        <w:ind w:firstLine="720"/>
        <w:contextualSpacing/>
        <w:rPr>
          <w:color w:val="000000" w:themeColor="text1"/>
          <w:shd w:val="clear" w:color="auto" w:fill="FFFFFF"/>
        </w:rPr>
      </w:pPr>
      <w:r w:rsidRPr="00B85678">
        <w:t xml:space="preserve">But what does it mean to respect the dignity of a human being? How might a deeper understanding of sex and gender help us answer the question? Human life and humanness are understood differently across the globe. Attempting to create a list of the fundamental properties of human beings preserves the understanding of a dominant group at the expense of a minority group (Nussbaum, 1999). </w:t>
      </w:r>
      <w:r w:rsidRPr="00B85678">
        <w:rPr>
          <w:color w:val="000000" w:themeColor="text1"/>
          <w:shd w:val="clear" w:color="auto" w:fill="FFFFFF"/>
        </w:rPr>
        <w:t xml:space="preserve">Liberalism puts the individual at the center of its analysis, but Nussbaum reminds us that it took an embarrassingly long time to turn its individualism to the service of women. By combining a classical liberal emphasis on choice with a feminist </w:t>
      </w:r>
      <w:r w:rsidRPr="00B85678">
        <w:rPr>
          <w:color w:val="000000" w:themeColor="text1"/>
          <w:shd w:val="clear" w:color="auto" w:fill="FFFFFF"/>
        </w:rPr>
        <w:lastRenderedPageBreak/>
        <w:t>understanding of unjust social power, Nussbaum deviates from traditional liberal thought. In her work</w:t>
      </w:r>
      <w:r w:rsidRPr="00312312">
        <w:rPr>
          <w:color w:val="000000" w:themeColor="text1"/>
          <w:shd w:val="clear" w:color="auto" w:fill="FFFFFF"/>
        </w:rPr>
        <w:t>, “The Feminist Critique of Liberalism” Nussbaum identifies three concerns that feminists have against the liberal tradition: that it is too individualistic; that its ideal of equality is too abstract and formal; and that the emphasis it places on reason minimizes the significance of care and emotion in moral and political life (1997).</w:t>
      </w:r>
      <w:r w:rsidRPr="00B85678">
        <w:rPr>
          <w:color w:val="000000" w:themeColor="text1"/>
          <w:shd w:val="clear" w:color="auto" w:fill="FFFFFF"/>
        </w:rPr>
        <w:t xml:space="preserve"> The first two concerns are </w:t>
      </w:r>
      <w:r w:rsidR="00AD6FB2">
        <w:rPr>
          <w:color w:val="000000" w:themeColor="text1"/>
          <w:shd w:val="clear" w:color="auto" w:fill="FFFFFF"/>
        </w:rPr>
        <w:t>discussed</w:t>
      </w:r>
      <w:r w:rsidR="00AD6FB2" w:rsidRPr="00B85678">
        <w:rPr>
          <w:color w:val="000000" w:themeColor="text1"/>
          <w:shd w:val="clear" w:color="auto" w:fill="FFFFFF"/>
        </w:rPr>
        <w:t xml:space="preserve"> </w:t>
      </w:r>
      <w:r w:rsidRPr="00B85678">
        <w:rPr>
          <w:color w:val="000000" w:themeColor="text1"/>
          <w:shd w:val="clear" w:color="auto" w:fill="FFFFFF"/>
        </w:rPr>
        <w:t xml:space="preserve">in this paper. </w:t>
      </w:r>
    </w:p>
    <w:p w14:paraId="75883828" w14:textId="24410D47" w:rsidR="00F53219" w:rsidRPr="003B1AC1" w:rsidRDefault="00F53219" w:rsidP="00F53219">
      <w:pPr>
        <w:spacing w:line="480" w:lineRule="auto"/>
        <w:ind w:firstLine="720"/>
        <w:contextualSpacing/>
      </w:pPr>
      <w:r w:rsidRPr="00B85678">
        <w:t>Liberalism envisions individuals as self-sufficient, solitary islands unto themselves. This recognition is crucial for women as their needs and personhood have often been subsumed under the greater good of the family (Phillips, 2002). Regarding the family as a harmonious whole, resistant to interference, is where liberal in</w:t>
      </w:r>
      <w:r>
        <w:t>dividualism has clear limits</w:t>
      </w:r>
      <w:r w:rsidRPr="00B85678">
        <w:t xml:space="preserve">. Nussbaum calls for an acknowledgement to understand women “first and foremost, as human centers of choice and freedom (1999, p.70).” Women must be recognized as separate beings, whose identity and well-being are separate from that of men. Feminists often make the argument that a human being is </w:t>
      </w:r>
      <w:r>
        <w:t xml:space="preserve">traditionally </w:t>
      </w:r>
      <w:r w:rsidRPr="00B85678">
        <w:t xml:space="preserve">defined by focusing on the characteristics of males. The male body and its functions are standardized. For example, the male body epitomizes self-containment and self-control, whereas women represent the naturally transgressing body, the one which cannot seal off its orifices from </w:t>
      </w:r>
      <w:r w:rsidRPr="003B1AC1">
        <w:t>the outside world and maintain its boundaries (Crawf</w:t>
      </w:r>
      <w:r w:rsidR="00F730B7" w:rsidRPr="003B1AC1">
        <w:t>or</w:t>
      </w:r>
      <w:r w:rsidRPr="003B1AC1">
        <w:t xml:space="preserve">d &amp; </w:t>
      </w:r>
      <w:proofErr w:type="spellStart"/>
      <w:r w:rsidRPr="003B1AC1">
        <w:t>Spivack</w:t>
      </w:r>
      <w:proofErr w:type="spellEnd"/>
      <w:r w:rsidRPr="003B1AC1">
        <w:t xml:space="preserve">, 2017). A women’s uncontrolled bodily function is leaky, therefore inferior. As Catharine MacKinnon articulates, “Being a woman is not yet a way of being a human being (2011).  The individuality that Nussbaum celebrates plays a key role in challenging women’s oppression. </w:t>
      </w:r>
    </w:p>
    <w:p w14:paraId="05DF47CA" w14:textId="77777777" w:rsidR="00F53219" w:rsidRPr="003B1AC1" w:rsidRDefault="00F53219" w:rsidP="00F53219">
      <w:pPr>
        <w:spacing w:line="480" w:lineRule="auto"/>
        <w:ind w:firstLine="720"/>
        <w:contextualSpacing/>
      </w:pPr>
      <w:r w:rsidRPr="003B1AC1">
        <w:t xml:space="preserve">Individuality, however, cannot occur in isolation from the social context that the individual came into being. Autonomy may be interpreted in a very culturally specific way, but traditional liberals attach such a high value to autonomy and turn it into a universal norm (Phillips, 2002). This valorisation of the individual often fails to persuade people in contexts </w:t>
      </w:r>
      <w:r w:rsidRPr="003B1AC1">
        <w:lastRenderedPageBreak/>
        <w:t xml:space="preserve">where women aren’t considered to be individuals, or individuals of any value. Consequently, many traditions portray women as less important than men, less deserving of basic life supports that are associated with quality of life. </w:t>
      </w:r>
      <w:r w:rsidRPr="003B1AC1">
        <w:rPr>
          <w:shd w:val="clear" w:color="auto" w:fill="FFFFFF"/>
        </w:rPr>
        <w:t xml:space="preserve">Violations of women’s sexual and reproductive health and rights are often deeply ingrained in cultural values pertaining to women’s sexuality (United Nations, </w:t>
      </w:r>
      <w:proofErr w:type="spellStart"/>
      <w:r w:rsidRPr="003B1AC1">
        <w:rPr>
          <w:shd w:val="clear" w:color="auto" w:fill="FFFFFF"/>
        </w:rPr>
        <w:t>n.d.b</w:t>
      </w:r>
      <w:proofErr w:type="spellEnd"/>
      <w:r w:rsidRPr="003B1AC1">
        <w:rPr>
          <w:shd w:val="clear" w:color="auto" w:fill="FFFFFF"/>
        </w:rPr>
        <w:t xml:space="preserve">). Patriarchal conceptions of a woman’s role in the family are frequently based on her ability to reproduce, and not on her individual needs or choices. Nussbaum recognizes that individuals will make different choices in their pursuit of their life’s goals, furthering the fulfillment of their family or aligning with more personal objectives (1999). Thus, protecting spheres of choice becomes important in which women with diverse views on what matters in life can pursue a flourishing life according to their own principles (Nussbaum, 1999). Choice offers agency. Women are not only a means to an end for others, but are a source of agency and worth in their own right. </w:t>
      </w:r>
    </w:p>
    <w:p w14:paraId="61D1C5CE" w14:textId="77777777" w:rsidR="00F53219" w:rsidRPr="003B1AC1" w:rsidRDefault="00F53219" w:rsidP="00F53219">
      <w:pPr>
        <w:spacing w:line="480" w:lineRule="auto"/>
        <w:ind w:firstLine="720"/>
        <w:contextualSpacing/>
      </w:pPr>
      <w:r w:rsidRPr="003B1AC1">
        <w:rPr>
          <w:shd w:val="clear" w:color="auto" w:fill="FFFFFF"/>
        </w:rPr>
        <w:t xml:space="preserve">The Capability Approach pushed forward the analysis of women’s rights and the rights of the poor. To protect and promote the human rights of women, the Commission of the Status of Women (CSW) was established. The CSW seeks to elaborate on human rights from a gender perspective (United Nations, </w:t>
      </w:r>
      <w:proofErr w:type="spellStart"/>
      <w:r w:rsidRPr="003B1AC1">
        <w:rPr>
          <w:shd w:val="clear" w:color="auto" w:fill="FFFFFF"/>
        </w:rPr>
        <w:t>n.d.c</w:t>
      </w:r>
      <w:proofErr w:type="spellEnd"/>
      <w:r w:rsidRPr="003B1AC1">
        <w:rPr>
          <w:shd w:val="clear" w:color="auto" w:fill="FFFFFF"/>
        </w:rPr>
        <w:t xml:space="preserve">). In December 1979, the Convention on the Elimination of All Forms of Discrimination against Women (CEDAW) was adopted by the United Nations General Assembly (United Nations, </w:t>
      </w:r>
      <w:proofErr w:type="spellStart"/>
      <w:r w:rsidRPr="003B1AC1">
        <w:rPr>
          <w:shd w:val="clear" w:color="auto" w:fill="FFFFFF"/>
        </w:rPr>
        <w:t>n.d.a</w:t>
      </w:r>
      <w:proofErr w:type="spellEnd"/>
      <w:r w:rsidRPr="003B1AC1">
        <w:rPr>
          <w:shd w:val="clear" w:color="auto" w:fill="FFFFFF"/>
        </w:rPr>
        <w:t>). Among the international human rights treaties, CEDAW takes an important place in bringing the female half of humanity into the focus of human rights concerns. In addition, unlike any other human rights agreement, the Convention discusses reproduction. The Convention devotes significant attention to a vital concern for women, their reproductive rights and the impact of cultural factors.</w:t>
      </w:r>
    </w:p>
    <w:p w14:paraId="479E5D3B" w14:textId="77777777" w:rsidR="00F53219" w:rsidRPr="003B1AC1" w:rsidRDefault="00F53219" w:rsidP="00F53219">
      <w:pPr>
        <w:spacing w:line="480" w:lineRule="auto"/>
        <w:ind w:firstLine="720"/>
        <w:contextualSpacing/>
        <w:rPr>
          <w:shd w:val="clear" w:color="auto" w:fill="FFFFFF"/>
        </w:rPr>
      </w:pPr>
      <w:r w:rsidRPr="003B1AC1">
        <w:rPr>
          <w:shd w:val="clear" w:color="auto" w:fill="FFFFFF"/>
        </w:rPr>
        <w:lastRenderedPageBreak/>
        <w:t xml:space="preserve">Women’s sexual and reproductive health is related to multiple human rights, including the right to health, the right to privacy, the right to education, the right to work, and the right to non-discrimination, which nations are obliged to respect, protect and fulfill. Women are entitled to reproductive health care services, goods and facilities that are available in adequate numbers, accessible physically and economically, accessible without discrimination, and of good quality (United Nations, </w:t>
      </w:r>
      <w:proofErr w:type="spellStart"/>
      <w:r w:rsidRPr="003B1AC1">
        <w:rPr>
          <w:shd w:val="clear" w:color="auto" w:fill="FFFFFF"/>
        </w:rPr>
        <w:t>n.d.b</w:t>
      </w:r>
      <w:proofErr w:type="spellEnd"/>
      <w:r w:rsidRPr="003B1AC1">
        <w:rPr>
          <w:shd w:val="clear" w:color="auto" w:fill="FFFFFF"/>
        </w:rPr>
        <w:t xml:space="preserve">). Unfortunately, as I discuss below, all of these rights are undermined by period poverty and menstrual stigma and yet menstruation is not even mentioned within CEDAW’s sexual and reproductive rights rhetoric. The focus areas of CEDAW advocate for maternal health and protection, contraception and family planning where a person has the right to decide if she wants children, when she wants children, and how many children to raise. As important as these areas are, an understanding of one’s menstrual cycle and the importance of vaginal health are other steps that need to be addressed. Below I will argue that adding menstrual health to the human rights discourse increases the opportunity for menstrual related inequalities to be taken up and prioritized by governments and institutions. </w:t>
      </w:r>
    </w:p>
    <w:p w14:paraId="216B81C5" w14:textId="77777777" w:rsidR="00F53219" w:rsidRPr="003B1AC1" w:rsidRDefault="00F53219" w:rsidP="00F53219">
      <w:pPr>
        <w:spacing w:line="480" w:lineRule="auto"/>
        <w:ind w:firstLine="720"/>
        <w:contextualSpacing/>
        <w:rPr>
          <w:shd w:val="clear" w:color="auto" w:fill="FFFFFF"/>
        </w:rPr>
      </w:pPr>
      <w:r w:rsidRPr="003B1AC1">
        <w:rPr>
          <w:shd w:val="clear" w:color="auto" w:fill="FFFFFF"/>
        </w:rPr>
        <w:t xml:space="preserve">Another critique of liberalism, identified by Nussbaum, is its promotion of a formal equality of treatment, which obscures the asymmetry of power (1997). Equality is relational. You may have all you need to live a decent existence, but we are still unequal if I have ten times more (Phillips, 2002). Traditional liberalism is more concerned with distinguishing ‘deserved’ from ‘undeserved’ inequalities than with challenging structural inequalities, which cannot be understood in strict individualist terms. Therefore, Nussbaum refines the liberal tradition to make it more centered on substantive conditions for individuality and choice (1997). For Nussbaum, what matters is that all human beings, regardless of location, are able to develop their capabilities for choosing. </w:t>
      </w:r>
    </w:p>
    <w:p w14:paraId="345E142C" w14:textId="77777777" w:rsidR="00F53219" w:rsidRPr="003B1AC1" w:rsidRDefault="00F53219" w:rsidP="00F53219">
      <w:pPr>
        <w:spacing w:line="480" w:lineRule="auto"/>
        <w:ind w:firstLine="720"/>
        <w:contextualSpacing/>
        <w:rPr>
          <w:shd w:val="clear" w:color="auto" w:fill="FFFFFF"/>
        </w:rPr>
      </w:pPr>
      <w:r w:rsidRPr="003B1AC1">
        <w:rPr>
          <w:shd w:val="clear" w:color="auto" w:fill="FFFFFF"/>
        </w:rPr>
        <w:lastRenderedPageBreak/>
        <w:t xml:space="preserve">In September 2015, 170 world leaders gathered to adopt the 2030 Agenda for Sustainable Development. The Agenda speaks to seventeen broad Sustainable Development Goals (SDGs) containing 167 targets that serve as the overall framework to guide global and national development (United Nations, </w:t>
      </w:r>
      <w:proofErr w:type="spellStart"/>
      <w:r w:rsidRPr="003B1AC1">
        <w:rPr>
          <w:shd w:val="clear" w:color="auto" w:fill="FFFFFF"/>
        </w:rPr>
        <w:t>n.d.d</w:t>
      </w:r>
      <w:proofErr w:type="spellEnd"/>
      <w:r w:rsidRPr="003B1AC1">
        <w:rPr>
          <w:shd w:val="clear" w:color="auto" w:fill="FFFFFF"/>
        </w:rPr>
        <w:t xml:space="preserve">). The SDGs are the result of the most consultative and inclusive process in the history of the United Nations (United Nations, </w:t>
      </w:r>
      <w:proofErr w:type="spellStart"/>
      <w:r w:rsidRPr="003B1AC1">
        <w:rPr>
          <w:shd w:val="clear" w:color="auto" w:fill="FFFFFF"/>
        </w:rPr>
        <w:t>n.d.d</w:t>
      </w:r>
      <w:proofErr w:type="spellEnd"/>
      <w:r w:rsidRPr="003B1AC1">
        <w:rPr>
          <w:shd w:val="clear" w:color="auto" w:fill="FFFFFF"/>
        </w:rPr>
        <w:t xml:space="preserve">). The Agenda recognizes that human rights are essential to achieve sustainable development. Therefore, the Agenda is grounded in human rights principles and standards to offer critical opportunities to further advance the realization of human rights for all people everywhere, without discrimination (United Nations, </w:t>
      </w:r>
      <w:proofErr w:type="spellStart"/>
      <w:r w:rsidRPr="003B1AC1">
        <w:rPr>
          <w:shd w:val="clear" w:color="auto" w:fill="FFFFFF"/>
        </w:rPr>
        <w:t>n.d.d</w:t>
      </w:r>
      <w:proofErr w:type="spellEnd"/>
      <w:r w:rsidRPr="003B1AC1">
        <w:rPr>
          <w:shd w:val="clear" w:color="auto" w:fill="FFFFFF"/>
        </w:rPr>
        <w:t xml:space="preserve">). The SDGs draw from CEDAW as they seek to realize the human rights of women and girls to achieve gender equality and empowerment. </w:t>
      </w:r>
    </w:p>
    <w:p w14:paraId="183898E7" w14:textId="77777777" w:rsidR="00F53219" w:rsidRPr="003B1AC1" w:rsidRDefault="00F53219" w:rsidP="00F53219">
      <w:pPr>
        <w:spacing w:line="480" w:lineRule="auto"/>
        <w:ind w:firstLine="720"/>
        <w:contextualSpacing/>
        <w:rPr>
          <w:shd w:val="clear" w:color="auto" w:fill="FFFFFF"/>
        </w:rPr>
      </w:pPr>
      <w:r w:rsidRPr="003B1AC1">
        <w:rPr>
          <w:shd w:val="clear" w:color="auto" w:fill="FFFFFF"/>
        </w:rPr>
        <w:t>Under the SDGs, sexual and reproductive health is mentioned within two of the seventeen goals. In goal number two, Good Health and Well-being, target 3.7 calls for universal access to sexual and reproductive care, family planning and education (</w:t>
      </w:r>
      <w:proofErr w:type="spellStart"/>
      <w:r w:rsidRPr="003B1AC1">
        <w:rPr>
          <w:shd w:val="clear" w:color="auto" w:fill="FFFFFF"/>
        </w:rPr>
        <w:t>Globalgoals</w:t>
      </w:r>
      <w:proofErr w:type="spellEnd"/>
      <w:r w:rsidRPr="003B1AC1">
        <w:rPr>
          <w:shd w:val="clear" w:color="auto" w:fill="FFFFFF"/>
        </w:rPr>
        <w:t xml:space="preserve">, </w:t>
      </w:r>
      <w:proofErr w:type="spellStart"/>
      <w:r w:rsidRPr="003B1AC1">
        <w:rPr>
          <w:shd w:val="clear" w:color="auto" w:fill="FFFFFF"/>
        </w:rPr>
        <w:t>n.d.b</w:t>
      </w:r>
      <w:proofErr w:type="spellEnd"/>
      <w:r w:rsidRPr="003B1AC1">
        <w:rPr>
          <w:shd w:val="clear" w:color="auto" w:fill="FFFFFF"/>
        </w:rPr>
        <w:t>). In goal number five, Gender Equality, target 5.6 speaks to universal access to reproductive health and rights (</w:t>
      </w:r>
      <w:proofErr w:type="spellStart"/>
      <w:r w:rsidRPr="003B1AC1">
        <w:rPr>
          <w:shd w:val="clear" w:color="auto" w:fill="FFFFFF"/>
        </w:rPr>
        <w:t>Globalgoals</w:t>
      </w:r>
      <w:proofErr w:type="spellEnd"/>
      <w:r w:rsidRPr="003B1AC1">
        <w:rPr>
          <w:shd w:val="clear" w:color="auto" w:fill="FFFFFF"/>
        </w:rPr>
        <w:t xml:space="preserve">, </w:t>
      </w:r>
      <w:proofErr w:type="spellStart"/>
      <w:r w:rsidRPr="003B1AC1">
        <w:rPr>
          <w:shd w:val="clear" w:color="auto" w:fill="FFFFFF"/>
        </w:rPr>
        <w:t>n.d.a</w:t>
      </w:r>
      <w:proofErr w:type="spellEnd"/>
      <w:r w:rsidRPr="003B1AC1">
        <w:rPr>
          <w:shd w:val="clear" w:color="auto" w:fill="FFFFFF"/>
        </w:rPr>
        <w:t xml:space="preserve">). However, the issue of menstrual health is still ignored. Similar to CEDAW, contraceptive prevalence, family planning and fertility take center stage. This paper argues that making menstrual equity a human rights issue will assist in reaching the goals of good health and gender equality, and will also contribute to goal one, no poverty; goal four, quality education; goal six, clean water and sanitation; goal ten, reduced inequalities; and goal twelve, responsible consumption and production. A human rights framework allows for multiple points of period poverty and menstrual stigma to be highlighted and showcases why each facet is necessary to support menstrual health and well-being. </w:t>
      </w:r>
    </w:p>
    <w:p w14:paraId="39D96CBF" w14:textId="77777777" w:rsidR="00F53219" w:rsidRPr="003B1AC1" w:rsidRDefault="00F53219" w:rsidP="00F53219">
      <w:pPr>
        <w:spacing w:line="480" w:lineRule="auto"/>
        <w:ind w:firstLine="720"/>
        <w:contextualSpacing/>
      </w:pPr>
      <w:r w:rsidRPr="003B1AC1">
        <w:lastRenderedPageBreak/>
        <w:t xml:space="preserve">Finally, a human rights approach requires us to address the underlying structural causes of unmet needs which are a barrier to women’s full participation in the social and economic life of their country (Winkler, 2019). To alleviate the burden of period poverty, many grassroots organizations have programs to provide menstrual products and education. However, through a human rights perspective, meeting menstrual needs should not be placed on charity and donations. We should not expect local organizations to fix period poverty on their own. A human rights argument calls for governments to create conditions and opportunities for menstruators that enables their autonomy and choice. </w:t>
      </w:r>
    </w:p>
    <w:p w14:paraId="652DB274" w14:textId="77777777" w:rsidR="00F53219" w:rsidRPr="003B1AC1" w:rsidRDefault="00F53219" w:rsidP="00F53219">
      <w:pPr>
        <w:spacing w:line="480" w:lineRule="auto"/>
        <w:ind w:firstLine="720"/>
        <w:contextualSpacing/>
      </w:pPr>
      <w:r w:rsidRPr="003B1AC1">
        <w:t xml:space="preserve">A human rights approach sheds lights on the intersection of gender inequality and period poverty. As a liberal framework, human rights defaults to an individual level, but intersectionality shows that the journey towards menstrual equity is not one to be solved with product-based or individualized interventions alone. Women and girls’ menstrual experiences are often informed by the unavailability of water and soap, lack of private spaces to wash or clean, the problem of solid waste management, lack of accountability on product manufacturers for materials they use in their products and deep-rooted shame and stigma, all compounded by lack of education about reproductive health. </w:t>
      </w:r>
    </w:p>
    <w:p w14:paraId="2523E887" w14:textId="77777777" w:rsidR="00F53219" w:rsidRPr="003B1AC1" w:rsidRDefault="00F53219" w:rsidP="00F53219">
      <w:pPr>
        <w:spacing w:line="480" w:lineRule="auto"/>
        <w:contextualSpacing/>
        <w:rPr>
          <w:i/>
        </w:rPr>
      </w:pPr>
      <w:r w:rsidRPr="003B1AC1">
        <w:rPr>
          <w:i/>
        </w:rPr>
        <w:t>Critical Race Theory</w:t>
      </w:r>
    </w:p>
    <w:p w14:paraId="6D9C5B75" w14:textId="2790B26C" w:rsidR="00F53219" w:rsidRPr="003B1AC1" w:rsidRDefault="00F53219" w:rsidP="00E02F9F">
      <w:pPr>
        <w:spacing w:line="480" w:lineRule="auto"/>
        <w:ind w:firstLine="720"/>
      </w:pPr>
      <w:r w:rsidRPr="003B1AC1">
        <w:rPr>
          <w:bCs/>
        </w:rPr>
        <w:t xml:space="preserve">Throughout the rest of the discussion of menstrual equity, stigma and period poverty below, I use a liberal human rights framework that takes explicit lessons from the critical race theory that is at the center of an intersectional perspective. As critical race scholars explain, </w:t>
      </w:r>
      <w:r w:rsidRPr="003B1AC1">
        <w:t>racism goes well beyond individual racist acts and thus must be understood at institutional, social, economic and historical levels. As I’ve discussed above, liberal theory often overlooks these structural forms of analysis when focus</w:t>
      </w:r>
      <w:r w:rsidR="006822C1" w:rsidRPr="003B1AC1">
        <w:t>ed</w:t>
      </w:r>
      <w:r w:rsidRPr="003B1AC1">
        <w:t xml:space="preserve"> on individual rights. For this paper and this </w:t>
      </w:r>
      <w:r w:rsidRPr="003B1AC1">
        <w:lastRenderedPageBreak/>
        <w:t>topic, my human rights arguments must be informed by the histories and contemporary realities of racism, particularly the anti-Black, anti-indigenous and colonial narratives of racial inferiority that still inform many “benevolent” or development orientations to “helping” women in the Global South. Critical race praxis is guided by an awareness that brown bodies have historically been</w:t>
      </w:r>
      <w:r w:rsidR="006822C1" w:rsidRPr="003B1AC1">
        <w:t xml:space="preserve"> </w:t>
      </w:r>
      <w:r w:rsidRPr="003B1AC1">
        <w:t>‘othered’ in these projects (</w:t>
      </w:r>
      <w:proofErr w:type="spellStart"/>
      <w:r w:rsidRPr="003B1AC1">
        <w:t>Decuir-Gunby</w:t>
      </w:r>
      <w:proofErr w:type="spellEnd"/>
      <w:r w:rsidRPr="003B1AC1">
        <w:rPr>
          <w:rStyle w:val="CommentReference"/>
        </w:rPr>
        <w:t xml:space="preserve"> </w:t>
      </w:r>
      <w:r w:rsidRPr="003B1AC1">
        <w:rPr>
          <w:rStyle w:val="CommentReference"/>
          <w:sz w:val="24"/>
          <w:szCs w:val="24"/>
        </w:rPr>
        <w:t>et</w:t>
      </w:r>
      <w:r w:rsidRPr="003B1AC1">
        <w:t xml:space="preserve"> al., 2019). The bodies, identities, and experiences of people of color are drastically affected by racism. In Canada, for example, Indigenous peoples have been relegated to communities on reserves and forced assimilation through laws like the Indian Act and residential schools. Since colonization, Indigenous peoples have been oppressed and deemed unequal to white settlers</w:t>
      </w:r>
      <w:r w:rsidR="002E692A">
        <w:t xml:space="preserve">, so </w:t>
      </w:r>
      <w:r w:rsidRPr="003B1AC1">
        <w:t>CRT praxis aims to rupture the oppressive structures while pushing to replace them with more adequate systems and scholarship (</w:t>
      </w:r>
      <w:proofErr w:type="spellStart"/>
      <w:r w:rsidRPr="003B1AC1">
        <w:t>Decuir-Gunby</w:t>
      </w:r>
      <w:proofErr w:type="spellEnd"/>
      <w:r w:rsidRPr="003B1AC1">
        <w:t xml:space="preserve"> et al., 2019). </w:t>
      </w:r>
      <w:r w:rsidR="002E692A">
        <w:t xml:space="preserve">CRT will do so by </w:t>
      </w:r>
      <w:r w:rsidR="002E692A">
        <w:t>demonstrat</w:t>
      </w:r>
      <w:r w:rsidR="002E692A">
        <w:t>ing</w:t>
      </w:r>
      <w:r w:rsidR="002E692A">
        <w:t xml:space="preserve"> the importance of examining representation-related remedies </w:t>
      </w:r>
      <w:r w:rsidR="002E692A">
        <w:t>(</w:t>
      </w:r>
      <w:proofErr w:type="spellStart"/>
      <w:r w:rsidR="002E692A">
        <w:t>Petoukhov</w:t>
      </w:r>
      <w:proofErr w:type="spellEnd"/>
      <w:r w:rsidR="002E692A">
        <w:t xml:space="preserve">, 2013) </w:t>
      </w:r>
      <w:r w:rsidR="002E692A">
        <w:t xml:space="preserve">through a redistributive and recognitive lens. </w:t>
      </w:r>
      <w:r w:rsidRPr="003B1AC1">
        <w:t xml:space="preserve">The experiences of colonization including language shift or loss, sovereignty, and indigenous epistemologies are taken into account (Garza &amp; Ono, 2016). The consequences of colonialism are endemic to society today. With this history in mind, we must ask how development initiatives to provide racialized girls and women with period products represents another colonial project. </w:t>
      </w:r>
    </w:p>
    <w:p w14:paraId="226D7E3C" w14:textId="1F7E3E9E" w:rsidR="00F53219" w:rsidRPr="003B1AC1" w:rsidRDefault="00F53219" w:rsidP="00F53219">
      <w:pPr>
        <w:spacing w:line="480" w:lineRule="auto"/>
      </w:pPr>
      <w:r w:rsidRPr="003B1AC1">
        <w:rPr>
          <w:b/>
          <w:bCs/>
        </w:rPr>
        <w:tab/>
      </w:r>
      <w:proofErr w:type="spellStart"/>
      <w:r w:rsidRPr="003B1AC1">
        <w:t>Whitestreaming</w:t>
      </w:r>
      <w:proofErr w:type="spellEnd"/>
      <w:r w:rsidRPr="003B1AC1">
        <w:t xml:space="preserve"> is a term to describe how many feminist movements often ignore the scholarship and activism of people of color and perpetuate the structural systems of racism (Arvin, Tuck, &amp; Morrill, 2013). A whitestream narrative falsely assumes it is the only approach forward and innately supports a ‘white saviour’ mentality. Often there is a missionary aspect to feminist projects in which they want to spread and pioneer a brand of feminism into cultures it perceives as less than its own. In this sense, I want to be cautious as ‘period poverty’ is often </w:t>
      </w:r>
      <w:r w:rsidRPr="003B1AC1">
        <w:lastRenderedPageBreak/>
        <w:t>u</w:t>
      </w:r>
      <w:r w:rsidR="006822C1" w:rsidRPr="003B1AC1">
        <w:t>n</w:t>
      </w:r>
      <w:r w:rsidRPr="003B1AC1">
        <w:t xml:space="preserve">derstood as a “developing country problem”, so throughout my research I highlight that similar experiences are found in developed nations like Canada. </w:t>
      </w:r>
    </w:p>
    <w:p w14:paraId="5D907878" w14:textId="77777777" w:rsidR="00F53219" w:rsidRPr="003B1AC1" w:rsidRDefault="00F53219" w:rsidP="00F53219">
      <w:pPr>
        <w:spacing w:line="480" w:lineRule="auto"/>
        <w:rPr>
          <w:bCs/>
          <w:i/>
        </w:rPr>
      </w:pPr>
      <w:r w:rsidRPr="003B1AC1">
        <w:rPr>
          <w:bCs/>
          <w:i/>
        </w:rPr>
        <w:t xml:space="preserve">Moves to Innocence </w:t>
      </w:r>
    </w:p>
    <w:p w14:paraId="0A6A8809" w14:textId="5D92975C" w:rsidR="00F53219" w:rsidRPr="003B1AC1" w:rsidRDefault="00F53219" w:rsidP="00F53219">
      <w:pPr>
        <w:spacing w:line="480" w:lineRule="auto"/>
        <w:ind w:firstLine="720"/>
      </w:pPr>
      <w:r w:rsidRPr="003B1AC1">
        <w:t>Interest convergence theory spotlights how inclusion is often not a selfless regard for others, but rather a method of self-interest and self-preservation to maintain white power (Salter &amp; Haugen, 2017). Inclusion is a trope within a series of moves to innocence. In order to preserve white futurity, moves to innocence can be described as attempts by sett</w:t>
      </w:r>
      <w:r w:rsidR="006822C1" w:rsidRPr="003B1AC1">
        <w:t>l</w:t>
      </w:r>
      <w:r w:rsidRPr="003B1AC1">
        <w:t xml:space="preserve">ers to erase colonial blame and reconcile their guilt and complicity without having to change much at all (Tuck &amp; Yang, 2012). The end goal of any feminist advocacy should not only be inclusivity, as inclusion confers hierarchy and hierarchical power; the same structural systems feminism has grounded itself to be fighting (Arvin, Tuck, &amp; Morrill, 2013). Thus, CRT challenges feminists to not only reveal and dismantle structural and institutional systems that uphold racial power in society, but to also look within the organizations themselves. People who occupy positions of marginality in relation to the power hierarchy have a unique view of that hierarchy, so to avoid inclusion and </w:t>
      </w:r>
      <w:proofErr w:type="spellStart"/>
      <w:r w:rsidRPr="003B1AC1">
        <w:t>whitestreaming</w:t>
      </w:r>
      <w:proofErr w:type="spellEnd"/>
      <w:r w:rsidRPr="003B1AC1">
        <w:t xml:space="preserve">, the praxis of CRT values counter-storytelling as a tool for revealing and deconstructing societies racialized structures (Salter &amp; Haugen, 2017). </w:t>
      </w:r>
      <w:r w:rsidRPr="002E692A">
        <w:t xml:space="preserve">Counter-storytelling combats </w:t>
      </w:r>
      <w:proofErr w:type="spellStart"/>
      <w:r w:rsidRPr="002E692A">
        <w:t>whitestreamed</w:t>
      </w:r>
      <w:proofErr w:type="spellEnd"/>
      <w:r w:rsidRPr="002E692A">
        <w:t xml:space="preserve"> narratives that omit, distort and perpetuate stereotypes about people of color. It is imperative to acknowledge that marginalized voices contain irreplaceable knowledge about their own experiences of </w:t>
      </w:r>
      <w:r w:rsidR="006822C1" w:rsidRPr="002E692A">
        <w:t>oppression,</w:t>
      </w:r>
      <w:r w:rsidRPr="002E692A">
        <w:t xml:space="preserve"> and it is not for researchers or organizations to neglect. By uncovering marginalized </w:t>
      </w:r>
      <w:r w:rsidR="006822C1" w:rsidRPr="002E692A">
        <w:t>voices,</w:t>
      </w:r>
      <w:r w:rsidRPr="002E692A">
        <w:t xml:space="preserve"> we provide access to challenging societal norms of racism.</w:t>
      </w:r>
    </w:p>
    <w:p w14:paraId="33F17F16" w14:textId="53518941" w:rsidR="00F53219" w:rsidRPr="003B1AC1" w:rsidRDefault="00F53219" w:rsidP="00F53219">
      <w:pPr>
        <w:spacing w:line="480" w:lineRule="auto"/>
        <w:ind w:firstLine="720"/>
      </w:pPr>
      <w:r w:rsidRPr="003B1AC1">
        <w:t xml:space="preserve">Using CRT to challenge and critique human rights theory allows us to see that while using </w:t>
      </w:r>
      <w:r w:rsidR="006822C1" w:rsidRPr="003B1AC1">
        <w:t>rights-based</w:t>
      </w:r>
      <w:r w:rsidRPr="003B1AC1">
        <w:t xml:space="preserve"> arguments, we must also change structural </w:t>
      </w:r>
      <w:r w:rsidR="006822C1" w:rsidRPr="003B1AC1">
        <w:t>systems,</w:t>
      </w:r>
      <w:r w:rsidRPr="003B1AC1">
        <w:t xml:space="preserve"> so the responsibility of </w:t>
      </w:r>
      <w:r w:rsidRPr="003B1AC1">
        <w:lastRenderedPageBreak/>
        <w:t>menstruation shifts from an individual experience to one with societal and institutional obligations. CRT pushes for more radical institutional changes than reformist ones. For example, the menstrual equity movement’s public face has been largely white (</w:t>
      </w:r>
      <w:proofErr w:type="spellStart"/>
      <w:r w:rsidRPr="003B1AC1">
        <w:t>Bobel</w:t>
      </w:r>
      <w:proofErr w:type="spellEnd"/>
      <w:r w:rsidRPr="003B1AC1">
        <w:t xml:space="preserve"> &amp; Fahs, 2020). Since menstrual activism rejects the norm of what is proper to discuss in public, it is more dangerous for women of color whose bodies are consistently vilified. Discussing menstruation and challenging its taboos can render an activist “gross”, “dirty”, or “inappropriate”, the work may be less safe for those who occupy more precarious social positions. </w:t>
      </w:r>
    </w:p>
    <w:p w14:paraId="52A54336" w14:textId="4D32EA8A" w:rsidR="00F53219" w:rsidRPr="003B1AC1" w:rsidRDefault="00F53219" w:rsidP="00F53219">
      <w:pPr>
        <w:spacing w:line="480" w:lineRule="auto"/>
        <w:ind w:firstLine="720"/>
      </w:pPr>
      <w:r w:rsidRPr="003B1AC1">
        <w:t>A common theme among intersectional methodology, human rights and critical race theory is Martha Nussbaum’s (1999) notion of a “flourishing life”. This will look different to different people and in different cultures and countries, but it generally questions whose lives are liveable? Human rights and CRT can offer the possibility of unmasking, exposing and confronting continued colonization within institutional, representational and political contexts; transforming those contexts and structures to benefit racialized and marginalized people. Based on these two theoretical frameworks this study is able to examine discourses that are contributing to period poverty and menstrual stigma. Human rights theory, CRT and an intersectional methodology al</w:t>
      </w:r>
      <w:r w:rsidR="006822C1" w:rsidRPr="003B1AC1">
        <w:t>low</w:t>
      </w:r>
      <w:r w:rsidRPr="003B1AC1">
        <w:t xml:space="preserve"> us to identify gaps in knowledge, challenge conventional thinking and create space to interpret and dismantle structures that oppress marginalized people. </w:t>
      </w:r>
    </w:p>
    <w:p w14:paraId="29104EC0" w14:textId="77777777" w:rsidR="00F53219" w:rsidRPr="003B1AC1" w:rsidRDefault="00F53219" w:rsidP="00F53219">
      <w:pPr>
        <w:spacing w:line="480" w:lineRule="auto"/>
        <w:rPr>
          <w:b/>
          <w:bCs/>
        </w:rPr>
      </w:pPr>
    </w:p>
    <w:p w14:paraId="71A9F74F" w14:textId="77777777" w:rsidR="00F53219" w:rsidRPr="003B1AC1" w:rsidRDefault="00F53219" w:rsidP="00F53219">
      <w:pPr>
        <w:spacing w:line="480" w:lineRule="auto"/>
        <w:rPr>
          <w:b/>
          <w:bCs/>
        </w:rPr>
      </w:pPr>
      <w:r w:rsidRPr="003B1AC1">
        <w:rPr>
          <w:b/>
          <w:bCs/>
        </w:rPr>
        <w:t>Menstrual Equity and Challenging Menstrual Stigma with Human Rights Discourses</w:t>
      </w:r>
    </w:p>
    <w:p w14:paraId="50C4764F" w14:textId="77777777" w:rsidR="006822C1" w:rsidRPr="003B1AC1" w:rsidRDefault="00F53219" w:rsidP="006822C1">
      <w:pPr>
        <w:spacing w:line="480" w:lineRule="auto"/>
        <w:rPr>
          <w:bCs/>
        </w:rPr>
      </w:pPr>
      <w:r w:rsidRPr="003B1AC1">
        <w:rPr>
          <w:bCs/>
        </w:rPr>
        <w:tab/>
        <w:t xml:space="preserve">In the second half of this paper, I apply the methodological and theoretical frames discussed above to examine common narratives surrounding menstruation and to reflect on the best ways to advocate for menstrual health and resources for people who menstruate.  I use the </w:t>
      </w:r>
      <w:r w:rsidRPr="003B1AC1">
        <w:rPr>
          <w:bCs/>
        </w:rPr>
        <w:lastRenderedPageBreak/>
        <w:t xml:space="preserve">idea of universal human rights to counter discourses of exclusion, </w:t>
      </w:r>
      <w:proofErr w:type="spellStart"/>
      <w:r w:rsidRPr="003B1AC1">
        <w:rPr>
          <w:bCs/>
        </w:rPr>
        <w:t>pathologization</w:t>
      </w:r>
      <w:proofErr w:type="spellEnd"/>
      <w:r w:rsidRPr="003B1AC1">
        <w:rPr>
          <w:bCs/>
        </w:rPr>
        <w:t xml:space="preserve"> or abjection that most often use the idea of the female body as threatening or contaminated. </w:t>
      </w:r>
    </w:p>
    <w:p w14:paraId="21B01416" w14:textId="3D3C6391" w:rsidR="00F53219" w:rsidRPr="003B1AC1" w:rsidRDefault="00F53219" w:rsidP="006822C1">
      <w:pPr>
        <w:spacing w:line="480" w:lineRule="auto"/>
        <w:ind w:firstLine="720"/>
        <w:rPr>
          <w:bCs/>
        </w:rPr>
      </w:pPr>
      <w:r w:rsidRPr="003B1AC1">
        <w:t>As much of the scholarly literature reveals, the production of the menstruating body starts with puberty but, around the world, mixed messages are given to prepubertal girls. Even before a girl has experienced her first period, stereotypical beliefs about menstruation are part of socialization into traditional female “roles” (Newton, 2016). Having regular menstruation is a sign of health and fertility; it is inherently female. Beauty, freshness, cleanliness are societal constructs of femininity, however, dirty, bloody, smelly are qualities used in opposition that are associated with menstruation (Wilbur et al., 2019). This means menstruation is often linked to the inferiority and devaluation of femininity (Wilbur et al., 2019). This point is demonstrated by the “Tampon Experiment.” Participants interacted with a female associate who would accidentally drop either a tampon or a hair clip out of her bag. Results showed that reminders of a woman’s menstrual status led to more negative reactions towards her and an increased subordination of women in general (Roberts et al., 2002). The findings open up a dialogue to explain menstrual taboos. How girls learn about menstruation and their early experiences of it have an effect on how they perceive their bodies.</w:t>
      </w:r>
    </w:p>
    <w:p w14:paraId="7AFF5359" w14:textId="1BFB9D3A" w:rsidR="00F53219" w:rsidRPr="003B1AC1" w:rsidRDefault="00F53219" w:rsidP="00F53219">
      <w:pPr>
        <w:spacing w:line="480" w:lineRule="auto"/>
        <w:ind w:firstLine="720"/>
      </w:pPr>
      <w:r w:rsidRPr="003B1AC1">
        <w:t xml:space="preserve">Menstruating girls are told that they are now “grown-up” and urged to act “ladylike” in ways that restrict the freedom of behavior they had enjoyed in the past (Johnston &amp; </w:t>
      </w:r>
      <w:proofErr w:type="spellStart"/>
      <w:r w:rsidRPr="003B1AC1">
        <w:t>Chrisler</w:t>
      </w:r>
      <w:proofErr w:type="spellEnd"/>
      <w:r w:rsidRPr="003B1AC1">
        <w:t>, 2020). Thus</w:t>
      </w:r>
      <w:r w:rsidR="006822C1" w:rsidRPr="003B1AC1">
        <w:t>,</w:t>
      </w:r>
      <w:r w:rsidRPr="003B1AC1">
        <w:t xml:space="preserve"> menstruation marks the bodies of girls and women as different from the normative and privileged bodies of boys and men. Constructing the female body as unclean and in need of controlling serves to perpetuate gender conflicts of power and control. Historically, women’s biology was classified as debilitating and in need of medical intervention. The vast embrace of female hysteria in the 1800s or the persistent belief in the debilitating nature of premenstrual </w:t>
      </w:r>
      <w:r w:rsidRPr="003B1AC1">
        <w:lastRenderedPageBreak/>
        <w:t xml:space="preserve">syndrome (PMS) are examples of this (Crawford &amp; </w:t>
      </w:r>
      <w:proofErr w:type="spellStart"/>
      <w:r w:rsidRPr="003B1AC1">
        <w:t>Spivack</w:t>
      </w:r>
      <w:proofErr w:type="spellEnd"/>
      <w:r w:rsidRPr="003B1AC1">
        <w:t>, 2017). Women’s bodies become understood as lacking control of their boundaries. This narrative is reflected by many women reporting that other people have accused them of PMS, since the menstruating woman is commonly depicted as unstable, difficult, and demanding (</w:t>
      </w:r>
      <w:proofErr w:type="spellStart"/>
      <w:r w:rsidRPr="003B1AC1">
        <w:t>Peranovic</w:t>
      </w:r>
      <w:proofErr w:type="spellEnd"/>
      <w:r w:rsidRPr="003B1AC1">
        <w:t xml:space="preserve"> &amp; Bentley, 2016). The period product company, Kotex, joined the menstrual equity movement by confronting the PMS stigma through their #ItsNotMyPeriod campaign, which challenged viewers to pinpoint whether or not women were on their period solely based on their behavior (Coughlin, 2016). In the ad, all the viewers chose the woman who acted dramatically and responded to her coworkers with anger and frustration, calling her emotional, bossy and bitchy. However, the same viewers picked the bossy woman when asked whom they perceived to be the group’s leader, stating she had good ideas, communicated them to her team and appeared passionate about her work. The goal of the ad was to flip the script and get viewers to realize that it is a woman’s personality, not her period, that dictates her behavior (Coughlin, 2016). The stereotype that PMS makes women volatile invalidates their emotions and women should not feel obligated to blame their periods when they </w:t>
      </w:r>
      <w:r w:rsidRPr="003B1AC1">
        <w:rPr>
          <w:i/>
          <w:iCs/>
        </w:rPr>
        <w:t>do</w:t>
      </w:r>
      <w:r w:rsidRPr="003B1AC1">
        <w:t xml:space="preserve"> assert their opinions. Addressing menstrual stigma through a human rights framework seeks to promote agency and liberation from oppressive social norms.</w:t>
      </w:r>
    </w:p>
    <w:p w14:paraId="302D88DA" w14:textId="77777777" w:rsidR="00F53219" w:rsidRPr="003B1AC1" w:rsidRDefault="00F53219" w:rsidP="00F53219">
      <w:pPr>
        <w:spacing w:line="480" w:lineRule="auto"/>
        <w:ind w:firstLine="720"/>
      </w:pPr>
      <w:r w:rsidRPr="003B1AC1">
        <w:t xml:space="preserve">Women’s bodily functions are also seen as disgusting and indicative of weakness. During the 2016 presidential campaign, then candidate, Donald Trump made two inherently sexist comments in response to women who challenged his masculine persona. When confronted by Fox News host, Megyn Kelly, Trump retaliated by saying, “you could see there was blood coming out of her eyes, blood coming out of her…wherever” (Yan, 2015). Similarly, when Hillary Clinton was briefly absent from the debate stage following a commercial break, Trump insinuated, “I know where she went – it’s disgusting, I don’t want to talk about it…No, it’s too </w:t>
      </w:r>
      <w:r w:rsidRPr="003B1AC1">
        <w:lastRenderedPageBreak/>
        <w:t>disgusting” (Johnson, 2015). Just the idea of menstruating is so stigmatized that two highly influential and professional women had their dignity undermined through metaphorical imagery. From a young age, women are taught that their body’s natural process is something to be ashamed of, and something they need to conceal.</w:t>
      </w:r>
    </w:p>
    <w:p w14:paraId="5DE7CF10" w14:textId="77777777" w:rsidR="00F53219" w:rsidRPr="003B1AC1" w:rsidRDefault="00F53219" w:rsidP="00F53219">
      <w:pPr>
        <w:spacing w:line="480" w:lineRule="auto"/>
        <w:ind w:firstLine="360"/>
        <w:rPr>
          <w:shd w:val="clear" w:color="auto" w:fill="FFFFFF"/>
        </w:rPr>
      </w:pPr>
      <w:r w:rsidRPr="003B1AC1">
        <w:t xml:space="preserve">In modern culture, stigmatization encompasses two primary menstrual taboos: concealment and communication. These two menstrual taboos have been shown to be internalized at a young age and influence women’s right to dignity in negative ways (White, 2012). </w:t>
      </w:r>
      <w:r w:rsidRPr="003B1AC1">
        <w:rPr>
          <w:shd w:val="clear" w:color="auto" w:fill="FFFFFF"/>
        </w:rPr>
        <w:t xml:space="preserve">The concealment taboo prohibits open discussion of menstruation. But, we cannot talk about menstruation without talking about blood. There is a considerable difference between the perception of men’s bleeding and women’s bleeding. Men bleed because they want to, or voluntarily put themselves in places or situations like war in which another male may inflict a wound that causes them to bleed. It is brave, it is heroic, it is manly. However, when women bleed it is without choice or control. It is offensive, it is weak, it is feminine. Given the aversion to menstrual blood, a stain may be viewed as a demerit to a woman’s humanness. Any visible leaks of menstrual blood stains a woman’s femininity because she should have been able to use the appropriate products to conceal the evidence of her menses and keep it out of sight. Noticeable signs of menstruation represent contamination (Johnston &amp; </w:t>
      </w:r>
      <w:proofErr w:type="spellStart"/>
      <w:r w:rsidRPr="003B1AC1">
        <w:rPr>
          <w:shd w:val="clear" w:color="auto" w:fill="FFFFFF"/>
        </w:rPr>
        <w:t>Chrisler</w:t>
      </w:r>
      <w:proofErr w:type="spellEnd"/>
      <w:r w:rsidRPr="003B1AC1">
        <w:rPr>
          <w:shd w:val="clear" w:color="auto" w:fill="FFFFFF"/>
        </w:rPr>
        <w:t xml:space="preserve">, 2020). </w:t>
      </w:r>
    </w:p>
    <w:p w14:paraId="20FF77AD" w14:textId="77777777" w:rsidR="00F53219" w:rsidRPr="003B1AC1" w:rsidRDefault="00F53219" w:rsidP="00F53219">
      <w:pPr>
        <w:spacing w:line="480" w:lineRule="auto"/>
        <w:ind w:firstLine="360"/>
        <w:rPr>
          <w:shd w:val="clear" w:color="auto" w:fill="FFFFFF"/>
        </w:rPr>
      </w:pPr>
      <w:r w:rsidRPr="003B1AC1">
        <w:rPr>
          <w:shd w:val="clear" w:color="auto" w:fill="FFFFFF"/>
        </w:rPr>
        <w:t xml:space="preserve">Menstrual etiquette requires women to conceal their menstrual flow if they want to occupy spaces along with men and non-menstruating women or become socially invisible. Concealment methods include hiding period products inside of sleeves on the way to the restroom, constantly checking clothes for any leaks or stains, and whispering to other women in search of a needed product in order to avoid embarrassing themselves or others (Viera, 2019). The self-monitoring for leaks and odors is a waste of women’s time and energy that could be used on more important </w:t>
      </w:r>
      <w:r w:rsidRPr="003B1AC1">
        <w:rPr>
          <w:shd w:val="clear" w:color="auto" w:fill="FFFFFF"/>
        </w:rPr>
        <w:lastRenderedPageBreak/>
        <w:t>or interesting endeavors. The human right to dignity supports a world in which menstruators are freed from body-based stigma and its mandate to conceal and contain the menstrual body. Reconceptualizing stigma in a human rights framework does not prescribe a “proper” way to menstruate. Women and girls may choose to free-bleed, or to apply one of many available products. The point is creating an environment where women and girls are supported to care for their bodies in ways that are right for them (</w:t>
      </w:r>
      <w:proofErr w:type="spellStart"/>
      <w:r w:rsidRPr="003B1AC1">
        <w:rPr>
          <w:shd w:val="clear" w:color="auto" w:fill="FFFFFF"/>
        </w:rPr>
        <w:t>Bobel</w:t>
      </w:r>
      <w:proofErr w:type="spellEnd"/>
      <w:r w:rsidRPr="003B1AC1">
        <w:rPr>
          <w:shd w:val="clear" w:color="auto" w:fill="FFFFFF"/>
        </w:rPr>
        <w:t xml:space="preserve"> &amp; Fahs, 2020). Upholding dignity is not about managing the menstrual body so that no evidence of menstruation is detected as that narrative reifies shame, silence, and secrecy.</w:t>
      </w:r>
    </w:p>
    <w:p w14:paraId="039ED9AE" w14:textId="77777777" w:rsidR="00F53219" w:rsidRPr="003B1AC1" w:rsidRDefault="00F53219" w:rsidP="00F53219">
      <w:pPr>
        <w:spacing w:line="480" w:lineRule="auto"/>
        <w:ind w:firstLine="360"/>
      </w:pPr>
      <w:r w:rsidRPr="003B1AC1">
        <w:t xml:space="preserve">Menstrual stigma is perpetuated through silence. The communication taboo prohibits open discussion of menstruation, which inhibits girls from having an accurate foundation of menstrual knowledge and preparation for reproductive health. At school, when boys and girls are separated to view films about puberty, when mothers arrange one-on-one private talks with their daughters, or there is limited to no open communication, they are conveying parameters and secrecy that mark menstruation as a “special topic”, not one for regular conversations (Johnston &amp; </w:t>
      </w:r>
      <w:proofErr w:type="spellStart"/>
      <w:r w:rsidRPr="003B1AC1">
        <w:t>Chrisler</w:t>
      </w:r>
      <w:proofErr w:type="spellEnd"/>
      <w:r w:rsidRPr="003B1AC1">
        <w:t xml:space="preserve">, 2020). Exclusive discussions held in private conveys the impression that menstruation is an undignified event that must be concealed from others and never openly discussed. </w:t>
      </w:r>
    </w:p>
    <w:p w14:paraId="001193AC" w14:textId="77777777" w:rsidR="00F53219" w:rsidRPr="003B1AC1" w:rsidRDefault="00F53219" w:rsidP="00F53219">
      <w:pPr>
        <w:spacing w:line="480" w:lineRule="auto"/>
        <w:ind w:firstLine="360"/>
      </w:pPr>
      <w:r w:rsidRPr="003B1AC1">
        <w:t xml:space="preserve">Girls have come to depend on the menstrual products industry for instruction on menstruation. However, the hypervisibility of menstrual products which are often white, and clean fails to examine any level of menstrual stigma, which ultimately ignores a women’s dignity. The content emphasized by sanitary products is focused on menstrual management and hygiene; presenting menstruation as a “hygiene crisis” (White, 2012). The language surrounding menstruation and its associated products plays a major role in how periods are represented through communication. </w:t>
      </w:r>
    </w:p>
    <w:p w14:paraId="3D5AEE73" w14:textId="77777777" w:rsidR="00F53219" w:rsidRPr="003B1AC1" w:rsidRDefault="00F53219" w:rsidP="00F53219">
      <w:pPr>
        <w:spacing w:line="480" w:lineRule="auto"/>
        <w:ind w:firstLine="360"/>
      </w:pPr>
      <w:r w:rsidRPr="003B1AC1">
        <w:lastRenderedPageBreak/>
        <w:t xml:space="preserve">The communication taboo is supported by the existence of a plethora of euphemisms for menstruation in order to save a woman from embarrassment and to keep her dignity intact. For example, some euphemisms refer to female visitors (“my aunt Flo is here”), others to cyclicity (“it’s that time again”), to illness or distress </w:t>
      </w:r>
      <w:proofErr w:type="gramStart"/>
      <w:r w:rsidRPr="003B1AC1">
        <w:t>( “</w:t>
      </w:r>
      <w:proofErr w:type="gramEnd"/>
      <w:r w:rsidRPr="003B1AC1">
        <w:t xml:space="preserve">the curse”, “the misery”), to redness or blood (“I’m wearing red shoes today”, “red plague”), or to menstrual products (“on the rag”, “riding the cotton pony”) (Johnston &amp; </w:t>
      </w:r>
      <w:proofErr w:type="spellStart"/>
      <w:r w:rsidRPr="003B1AC1">
        <w:t>Chrisler</w:t>
      </w:r>
      <w:proofErr w:type="spellEnd"/>
      <w:r w:rsidRPr="003B1AC1">
        <w:t xml:space="preserve">, 2020). If menstruation was not stigmatized, there would be no reason to call it anything other than its formal name – menstruation or menses. As the period poverty discourse grows in popularity, girls must resist and rewrite the negative menstrual narrative transmitted by the product industry and their mothers. </w:t>
      </w:r>
    </w:p>
    <w:p w14:paraId="647A77C3" w14:textId="77777777" w:rsidR="00F53219" w:rsidRPr="003B1AC1" w:rsidRDefault="00F53219" w:rsidP="00F53219">
      <w:pPr>
        <w:spacing w:line="480" w:lineRule="auto"/>
        <w:ind w:firstLine="360"/>
      </w:pPr>
      <w:r w:rsidRPr="003B1AC1">
        <w:t>By referring to menstrual products as “sanitary”, or “feminine hygiene” products reinforces the idea that menstruating women are unsanitary. The discourse of menstrual hygiene management constructs dignity as dependent on menstrual invisibility. Caution must be taken so that the right to dignity does not become a trope to be leveraged for menstrual product access (</w:t>
      </w:r>
      <w:proofErr w:type="spellStart"/>
      <w:r w:rsidRPr="003B1AC1">
        <w:t>Bobel</w:t>
      </w:r>
      <w:proofErr w:type="spellEnd"/>
      <w:r w:rsidRPr="003B1AC1">
        <w:t xml:space="preserve"> &amp; Fahs, 2020). People are socialized to think about menstruation through products like tampons, pads, and cups, but the view distracts from a more complex analysis of the sociocultural and political realities that shape menstrual stigmatizations. Framing menstruation as product focused strips the human rights framework of its more profound critical capacity and only continues to produce a solution that hides menstruation from public view. </w:t>
      </w:r>
    </w:p>
    <w:p w14:paraId="49514DFA" w14:textId="77777777" w:rsidR="00F53219" w:rsidRPr="003B1AC1" w:rsidRDefault="00F53219" w:rsidP="00F53219">
      <w:pPr>
        <w:spacing w:line="480" w:lineRule="auto"/>
        <w:ind w:firstLine="360"/>
      </w:pPr>
      <w:r w:rsidRPr="003B1AC1">
        <w:t xml:space="preserve">The underlying assumption is that the woman who makes her menstrual status detectable is undignified. </w:t>
      </w:r>
      <w:r w:rsidRPr="003B1AC1">
        <w:rPr>
          <w:shd w:val="clear" w:color="auto" w:fill="FFFFFF"/>
        </w:rPr>
        <w:t xml:space="preserve">The reality of discriminatory social norms, combined with the social stigma attached to having a period, has long lasting implications on a woman’s life (Okamoto &amp; </w:t>
      </w:r>
      <w:proofErr w:type="spellStart"/>
      <w:r w:rsidRPr="003B1AC1">
        <w:rPr>
          <w:shd w:val="clear" w:color="auto" w:fill="FFFFFF"/>
        </w:rPr>
        <w:t>Molland</w:t>
      </w:r>
      <w:proofErr w:type="spellEnd"/>
      <w:r w:rsidRPr="003B1AC1">
        <w:rPr>
          <w:shd w:val="clear" w:color="auto" w:fill="FFFFFF"/>
        </w:rPr>
        <w:t xml:space="preserve">, 2019). Women have reported high level of self-consciousness during menstruation (Johnston &amp; </w:t>
      </w:r>
      <w:proofErr w:type="spellStart"/>
      <w:r w:rsidRPr="003B1AC1">
        <w:rPr>
          <w:shd w:val="clear" w:color="auto" w:fill="FFFFFF"/>
        </w:rPr>
        <w:t>Chrisler</w:t>
      </w:r>
      <w:proofErr w:type="spellEnd"/>
      <w:r w:rsidRPr="003B1AC1">
        <w:rPr>
          <w:shd w:val="clear" w:color="auto" w:fill="FFFFFF"/>
        </w:rPr>
        <w:t xml:space="preserve">, 2020). The behaviors they engaged in and the activities they avoided, reflected their </w:t>
      </w:r>
      <w:r w:rsidRPr="003B1AC1">
        <w:rPr>
          <w:shd w:val="clear" w:color="auto" w:fill="FFFFFF"/>
        </w:rPr>
        <w:lastRenderedPageBreak/>
        <w:t>determination to hide their menstrual status from others. Taboos and stigma around menstruation are rooted in perceptions that menstruation is something dirty, to be ashamed of, and to be hidden. This can create or reinforce discriminatory practices against women and girls, hampering their dignity and impacting gender equality (</w:t>
      </w:r>
      <w:proofErr w:type="spellStart"/>
      <w:r w:rsidRPr="003B1AC1">
        <w:rPr>
          <w:shd w:val="clear" w:color="auto" w:fill="FFFFFF"/>
        </w:rPr>
        <w:t>Bobel</w:t>
      </w:r>
      <w:proofErr w:type="spellEnd"/>
      <w:r w:rsidRPr="003B1AC1">
        <w:rPr>
          <w:shd w:val="clear" w:color="auto" w:fill="FFFFFF"/>
        </w:rPr>
        <w:t xml:space="preserve"> &amp; Fahs, 2020).</w:t>
      </w:r>
    </w:p>
    <w:p w14:paraId="4F295D5D" w14:textId="77777777" w:rsidR="00F53219" w:rsidRPr="003B1AC1" w:rsidRDefault="00F53219" w:rsidP="00F53219">
      <w:pPr>
        <w:spacing w:line="480" w:lineRule="auto"/>
        <w:rPr>
          <w:bCs/>
          <w:i/>
        </w:rPr>
      </w:pPr>
      <w:r w:rsidRPr="003B1AC1">
        <w:rPr>
          <w:bCs/>
          <w:i/>
        </w:rPr>
        <w:t>Menstruation and the Human Right to Non-Discrimination and Gender Equality</w:t>
      </w:r>
    </w:p>
    <w:p w14:paraId="00EFA80F" w14:textId="77777777" w:rsidR="00F53219" w:rsidRPr="003B1AC1" w:rsidRDefault="00F53219" w:rsidP="00F53219">
      <w:pPr>
        <w:spacing w:line="480" w:lineRule="auto"/>
        <w:ind w:firstLine="720"/>
      </w:pPr>
      <w:r w:rsidRPr="003B1AC1">
        <w:t>The human right to non-discrimination and gender equality also encompasses the stigmas and taboos related to menstruation that reinforce discriminatory practices. Keeping menstruation as a taboo topic of discussion for both boys and girls perpetuates the stigma and embarrassment; thus, legitimizing the idea that men should feel uncomfortable about openly discussing menstruation (</w:t>
      </w:r>
      <w:proofErr w:type="spellStart"/>
      <w:r w:rsidRPr="003B1AC1">
        <w:t>Peranovic</w:t>
      </w:r>
      <w:proofErr w:type="spellEnd"/>
      <w:r w:rsidRPr="003B1AC1">
        <w:t xml:space="preserve"> &amp; Bentley, 2017). Male perceptions of menstruation are not necessarily based in the material reality of women’s bodies. Boys are commonly excluded from menstrual education, which conflates their confusion and lack of understanding of the female body. </w:t>
      </w:r>
      <w:r w:rsidRPr="002E692A">
        <w:t xml:space="preserve">For example, National Aeronautics and Space Administration (NASA) engineers asked Sally Ride, the first female astronaut, if one hundred tampons would be sufficient for her </w:t>
      </w:r>
      <w:proofErr w:type="gramStart"/>
      <w:r w:rsidRPr="002E692A">
        <w:t>seven day</w:t>
      </w:r>
      <w:proofErr w:type="gramEnd"/>
      <w:r w:rsidRPr="002E692A">
        <w:t xml:space="preserve"> trip to space (Crawford &amp; </w:t>
      </w:r>
      <w:proofErr w:type="spellStart"/>
      <w:r w:rsidRPr="002E692A">
        <w:t>Spivack</w:t>
      </w:r>
      <w:proofErr w:type="spellEnd"/>
      <w:r w:rsidRPr="002E692A">
        <w:t>, 2017).</w:t>
      </w:r>
      <w:r w:rsidRPr="003B1AC1">
        <w:t xml:space="preserve"> This example demonstrates a high degree of ignorance and anxiety about women’s bodies, which may be related to the invisibility of the issue. </w:t>
      </w:r>
    </w:p>
    <w:p w14:paraId="050EF0D0" w14:textId="77777777" w:rsidR="00F53219" w:rsidRPr="003B1AC1" w:rsidRDefault="00F53219" w:rsidP="00F53219">
      <w:pPr>
        <w:spacing w:line="480" w:lineRule="auto"/>
        <w:ind w:firstLine="720"/>
      </w:pPr>
      <w:r w:rsidRPr="003B1AC1">
        <w:t xml:space="preserve">Not talking to boys and men about periods validates the notion that anything outside the cis-male experience is abnormal (George, 2019). Challenging period poverty and promoting gender equality and non-discrimination will require comprehensive sexual health programs and school curriculums that encourage and engage both girls and boys in order to support them in resisting stereotypes and to replace them with more understanding and affirming messages (Clark, 2016). Menstruation must not be framed as a “women’s problem.” Men must see that women’s health is not irrelevant to them. Menstruation is important for men to understand </w:t>
      </w:r>
      <w:r w:rsidRPr="003B1AC1">
        <w:lastRenderedPageBreak/>
        <w:t xml:space="preserve">because men have notable stakes in reproductive health (Winkler, 2019). Achieving gender equality and non-discrimination will require structural changes, but to make these changes happen, men need to feel included and invested in the issue. </w:t>
      </w:r>
    </w:p>
    <w:p w14:paraId="2939193B" w14:textId="7BFB6CEE" w:rsidR="00F53219" w:rsidRPr="003B1AC1" w:rsidRDefault="00F53219" w:rsidP="00F53219">
      <w:pPr>
        <w:spacing w:line="480" w:lineRule="auto"/>
        <w:ind w:firstLine="360"/>
      </w:pPr>
      <w:r w:rsidRPr="003B1AC1">
        <w:t xml:space="preserve">Globally, menstruation has involved a stigmatization of women’s bodies despite it being a biological process. The solution usually advocated for overcoming menstrual inequity is for menstrual products to be made affordable but, the myths and misconceptions surrounding menstruation must be addressed as exemplified by a recent incident occurring in a western Indian state. In India, menstruating girls and women are barred from entering particular spaces, such as temples and kitchens, and are not allowed to touch holy books or prepare food because they are viewed as “impure” (Randolph &amp; Singh, 2020). </w:t>
      </w:r>
      <w:r w:rsidR="00405911">
        <w:t>In 2020, a</w:t>
      </w:r>
      <w:r w:rsidRPr="003B1AC1">
        <w:t xml:space="preserve"> complaint was made by student housing to a university that menstruating women had broken the rules (Pandey, 2020). As a result, the university administration forced the female college students to strip in front of teachers and show their underwear to prove that they were not menstruating (Pandey, 2020). Humiliating and traumatic experiences due to discrimination against women on account of menstruation. Moreover, Nepalese women are exiled to menstrual huts by a centuries old tradition called “</w:t>
      </w:r>
      <w:proofErr w:type="spellStart"/>
      <w:r w:rsidRPr="003B1AC1">
        <w:t>chhaupadi</w:t>
      </w:r>
      <w:proofErr w:type="spellEnd"/>
      <w:r w:rsidRPr="003B1AC1">
        <w:t>” (</w:t>
      </w:r>
      <w:proofErr w:type="spellStart"/>
      <w:r w:rsidRPr="003B1AC1">
        <w:t>PantyProp</w:t>
      </w:r>
      <w:proofErr w:type="spellEnd"/>
      <w:r w:rsidRPr="003B1AC1">
        <w:t>, 2017). The practice was banned in 2005, but superstitions remain that Nepalese Hindu women are considered “impure” during menstruation, so they are prohibited from participating in daily activities (</w:t>
      </w:r>
      <w:proofErr w:type="spellStart"/>
      <w:r w:rsidRPr="003B1AC1">
        <w:t>PantyProp</w:t>
      </w:r>
      <w:proofErr w:type="spellEnd"/>
      <w:r w:rsidRPr="003B1AC1">
        <w:t>, 2017). These are only two examples of the continuous violations of a women’s right to gender equality and non-discrimination.</w:t>
      </w:r>
    </w:p>
    <w:p w14:paraId="0E89BE37" w14:textId="77777777" w:rsidR="00F53219" w:rsidRPr="003B1AC1" w:rsidRDefault="00F53219" w:rsidP="00F53219">
      <w:pPr>
        <w:spacing w:line="480" w:lineRule="auto"/>
        <w:ind w:firstLine="360"/>
      </w:pPr>
      <w:r w:rsidRPr="003B1AC1">
        <w:t xml:space="preserve">Barriers to accessing menstrual products can come in many forms, but one of the most obvious barriers is money. Feminine hygiene products were found to be one of the top three material costs of being a woman, as determined by a 2018 Plan International study (Singh, </w:t>
      </w:r>
      <w:r w:rsidRPr="003B1AC1">
        <w:lastRenderedPageBreak/>
        <w:t xml:space="preserve">2019). Depending on the country, women spend approximately US$6,000 during their lifetime on menstrual products (Crawford, 2019). With one and half billion people living on less than $1.25 a day, it is understandable that cost of sanitary pads is an unaffordable monthly expense (Plan International Canada, 2019). </w:t>
      </w:r>
    </w:p>
    <w:p w14:paraId="55530CFF" w14:textId="77777777" w:rsidR="00F53219" w:rsidRPr="003B1AC1" w:rsidRDefault="00F53219" w:rsidP="00F53219">
      <w:pPr>
        <w:spacing w:line="480" w:lineRule="auto"/>
        <w:ind w:firstLine="360"/>
      </w:pPr>
      <w:r w:rsidRPr="003B1AC1">
        <w:t xml:space="preserve">To combat the unfair financial burden placed on people with periods who already earn less than a cisgender man there is a push for governments to eliminate the “pink tax” -- a gender-based taxation (Okamoto &amp; </w:t>
      </w:r>
      <w:proofErr w:type="spellStart"/>
      <w:r w:rsidRPr="003B1AC1">
        <w:t>Molland</w:t>
      </w:r>
      <w:proofErr w:type="spellEnd"/>
      <w:r w:rsidRPr="003B1AC1">
        <w:t>, 2019). The pink tax is a discriminatory consumption tax that only about half of the population is subject to. The term refers to the extra amount of money paid by menstruators (most of whom are women) to purchase specific products and services that are nearly identical to the ones purchased by men at lower prices (</w:t>
      </w:r>
      <w:proofErr w:type="spellStart"/>
      <w:r w:rsidRPr="003B1AC1">
        <w:rPr>
          <w:shd w:val="clear" w:color="auto" w:fill="FFFFFF"/>
        </w:rPr>
        <w:t>Yazıcıoğlu</w:t>
      </w:r>
      <w:proofErr w:type="spellEnd"/>
      <w:r w:rsidRPr="003B1AC1">
        <w:rPr>
          <w:shd w:val="clear" w:color="auto" w:fill="FFFFFF"/>
        </w:rPr>
        <w:t>, 2018). Some examples of products that women pay more for include: clothes, shampoo and conditioner, razors, deodorant, and lotions. The color pink emerged as a gendered color so, most products manufactured in pink or in pink packages were designed to be overpriced and sold to women (</w:t>
      </w:r>
      <w:proofErr w:type="spellStart"/>
      <w:r w:rsidRPr="003B1AC1">
        <w:rPr>
          <w:shd w:val="clear" w:color="auto" w:fill="FFFFFF"/>
        </w:rPr>
        <w:t>Yazıcıoğlu</w:t>
      </w:r>
      <w:proofErr w:type="spellEnd"/>
      <w:r w:rsidRPr="003B1AC1">
        <w:rPr>
          <w:shd w:val="clear" w:color="auto" w:fill="FFFFFF"/>
        </w:rPr>
        <w:t>, 2018</w:t>
      </w:r>
      <w:r w:rsidRPr="003B1AC1">
        <w:t xml:space="preserve">). As a result, the ‘pink tax’ is named for its subliminal marketing of the color pink toward women. </w:t>
      </w:r>
    </w:p>
    <w:p w14:paraId="6E267FFE" w14:textId="77777777" w:rsidR="00F53219" w:rsidRPr="003B1AC1" w:rsidRDefault="00F53219" w:rsidP="00F53219">
      <w:pPr>
        <w:spacing w:line="480" w:lineRule="auto"/>
        <w:ind w:firstLine="360"/>
        <w:rPr>
          <w:shd w:val="clear" w:color="auto" w:fill="FFFFFF"/>
        </w:rPr>
      </w:pPr>
      <w:r w:rsidRPr="003B1AC1">
        <w:t xml:space="preserve">Women pay more than men 42% of the time (Elliott, 2020). Which amounts to approximately US$1,300 more a year in extra costs. Furthermore, a study conducted by the New York City Consumer Affairs (2015) discovered that the average women’s product costs 7% more than similar products for men. While women can avoid paying the pink tax in some cases by choosing the male version of a product, there is no option when it comes to menstrual products. One particularly controversial portion of the pink tax is called the tampon tax, a fee menstruators are charged for period products, which are deemed to be ‘luxury items’ (Dreher, 2019). However, buying menstrual products is not optional, these products are an essential part of a </w:t>
      </w:r>
      <w:r w:rsidRPr="003B1AC1">
        <w:lastRenderedPageBreak/>
        <w:t xml:space="preserve">normal, public life for people with periods. Taxing products used primarily by women is to tax them on the basis of their sex and gender identity, something which is in violation of their human rights. </w:t>
      </w:r>
    </w:p>
    <w:p w14:paraId="56092444" w14:textId="77777777" w:rsidR="00F53219" w:rsidRPr="003B1AC1" w:rsidRDefault="00F53219" w:rsidP="00F53219">
      <w:pPr>
        <w:spacing w:line="480" w:lineRule="auto"/>
        <w:ind w:firstLine="360"/>
      </w:pPr>
      <w:r w:rsidRPr="003B1AC1">
        <w:t>In 2014, it is estimated that 17,876,392 Canadian women between the ages of twelve and forty-nine spent about $519,976,963 on menstrual products (Canadian Menstruators, n.d.), allowing the government to collect roughly $36,398,387 in government sales tax (Crawford, 2019). During the fight against the Canadian government to remove the “tampon tax,” an organization called the Canadian Menstruators launched a campaign, #NoTaxOnTampons, along with an online petition that received nearly 75,000 online signatures and 10,082 paper signatures; sparking a national conversation (Canadian Menstruators, n.d.). Then, in May 2015, the group was joined by two female NDP members of parliament who brought their petition forward to be debated in the House of Commons (Canadian Menstruators, n.d.). The vote was unanimous and the motion was passed to remove GST from menstrual products.</w:t>
      </w:r>
    </w:p>
    <w:p w14:paraId="37C11B3F" w14:textId="77777777" w:rsidR="00F53219" w:rsidRPr="003B1AC1" w:rsidRDefault="00F53219" w:rsidP="00F53219">
      <w:pPr>
        <w:spacing w:line="480" w:lineRule="auto"/>
        <w:ind w:firstLine="360"/>
      </w:pPr>
      <w:r w:rsidRPr="003B1AC1">
        <w:t xml:space="preserve"> Canada became the second country to remove the sales tax, following Kenya, which was the first country to do so in 2004, then India and Colombia in 2018, and Australia and Rwanda in 2019 (Rios, 2020). In other countries, however, the sales tax on period products is as high as 27%, such as the case in Hungary (Rios, 2020). Although, even with the elimination of the GST, the Canadian government did not remove international trade tariffs, which still causes the high cost of essential menstrual products to be out of reach for homeless, low-income, and marginalized women (Singh, 2019). Ensuring menstrual products are affordable acknowledges a women’s right to gender equality and non-discrimination in managing a process that is natural; however, period poverty is still far more intricate than simply advocating for cheaper menstrual products.</w:t>
      </w:r>
    </w:p>
    <w:p w14:paraId="063F11DD" w14:textId="77777777" w:rsidR="00F53219" w:rsidRPr="003B1AC1" w:rsidRDefault="00F53219" w:rsidP="00F53219">
      <w:pPr>
        <w:spacing w:line="480" w:lineRule="auto"/>
        <w:ind w:firstLine="360"/>
      </w:pPr>
      <w:r w:rsidRPr="003B1AC1">
        <w:lastRenderedPageBreak/>
        <w:t>While prices vary across Canada, women in rural communities can pay double the price for the same products found in larger cities. For example, in Iqaluit, a 40 pack of tampons cost $14.99 and in Attawapiskat it’s $17.89, whereas the same pack at Walmart, in Toronto is only $7.97 (Malone, 2017). An organization in Halifax calculated that the cost of tampons and pads nearly consumes 8% of someone’s personal allowance if they are living on Income Assistance (</w:t>
      </w:r>
      <w:proofErr w:type="spellStart"/>
      <w:r w:rsidRPr="003B1AC1">
        <w:t>Mombourquette</w:t>
      </w:r>
      <w:proofErr w:type="spellEnd"/>
      <w:r w:rsidRPr="003B1AC1">
        <w:t xml:space="preserve">, 2019). As a result, many girls and women cannot afford period products or are conflicted with the notion of purchasing food, medication or menstrual products (Viera, 2019). These are choices women should not be forced to make. Removing the tampon tax to make menstrual products more affordable is one part of a solution to battle period poverty but, overcoming period poverty will require a nuanced and complicated set of systemic changes. </w:t>
      </w:r>
    </w:p>
    <w:p w14:paraId="3C9CF3D2" w14:textId="77777777" w:rsidR="00F53219" w:rsidRPr="003B1AC1" w:rsidRDefault="00F53219" w:rsidP="00F53219">
      <w:pPr>
        <w:spacing w:line="480" w:lineRule="auto"/>
        <w:rPr>
          <w:bCs/>
          <w:i/>
        </w:rPr>
      </w:pPr>
      <w:r w:rsidRPr="003B1AC1">
        <w:rPr>
          <w:bCs/>
          <w:i/>
        </w:rPr>
        <w:t>Menstruation and the Human Right to Health and Well-being</w:t>
      </w:r>
    </w:p>
    <w:p w14:paraId="6C42A364" w14:textId="77777777" w:rsidR="00F53219" w:rsidRPr="003B1AC1" w:rsidRDefault="00F53219" w:rsidP="00F53219">
      <w:pPr>
        <w:spacing w:line="480" w:lineRule="auto"/>
        <w:ind w:firstLine="357"/>
      </w:pPr>
      <w:r w:rsidRPr="003B1AC1">
        <w:t xml:space="preserve">Access to menstrual products cannot be the end goal of menstrual equity, but poverty is a significant factor affecting period poverty as it is leveraged to exert social control over women’s bodies – harming their right to health and well-being. Poverty is a multifaceted phenomenon that comprises a lack of both income opportunities and basic capabilities to live a healthy life. Nearly ten percent of the world’s population, approximately 700 million people are living below the poverty line of $1.90 per day (World Bank, 2020) Almost half the world, four billion people, live with a household income below $2.50 a day (World Bank, 2020). </w:t>
      </w:r>
    </w:p>
    <w:p w14:paraId="538326F1" w14:textId="77777777" w:rsidR="00F53219" w:rsidRPr="003B1AC1" w:rsidRDefault="00F53219" w:rsidP="00F53219">
      <w:pPr>
        <w:spacing w:line="480" w:lineRule="auto"/>
        <w:ind w:firstLine="357"/>
      </w:pPr>
      <w:r w:rsidRPr="003B1AC1">
        <w:t xml:space="preserve">According to the 2016 Canada census, the overall poverty rate for racialized people was 22% - double the rate of non-racialized people (Chair in Indigenous Governance, n.d.). The average annual income of the total population was $33,000, but only $19,132 for an individual of Indigenous ancestry, and a meager $14,616 for an Indigenous person living on reserve (Chair in Indigenous Governance, n.d.). Furthermore, more than two million women live just at or below </w:t>
      </w:r>
      <w:r w:rsidRPr="003B1AC1">
        <w:lastRenderedPageBreak/>
        <w:t>the low-income measure, set by Statistics Canada, with the highest rates of poverty among Indigenous women, women of color, and immigrants (Singh, 2019). The wage gap contributes to this inequality as women earn $0.87 for every dollar earned by their male counterparts. This gap is not the full story, as this gap highlights the inequality that white women face but, does not address the reality that racialized women earn $0.556 for every dollar non-racialized men earn and racialized women earn $0.882 for every dollar non-racialized women earn (Williams, 2018). As a result, the median income of Indigenous women is $19,289, which is $5,500 less than their non-Indigenous counterparts (Malone, 2017). This means that tough health choices have to be made in the wallets of racialized and marginalized women.</w:t>
      </w:r>
    </w:p>
    <w:p w14:paraId="6979CFE1" w14:textId="77777777" w:rsidR="00F53219" w:rsidRPr="003B1AC1" w:rsidRDefault="00F53219" w:rsidP="00F53219">
      <w:pPr>
        <w:spacing w:line="480" w:lineRule="auto"/>
        <w:ind w:firstLine="357"/>
      </w:pPr>
      <w:r w:rsidRPr="003B1AC1">
        <w:t>In order to re-imagine a more just society, there must be awareness that black and brown bodies have been “othered” and regulated. Due to the loss of capital accumulation as a condition of slavery and colonialism, Indigenous communities experience disproportionate levels of both absolute and relative poverty. They often lack the ability to access a minimum standard of food, safe drinking water, shelter, and other necessities as well as basic resources while living below the general population’s living standards (</w:t>
      </w:r>
      <w:proofErr w:type="spellStart"/>
      <w:r w:rsidRPr="003B1AC1">
        <w:t>Lammam</w:t>
      </w:r>
      <w:proofErr w:type="spellEnd"/>
      <w:r w:rsidRPr="003B1AC1">
        <w:t xml:space="preserve"> &amp; </w:t>
      </w:r>
      <w:proofErr w:type="spellStart"/>
      <w:r w:rsidRPr="003B1AC1">
        <w:t>MacIntyre</w:t>
      </w:r>
      <w:proofErr w:type="spellEnd"/>
      <w:r w:rsidRPr="003B1AC1">
        <w:t xml:space="preserve">, 2016). Absolute and relative poverty both present real challenges to people’s long-term health and well-being. </w:t>
      </w:r>
    </w:p>
    <w:p w14:paraId="0128CCE6" w14:textId="77777777" w:rsidR="00F53219" w:rsidRPr="003B1AC1" w:rsidRDefault="00F53219" w:rsidP="00F53219">
      <w:pPr>
        <w:spacing w:line="480" w:lineRule="auto"/>
        <w:ind w:firstLine="357"/>
      </w:pPr>
      <w:r w:rsidRPr="003B1AC1">
        <w:t>Poverty makes it more difficult for women to practice good menstrual health. Women and girls may experience negative health consequences when they lack the supplies and facilities to manage their periods. For example, if menstrual health is neglected, it can lead to toxic shock syndrome, reproductive tract infections, and other vaginal diseases (Kaur et al., 2018). The menstrual cycle is a meaningful marker of health and well-being, but menstrual discourse often decontextualizes menstruation, eliminating it from the continuous menstrual cycle that impacts multiple body systems (</w:t>
      </w:r>
      <w:proofErr w:type="spellStart"/>
      <w:r w:rsidRPr="003B1AC1">
        <w:t>Bobel</w:t>
      </w:r>
      <w:proofErr w:type="spellEnd"/>
      <w:r w:rsidRPr="003B1AC1">
        <w:t xml:space="preserve"> &amp; Fahs, 2020). The menstrual cycle is a window into the general </w:t>
      </w:r>
      <w:r w:rsidRPr="003B1AC1">
        <w:lastRenderedPageBreak/>
        <w:t>health and well-being of women, and not just a reproductive event. Menstruation can indicate the status of bone health, heart disease, and ovarian failure as well as long-term fertility (</w:t>
      </w:r>
      <w:proofErr w:type="spellStart"/>
      <w:r w:rsidRPr="003B1AC1">
        <w:t>Bobel</w:t>
      </w:r>
      <w:proofErr w:type="spellEnd"/>
      <w:r w:rsidRPr="003B1AC1">
        <w:t xml:space="preserve"> &amp; Fahs, 2020). </w:t>
      </w:r>
    </w:p>
    <w:p w14:paraId="15494516" w14:textId="77777777" w:rsidR="00F53219" w:rsidRPr="003B1AC1" w:rsidRDefault="00F53219" w:rsidP="00F53219">
      <w:pPr>
        <w:spacing w:line="480" w:lineRule="auto"/>
        <w:ind w:firstLine="720"/>
      </w:pPr>
      <w:r w:rsidRPr="003B1AC1">
        <w:t xml:space="preserve"> Coinciding with the human right to clean water and sanitation is the reality that with nowhere to safely and hygienically clean their menstrual products, many women either re-use dirty products or the product is not clean and dried properly, leading to the growth of mold causing vaginal bacterial infections. Another common tactic when faced with lack of access to menstrual products is to wear a product much longer than recommended. This approach puts the users short- and long-term health and safety at risk if they wear a product too long, such as developing certain urogenital infections like yeast infections, vaginosis, or urinary tract infections (</w:t>
      </w:r>
      <w:proofErr w:type="spellStart"/>
      <w:r w:rsidRPr="003B1AC1">
        <w:t>Kiende</w:t>
      </w:r>
      <w:proofErr w:type="spellEnd"/>
      <w:r w:rsidRPr="003B1AC1">
        <w:t xml:space="preserve">, 2019). Also, when women cannot afford to purchase sanitary products, they use whatever resource is available. In a village in the Bihar province of India, women were seen to be using soil, dust or ash (Murthy, 2014). They put the soil in their underwear in direct contact to the skin, causing infections and sometimes uterine cancer. In low-income instances, the cancer is either fatal or a hysterectomy is performed leaving girls and women unable to ever become pregnant. </w:t>
      </w:r>
      <w:r w:rsidRPr="003B1AC1">
        <w:rPr>
          <w:shd w:val="clear" w:color="auto" w:fill="FFFFFF"/>
        </w:rPr>
        <w:t xml:space="preserve">In another example, </w:t>
      </w:r>
      <w:r w:rsidRPr="003B1AC1">
        <w:t>a homeless woman in Canada did not have adequate access to feminine products and had to resort to using socks, paper towels and newspapers in which the latter resulted in an infection from the ink (Viera, 2019). She described the demeaning ordeal of menstruating while living on the streets and the lack of access when mobile healthcare units would only provide one pad and tampon (Viera, 2019) for a menstrual cycle that can last anywhere from 3-7 days. Menstrual hygiene is crucial to ensuring the human right to health.</w:t>
      </w:r>
      <w:r w:rsidRPr="003B1AC1">
        <w:tab/>
      </w:r>
    </w:p>
    <w:p w14:paraId="36EC12F1" w14:textId="77777777" w:rsidR="00F53219" w:rsidRPr="003B1AC1" w:rsidRDefault="00F53219" w:rsidP="00F53219">
      <w:pPr>
        <w:spacing w:line="480" w:lineRule="auto"/>
        <w:ind w:firstLine="720"/>
      </w:pPr>
      <w:r w:rsidRPr="003B1AC1">
        <w:t xml:space="preserve">The human right to health and well-being for menstruators often also gets overlooked when disaster strikes. During a crisis, there are many deliberations about what counts as </w:t>
      </w:r>
      <w:r w:rsidRPr="003B1AC1">
        <w:lastRenderedPageBreak/>
        <w:t>“essential”. For example, in the aftermath of the Beirut explosion,</w:t>
      </w:r>
      <w:r w:rsidRPr="003B1AC1">
        <w:rPr>
          <w:shd w:val="clear" w:color="auto" w:fill="FFFFFF"/>
        </w:rPr>
        <w:t xml:space="preserve"> prices of menstrual products, which were mostly imported, rose by as much as 500% (</w:t>
      </w:r>
      <w:proofErr w:type="spellStart"/>
      <w:r w:rsidRPr="003B1AC1">
        <w:rPr>
          <w:shd w:val="clear" w:color="auto" w:fill="FFFFFF"/>
        </w:rPr>
        <w:t>Barkawi</w:t>
      </w:r>
      <w:proofErr w:type="spellEnd"/>
      <w:r w:rsidRPr="003B1AC1">
        <w:rPr>
          <w:shd w:val="clear" w:color="auto" w:fill="FFFFFF"/>
        </w:rPr>
        <w:t>, 2020)</w:t>
      </w:r>
      <w:r w:rsidRPr="003B1AC1">
        <w:rPr>
          <w:rStyle w:val="apple-converted-space"/>
          <w:shd w:val="clear" w:color="auto" w:fill="FFFFFF"/>
        </w:rPr>
        <w:t xml:space="preserve">. Not only were poor menstruators asking for products, but even affluent middle-class individuals found themselves unable to afford the products they needed. Later, the government listed 300 items that importers could bring in at a fixed exchange rate which included razors, but not a single menstrual product! </w:t>
      </w:r>
      <w:r w:rsidRPr="003B1AC1">
        <w:t>The low prioritization of menstrual health and products can also be seen during the COVID-19 pandemic.</w:t>
      </w:r>
    </w:p>
    <w:p w14:paraId="199F8481" w14:textId="77777777" w:rsidR="00F53219" w:rsidRPr="003B1AC1" w:rsidRDefault="00F53219" w:rsidP="00F53219">
      <w:pPr>
        <w:spacing w:line="480" w:lineRule="auto"/>
        <w:ind w:firstLine="720"/>
      </w:pPr>
      <w:r w:rsidRPr="003B1AC1">
        <w:t xml:space="preserve">Reports are emerging that progress on menstrual health has been eroded due to the coronavirus pandemic. With most people confined to their homes, and health resources shifting focus to COVID-19, access to facilities to help girls manage their periods were disrupted, particularly in poor and remote areas (Plan International Canada, 2020). In addition, the disruption of global supply chains and loss of smaller-scale private sector enterprises led to product shortages and panic buying, which stripped the shelves of products and subsequently increased the price of period products. As a guaranteed income became more precarious, menstrual products went to the bottom of the shopping list; causing women to return to unhealthy practices such as rags, ash and even instances of cow dung have been used in Zimbabwe (McPherson, 2020). Periods don’t stop in pandemics. Practicing safe menstrual health is critical to ensuring women’s human rights, health and well-being. </w:t>
      </w:r>
    </w:p>
    <w:p w14:paraId="17AAF5AC" w14:textId="77777777" w:rsidR="00F53219" w:rsidRPr="003B1AC1" w:rsidRDefault="00F53219" w:rsidP="00F53219">
      <w:pPr>
        <w:spacing w:line="480" w:lineRule="auto"/>
        <w:rPr>
          <w:bCs/>
          <w:i/>
        </w:rPr>
      </w:pPr>
      <w:r w:rsidRPr="003B1AC1">
        <w:rPr>
          <w:bCs/>
          <w:i/>
        </w:rPr>
        <w:t>Menstruation and the Human Right to Clean Water and Sanitation</w:t>
      </w:r>
    </w:p>
    <w:p w14:paraId="149F92CA" w14:textId="77777777" w:rsidR="00F53219" w:rsidRPr="003B1AC1" w:rsidRDefault="00F53219" w:rsidP="00F53219">
      <w:pPr>
        <w:spacing w:line="480" w:lineRule="auto"/>
        <w:ind w:firstLine="720"/>
      </w:pPr>
      <w:r w:rsidRPr="003B1AC1">
        <w:t xml:space="preserve">The right to health includes not only the right to adequate healthcare, but also access to the underlying determinants of health, such as access to safe and potable water and acceptable sanitation. Globally, more than two billion people lack basic sanitation services necessary for girls and women to exercise menstrual health practices (Cousins, 2020). Generally, washrooms </w:t>
      </w:r>
      <w:r w:rsidRPr="003B1AC1">
        <w:lastRenderedPageBreak/>
        <w:t xml:space="preserve">are governed by federal and/or provincial/state labour codes that outline the equipment and supplies required in the facility. Regulations typically call for toilet paper, soap, clean water, hand towels, and even urinals for the men’s washroom; however menstrual products are never mentioned (Smith et al., 2020). Not being able to effectively use sanitation and waste facilities makes it harder for women and young girls to manage their periods safely and those living in poverty are especially vulnerable. </w:t>
      </w:r>
    </w:p>
    <w:p w14:paraId="48CF17EA" w14:textId="20668141" w:rsidR="00F53219" w:rsidRPr="003B1AC1" w:rsidRDefault="00F53219" w:rsidP="00F53219">
      <w:pPr>
        <w:spacing w:line="480" w:lineRule="auto"/>
        <w:ind w:firstLine="360"/>
      </w:pPr>
      <w:r w:rsidRPr="003B1AC1">
        <w:t>Many women and girls cannot access safe sanitation or waste management facilities with the largest proportion living in India (Plan International Canada, 2019). Many women living in rural Indian villages or urban slums do not have access to a private toilet at home. Thus, in order to avoid the public display of changing period products during the day, girls and women wait until nightfall. Although, doing so, has led to women being raped at night while trying to relieve themselves. In May 2014, two young women in rural India left their homes, which did not have a bathroom, in the middle of the night. Their bodies were found the next morning hanging from a tree (Murthy, 2014). They had been attacked, gang raped and strung up by their own scarves (Murthy, 2014). The menstrual equity movement in India is promoting peer-to peer menstrual education and highlighting that toilets are not only an issue of public health, but one of safety and dignity (Plan International Canada, 2019). Girls and women need access to private toilet facilities but, low-income communities are reported to have schools that are ill equipped for their needs (Newton, 2016).</w:t>
      </w:r>
      <w:r w:rsidRPr="003B1AC1">
        <w:tab/>
      </w:r>
      <w:r w:rsidRPr="003B1AC1">
        <w:tab/>
      </w:r>
      <w:r w:rsidRPr="003B1AC1">
        <w:tab/>
      </w:r>
    </w:p>
    <w:p w14:paraId="4BD53F41" w14:textId="77777777" w:rsidR="00F53219" w:rsidRPr="003B1AC1" w:rsidRDefault="00F53219" w:rsidP="00F53219">
      <w:pPr>
        <w:spacing w:line="480" w:lineRule="auto"/>
        <w:ind w:firstLine="720"/>
      </w:pPr>
      <w:r w:rsidRPr="003B1AC1">
        <w:t xml:space="preserve">Approximately half of the schools in low-income countries lack the adequate water, sanitation, and hygiene essential for menstruators to effectively manage their periods with dignity (Cousins, 2020). Many toilets in rural schools lack the privacy to ensure girls are not exposed or publicly shamed if they need to use the washroom (Plan International Canada, 2019). </w:t>
      </w:r>
      <w:r w:rsidRPr="003B1AC1">
        <w:lastRenderedPageBreak/>
        <w:t xml:space="preserve">In Indigenous communities in Canada, schools may have the physical infrastructure of toilet facilities, but there is limited funding for maintenance and upkeep. There is a lack of privacy due to toilets not working, or doors not closing/locking; often leaving girls to change their sanitary protection while keeping the door closed with one foot (Hall, 2017). Also, it is common for there not to be soap, or individual disposal bins in the stalls. Without the disposal bins, some girls tend to leave the used products wrapped or unwrapped in the toilet stall corners; creating a breeding site for flies and mosquitoes and perpetuating unhygienic circumstances (Kaur et al., 2018). Or, there may just be a garbage can outside the toilet which would be embarrassing to use (Hall, 2017). The absence of proper waste and sanitation results in many girls not changing their menstrual product as recommended, contributing to poor health practices, and disregards their human right to clean water and sanitation. </w:t>
      </w:r>
      <w:r w:rsidRPr="003B1AC1">
        <w:tab/>
      </w:r>
      <w:r w:rsidRPr="003B1AC1">
        <w:tab/>
      </w:r>
    </w:p>
    <w:p w14:paraId="4EE872E2" w14:textId="276AD1E1" w:rsidR="00F53219" w:rsidRPr="003B1AC1" w:rsidRDefault="00F53219" w:rsidP="00F53219">
      <w:pPr>
        <w:spacing w:line="480" w:lineRule="auto"/>
        <w:ind w:firstLine="720"/>
      </w:pPr>
      <w:r w:rsidRPr="003B1AC1">
        <w:t>The existence of the right to water and sanitation would presume structural policy changes to offer measures of accountability for marginalized populations (</w:t>
      </w:r>
      <w:proofErr w:type="spellStart"/>
      <w:r w:rsidRPr="003B1AC1">
        <w:t>Karunananthan</w:t>
      </w:r>
      <w:proofErr w:type="spellEnd"/>
      <w:r w:rsidRPr="003B1AC1">
        <w:t xml:space="preserve">, 2019), but that has not been the case for many Indigenous communities in Canada. As a settler colonial nation, the colonial power has inscribed restrictions and stereotypes on the bodies of Indigenous women (Arvin, Tuck, &amp; </w:t>
      </w:r>
      <w:proofErr w:type="spellStart"/>
      <w:r w:rsidRPr="003B1AC1">
        <w:t>Morill</w:t>
      </w:r>
      <w:proofErr w:type="spellEnd"/>
      <w:r w:rsidRPr="003B1AC1">
        <w:t>, 2013). Settler colonialism has been and continues to be a gendered process creating the underlying power dynamics that have led to uneven access to water (</w:t>
      </w:r>
      <w:proofErr w:type="spellStart"/>
      <w:r w:rsidRPr="003B1AC1">
        <w:t>Karunananthan</w:t>
      </w:r>
      <w:proofErr w:type="spellEnd"/>
      <w:r w:rsidRPr="003B1AC1">
        <w:t xml:space="preserve">, 2019). In rural areas, the most preferred hygiene products are reusable cloth pads and in urban areas women prefer to use commercial period products (Kaur et al., 2018). Either option is not without its challenges. For reusable products, there must be access to clean water for women to safely and hygienically clean the fabric pads; however, 85 of the 134 water advisories are highly concentrated on Indigenous reserves across Canada (Make it Safe, 2018). The advisories are indicative of the larger systemic crisis that many Indigenous peoples </w:t>
      </w:r>
      <w:r w:rsidRPr="003B1AC1">
        <w:lastRenderedPageBreak/>
        <w:t>face just to access safe water for drinking and hygiene. The contaminated water was tested by Human Rights Watch and the results revealed high levels of coliform, Escherichia coli (</w:t>
      </w:r>
      <w:proofErr w:type="gramStart"/>
      <w:r w:rsidRPr="003B1AC1">
        <w:t>E.coli</w:t>
      </w:r>
      <w:proofErr w:type="gramEnd"/>
      <w:r w:rsidRPr="003B1AC1">
        <w:t xml:space="preserve">), cancer-causing Trihalomethanes, and uranium (Make it Safe, 2018). This is the water many women use to “clean” their products, which is not sufficient for menstrual health as vaginal infections may be contracted. Clean water and proper waste and sanitation facilities are crucial not only for overall health, but to keeping girls in school as many girls decide not to attend school while menstruating. </w:t>
      </w:r>
    </w:p>
    <w:p w14:paraId="468C32E0" w14:textId="77777777" w:rsidR="00F53219" w:rsidRPr="003B1AC1" w:rsidRDefault="00F53219" w:rsidP="00F53219">
      <w:pPr>
        <w:spacing w:line="480" w:lineRule="auto"/>
        <w:rPr>
          <w:bCs/>
          <w:i/>
        </w:rPr>
      </w:pPr>
      <w:r w:rsidRPr="003B1AC1">
        <w:rPr>
          <w:bCs/>
          <w:i/>
        </w:rPr>
        <w:t xml:space="preserve">Menstruation and the Human Right to Education and to Work </w:t>
      </w:r>
    </w:p>
    <w:p w14:paraId="0B888F00" w14:textId="77777777" w:rsidR="00F53219" w:rsidRPr="003B1AC1" w:rsidRDefault="00F53219" w:rsidP="00F53219">
      <w:pPr>
        <w:spacing w:line="480" w:lineRule="auto"/>
        <w:ind w:firstLine="720"/>
      </w:pPr>
      <w:r w:rsidRPr="003B1AC1">
        <w:t>The lack of clean water, private toilets and the fear of staining are compounding reasons for many women deciding not to attend school or work while menstruating, which undermines both the human right to education and the right to work. Currently, 62 million girls are not in school with menstruation being one of the many barriers keeping them from exercising their fundamental human right to education (Plan International Canada, 2019). In India, nearly a quarter of girls drop out of school when they begin their periods and those who stay may miss up to 50 days a year (</w:t>
      </w:r>
      <w:proofErr w:type="spellStart"/>
      <w:r w:rsidRPr="003B1AC1">
        <w:t>Zivi</w:t>
      </w:r>
      <w:proofErr w:type="spellEnd"/>
      <w:r w:rsidRPr="003B1AC1">
        <w:t xml:space="preserve">, 2020). A UNESCO report estimated that one in ten girls in Sub-Saharan Africa miss school due to menstruation (Plan International Canada, 2019). In Kenya, girls miss as much as a fifth of the school year, causing many to drop out and puts them at a further risk of child marriage (Crawford, 2019). In Afghanistan and Nepal, three out of 10 girls miss school during menstruation due to lack of access to menstrual products and adequate sanitation facilities (Plan International Canada, 2019). Periods not only undermine the right to education in the Global South, they are also a leading cause of absenteeism among Canadian students. </w:t>
      </w:r>
    </w:p>
    <w:p w14:paraId="10E29B64" w14:textId="77777777" w:rsidR="00F53219" w:rsidRPr="003B1AC1" w:rsidRDefault="00F53219" w:rsidP="00F53219">
      <w:pPr>
        <w:spacing w:line="480" w:lineRule="auto"/>
        <w:ind w:firstLine="720"/>
      </w:pPr>
      <w:r w:rsidRPr="003B1AC1">
        <w:t xml:space="preserve">A Plan International Canada survey revealed that 70% of Canadian women under the age of 25 reported that they had missed school, work or social activities because of their period (Plan </w:t>
      </w:r>
      <w:r w:rsidRPr="003B1AC1">
        <w:lastRenderedPageBreak/>
        <w:t xml:space="preserve">International Canada, 2019). For example, one teen who attended an Ontario school was interviewed as saying that she didn’t have access to tampons, so she had to quit the swim team, and went home early when her period started because she didn’t have money for the “pad machine” in the school washroom (Singh, 2019). The teen continued that she became labeled a terrible student by her teachers due to her monthly absences (Singh, 2019). Staying home means missing out on test reviews, important lessons in all subject areas, a tryout for a team, a play practice, and social interactions that are relationship building. All the missed opportunities equate to lower confidence levels and poor academic performance, which affects girls both inside and outside the classroom (Richard, 2018). The short- and long-term impacts can be detrimental to the cognitive, social, and physical health of young girls (Richard, 2018). </w:t>
      </w:r>
    </w:p>
    <w:p w14:paraId="606FFB21" w14:textId="77777777" w:rsidR="00F53219" w:rsidRPr="003B1AC1" w:rsidRDefault="00F53219" w:rsidP="00F53219">
      <w:pPr>
        <w:spacing w:line="480" w:lineRule="auto"/>
        <w:ind w:firstLine="720"/>
      </w:pPr>
      <w:r w:rsidRPr="003B1AC1">
        <w:t xml:space="preserve">A right to an education, must encompass comprehensive sexual and reproductive health education. Open, factual and easily accessible menstrual education is the only way to effectively deal with period shame and teach children the importance of menstrual health in their sexual and reproductive lives. Laws and regulations that exclude specific topics from sexual and reproductive education, or exclude certain people from gaining access to the comprehensive information has detrimental consequences for reproductive health (WHO, 2015). Education leads to better health practices, less sexually transmitted infections (STIs) including HIV, and unplanned pregnancies (WHO, 2015). </w:t>
      </w:r>
    </w:p>
    <w:p w14:paraId="43021CD8" w14:textId="77777777" w:rsidR="00F53219" w:rsidRPr="003B1AC1" w:rsidRDefault="00F53219" w:rsidP="00F53219">
      <w:pPr>
        <w:spacing w:line="480" w:lineRule="auto"/>
      </w:pPr>
      <w:r w:rsidRPr="003B1AC1">
        <w:tab/>
        <w:t>Currently, textbooks only focus on the biological and technical aspects of human reproduction; no effort is made to discuss the social and emotional aspects that adolescents need to understand (</w:t>
      </w:r>
      <w:proofErr w:type="spellStart"/>
      <w:r w:rsidRPr="003B1AC1">
        <w:t>Bobel</w:t>
      </w:r>
      <w:proofErr w:type="spellEnd"/>
      <w:r w:rsidRPr="003B1AC1">
        <w:t xml:space="preserve"> &amp; Fahs, 2020). Right now, menstrual education is really about, “What do you do to clean up the mess?” (Dillard, 2019). Educational programs must become more innovative with body positive messaging and interventions that teach body literacy and promote </w:t>
      </w:r>
      <w:r w:rsidRPr="003B1AC1">
        <w:lastRenderedPageBreak/>
        <w:t>the body as a source of power, pleasure, and potential, rather than a problem needing to be solved through consumerism (</w:t>
      </w:r>
      <w:proofErr w:type="spellStart"/>
      <w:r w:rsidRPr="003B1AC1">
        <w:t>Bobel</w:t>
      </w:r>
      <w:proofErr w:type="spellEnd"/>
      <w:r w:rsidRPr="003B1AC1">
        <w:t xml:space="preserve"> &amp; Fahs, 2020). The material must refuse the instrumentalization of the menstruating body as simply reproductive and marriageable. Including menstruation into the dialogue of sexual and reproductive health will allow boys and girls to understand the relationship between fertility, the menstrual cycle, and how menstruation fits into their sexual lives. It is crucial that the menstrual cycle be comprehended in social and physiological contexts while centering agency and choice (</w:t>
      </w:r>
      <w:proofErr w:type="spellStart"/>
      <w:r w:rsidRPr="003B1AC1">
        <w:t>Bobel</w:t>
      </w:r>
      <w:proofErr w:type="spellEnd"/>
      <w:r w:rsidRPr="003B1AC1">
        <w:t xml:space="preserve"> &amp; Fahs, 2020). </w:t>
      </w:r>
    </w:p>
    <w:p w14:paraId="43196DF9" w14:textId="77777777" w:rsidR="00F53219" w:rsidRPr="003B1AC1" w:rsidRDefault="00F53219" w:rsidP="00F53219">
      <w:pPr>
        <w:spacing w:line="480" w:lineRule="auto"/>
        <w:ind w:firstLine="720"/>
      </w:pPr>
      <w:r w:rsidRPr="003B1AC1">
        <w:t>Women miss work for similar reasons that girls miss school. In Bangladesh, women are absent from work approximately six days a month for menstrual related issues (</w:t>
      </w:r>
      <w:proofErr w:type="spellStart"/>
      <w:r w:rsidRPr="003B1AC1">
        <w:t>Zivi</w:t>
      </w:r>
      <w:proofErr w:type="spellEnd"/>
      <w:r w:rsidRPr="003B1AC1">
        <w:t xml:space="preserve">, 2020). Poor access to a safe means of managing menstrual health limits job opportunities, jeopardizes employment status, income and earning power for women (UNFPA, 2019). Women may decide not to take certain jobs, or they may be forced to forgo working hours and wages. Many people spend a significant amount of time at work, so women spend a significant amount of time at work menstruating. Yet, the average workplace does little to reflect this reality and women pay the price both literally and metaphorically for such negligence. </w:t>
      </w:r>
    </w:p>
    <w:p w14:paraId="419CCBB0" w14:textId="77777777" w:rsidR="00F53219" w:rsidRPr="003B1AC1" w:rsidRDefault="00F53219" w:rsidP="00F53219">
      <w:pPr>
        <w:spacing w:line="480" w:lineRule="auto"/>
        <w:ind w:firstLine="720"/>
      </w:pPr>
      <w:r w:rsidRPr="003B1AC1">
        <w:t xml:space="preserve">It is not required, thus, not common, for workplaces to supply free period products in the washrooms. If a woman does not have a period product supply on hand, some workplaces have dispensers, which require specific coins to be operated, or she must go off-site to purchase the necessary products (Smith et al., 2020). Intersecting with the human right to non-discrimination and gender equality, washrooms are designed so that men find everything they need to conveniently manage their basic bodily functions without needing to bring money or their own supplies. So, what happens if women do not have a private stash of products or are unable to </w:t>
      </w:r>
      <w:r w:rsidRPr="003B1AC1">
        <w:lastRenderedPageBreak/>
        <w:t xml:space="preserve">leave work and go to a drug store? Commonly, women will make an emergency pad with toilet paper (Smith et al., 2020). This is a temporary and not ideal solution as it can leak. </w:t>
      </w:r>
    </w:p>
    <w:p w14:paraId="373EFDCC" w14:textId="77777777" w:rsidR="00F53219" w:rsidRPr="003B1AC1" w:rsidRDefault="00F53219" w:rsidP="00F53219">
      <w:pPr>
        <w:spacing w:line="480" w:lineRule="auto"/>
        <w:ind w:firstLine="720"/>
      </w:pPr>
      <w:r w:rsidRPr="003B1AC1">
        <w:t xml:space="preserve"> A workplace that sought to challenge period poverty and menstrual stigma would provide a range of period supplies in all washrooms for free to accommodate every one of its employees. Although, again, product access is not the only goal. Deeper conversations surrounding additional bathroom breaks for women to manage their period flow, and even access to period leave due to painful and sometime incapacitating menstrual cramping are also necessary (Smith et al., 2020).  Around the world, the menstrual equity movement is advocating for menstrual leave, which offers menstruating employees the option of take leave from work during their period. The leave is available to women in China, South Korea, Taiwan, Indonesia and Japan, but insufficient acknowledgment and conversations about menstruation exist in Western countries (Leahy, 2019). These kinds of initiatives need be implemented in </w:t>
      </w:r>
      <w:r w:rsidRPr="003B1AC1">
        <w:rPr>
          <w:i/>
          <w:iCs/>
        </w:rPr>
        <w:t xml:space="preserve">every </w:t>
      </w:r>
      <w:r w:rsidRPr="003B1AC1">
        <w:t xml:space="preserve">country in order to fully address the human right to education and the human right to work. Addressing the lack of access to period products is certainly a step in the right direction, but the menstruating body cannot be situated as a problem that is best solved through consumption. </w:t>
      </w:r>
    </w:p>
    <w:p w14:paraId="069B534E" w14:textId="77777777" w:rsidR="00F53219" w:rsidRPr="003B1AC1" w:rsidRDefault="00F53219" w:rsidP="00F53219">
      <w:pPr>
        <w:spacing w:line="480" w:lineRule="auto"/>
        <w:rPr>
          <w:bCs/>
          <w:i/>
        </w:rPr>
      </w:pPr>
      <w:r w:rsidRPr="003B1AC1">
        <w:rPr>
          <w:bCs/>
          <w:i/>
        </w:rPr>
        <w:t xml:space="preserve">International Menstrual Equity and Canada’s Position </w:t>
      </w:r>
    </w:p>
    <w:p w14:paraId="0FD782CC" w14:textId="77777777" w:rsidR="00F53219" w:rsidRPr="003B1AC1" w:rsidRDefault="00F53219" w:rsidP="00F53219">
      <w:pPr>
        <w:spacing w:line="480" w:lineRule="auto"/>
        <w:ind w:firstLine="720"/>
      </w:pPr>
      <w:r w:rsidRPr="003B1AC1">
        <w:t>Period poverty activism is growing in recognition and having an impact on government policy around the world. In 2017, the Government of Nepal began distributing free sanitary pads in schools across the country (Cousins, 2020).  The Scottish Parliament has approved a bill, the Period Products (Free Provision) Scotland Bill, to make menstrual products available for free to all women; making Scotland, the first country in the world to pass such a policy (</w:t>
      </w:r>
      <w:proofErr w:type="spellStart"/>
      <w:r w:rsidRPr="003B1AC1">
        <w:t>Deese</w:t>
      </w:r>
      <w:proofErr w:type="spellEnd"/>
      <w:r w:rsidRPr="003B1AC1">
        <w:t>, 2020). New Zealand was not far behind, with the government announcing that it would be providing all products for free in schools (</w:t>
      </w:r>
      <w:proofErr w:type="spellStart"/>
      <w:r w:rsidRPr="003B1AC1">
        <w:t>Parraga</w:t>
      </w:r>
      <w:proofErr w:type="spellEnd"/>
      <w:r w:rsidRPr="003B1AC1">
        <w:t xml:space="preserve">, 2021). In 2019, British Columbia, in Canada, became the </w:t>
      </w:r>
      <w:r w:rsidRPr="003B1AC1">
        <w:lastRenderedPageBreak/>
        <w:t xml:space="preserve">first province to require public schools to provide free menstrual products for students in all the bathrooms (Belmonte, 2019). A similar policy is being considered by the Canadian Parliament. </w:t>
      </w:r>
    </w:p>
    <w:p w14:paraId="59C18D12" w14:textId="77777777" w:rsidR="00F53219" w:rsidRPr="003B1AC1" w:rsidRDefault="00F53219" w:rsidP="00F53219">
      <w:pPr>
        <w:spacing w:line="480" w:lineRule="auto"/>
        <w:ind w:firstLine="720"/>
      </w:pPr>
      <w:r w:rsidRPr="003B1AC1">
        <w:t>During the summer of 2019, the Government of Canada published a Notice of Intent to seek feedback on the proposition of providing free menstrual products in federally regulated workplaces. In order to determine costs and products associated with the proposal, the government launched a sixty-day consultation in which stakeholders and Canadians could provide their input (</w:t>
      </w:r>
      <w:proofErr w:type="spellStart"/>
      <w:r w:rsidRPr="003B1AC1">
        <w:t>Marchildon</w:t>
      </w:r>
      <w:proofErr w:type="spellEnd"/>
      <w:r w:rsidRPr="003B1AC1">
        <w:t xml:space="preserve">, 2019). Currently, the Canada Labour Code requires employers to provide supplies such as toilet paper, soap, warm water, and a means to dry hands (Social Development Canada, 2019). The proposed amendments would require the provision of free menstrual products in which it is estimated that 40% of the federal workforce could benefit from this measure (Social Development Canada, 2019). By providing workers with access to free menstrual products, the goal of the policy is to see an increase in health outcomes, workplace productivity and simultaneously reduce the stigma associated with menstruation (Social Development Canada, 2019). </w:t>
      </w:r>
    </w:p>
    <w:p w14:paraId="714DD7E2" w14:textId="77777777" w:rsidR="00F53219" w:rsidRPr="003B1AC1" w:rsidRDefault="00F53219" w:rsidP="00F53219">
      <w:pPr>
        <w:spacing w:line="480" w:lineRule="auto"/>
        <w:ind w:firstLine="720"/>
      </w:pPr>
      <w:r w:rsidRPr="003B1AC1">
        <w:t xml:space="preserve">The federal government said 42 submissions were received in response to its Notice of Intent, including twenty-nine from individuals and thirteen from organizations (Lum, 2020). The Liberal government said there was “no consensus or any indication of strong support or disapproval … while a slight majority of submissions were supportive of the proposal, more than one third raised concerns around the financial burden of the proposal and how products should be provided” read the response from Labour Minister Filomena </w:t>
      </w:r>
      <w:proofErr w:type="spellStart"/>
      <w:r w:rsidRPr="003B1AC1">
        <w:t>Tassi</w:t>
      </w:r>
      <w:proofErr w:type="spellEnd"/>
      <w:r w:rsidRPr="003B1AC1">
        <w:t xml:space="preserve"> (Lum, 2020). Plan International Canada conducted a survey with two thousand women and one thousand men, aged fourteen to fifty-five that had different findings (2019). The findings of the Plan International Canada survey indicate that ninety-three percent of female respondents and eighty-eight percent </w:t>
      </w:r>
      <w:r w:rsidRPr="003B1AC1">
        <w:lastRenderedPageBreak/>
        <w:t xml:space="preserve">of male respondents support or somewhat support having menstrual hygiene products for free in schools. Moreover, eighty-one percent of women and girls, and seventy-five percent of men and boys support or somewhat support having menstrual hygiene products for free in the workplace (Plan International Canada, 2019). </w:t>
      </w:r>
    </w:p>
    <w:p w14:paraId="525FEBF7" w14:textId="77777777" w:rsidR="00F53219" w:rsidRPr="003B1AC1" w:rsidRDefault="00F53219" w:rsidP="00F53219">
      <w:pPr>
        <w:spacing w:line="480" w:lineRule="auto"/>
        <w:ind w:firstLine="720"/>
      </w:pPr>
      <w:r w:rsidRPr="003B1AC1">
        <w:t xml:space="preserve">The difference in results between the federal government and Plan International Canada suggests that the Notice of Intent does not aim to remove the source of body negativity that is foundational to white supremacy and misogyny. Misogyny is often expressed as an invisible norm, built into our structures, laws, policies, and normative behavior (Banet-Weiser, 2018). Constructing the female body as unclean and in need of controlling serves to perpetuate gender conflicts of power and control. When structural systems take a step to remedy basic inequalities, there is a backlash from patriarchal culture; contemporary misogyny is reacting to the culture-wide circulation and acceptance of period poverty visibility. Radical menstrual policy must remain focused on shame-based perceptions that confront seeing the body as a site of power. </w:t>
      </w:r>
    </w:p>
    <w:p w14:paraId="44EC4E1A" w14:textId="77777777" w:rsidR="00F53219" w:rsidRPr="003B1AC1" w:rsidRDefault="00F53219" w:rsidP="00F53219">
      <w:pPr>
        <w:spacing w:line="480" w:lineRule="auto"/>
        <w:ind w:firstLine="360"/>
      </w:pPr>
      <w:r w:rsidRPr="003B1AC1">
        <w:t>Good public policy retains a rich sensitivity to the concrete context, to the characters of the agents and their social situation (</w:t>
      </w:r>
      <w:proofErr w:type="spellStart"/>
      <w:r w:rsidRPr="003B1AC1">
        <w:t>Hankivsky</w:t>
      </w:r>
      <w:proofErr w:type="spellEnd"/>
      <w:r w:rsidRPr="003B1AC1">
        <w:t xml:space="preserve"> &amp; Jordan-Zachery, 2019). Sometimes what is a good way of promoting menstrual equity in one part of the world/country will be completely ineffectual in another. Arriving at the best strategies will most reasonably be done by a public dialogue with those who are most deeply immersed in those conditions. As a result, the federal Notice of Intent is very exclusionary as it only targets federal employees, rather than broader communities, and fails to examine the deeper stigmatizations or systemic issues perpetuating the cycles of period poverty and stigma. </w:t>
      </w:r>
    </w:p>
    <w:p w14:paraId="387D2073" w14:textId="0A9470A7" w:rsidR="00F53219" w:rsidRPr="003B1AC1" w:rsidRDefault="00F53219" w:rsidP="00F53219">
      <w:pPr>
        <w:spacing w:line="480" w:lineRule="auto"/>
        <w:ind w:firstLine="360"/>
      </w:pPr>
      <w:r w:rsidRPr="003B1AC1">
        <w:t xml:space="preserve">In order for a policy to be intersectional, it must consider gender, class, power, and race, since every person may associate with multiple identities that overlap and interconnect in their </w:t>
      </w:r>
      <w:r w:rsidRPr="003B1AC1">
        <w:lastRenderedPageBreak/>
        <w:t xml:space="preserve">self-identification. The Notice of Intent for the proposed amendment put forward by the Government of Canada is a policy that is not representational in targeting the vulnerable communities that are most impacted by period poverty. </w:t>
      </w:r>
      <w:r w:rsidRPr="002E692A">
        <w:t>The policy is solely directed at federa</w:t>
      </w:r>
      <w:r w:rsidR="004B6753" w:rsidRPr="008A70AB">
        <w:t>l public service</w:t>
      </w:r>
      <w:r w:rsidRPr="008A70AB">
        <w:t xml:space="preserve"> employees where nearly 1 out of 3 work in the Ottawa-Gatineau area (Government, 2018).</w:t>
      </w:r>
      <w:r w:rsidRPr="003B1AC1">
        <w:t xml:space="preserve"> Paul </w:t>
      </w:r>
      <w:proofErr w:type="spellStart"/>
      <w:r w:rsidRPr="003B1AC1">
        <w:t>Smetanin</w:t>
      </w:r>
      <w:proofErr w:type="spellEnd"/>
      <w:r w:rsidRPr="003B1AC1">
        <w:t>, president of the Canadian Centre for Economic Analysis, reported that Canada is home to approximately 205,000 female shelter users and school-aged girls from low-income families. If Canada were to provide sanitary products to those individuals, the annual cost would be $18 million, a drop in the bucket when compared to the $3.5 billion the federal government spends to “advance gender equality” internationally (</w:t>
      </w:r>
      <w:proofErr w:type="spellStart"/>
      <w:r w:rsidRPr="003B1AC1">
        <w:t>Mombourquette</w:t>
      </w:r>
      <w:proofErr w:type="spellEnd"/>
      <w:r w:rsidRPr="003B1AC1">
        <w:t xml:space="preserve">, 2018). Therefore, the policy does not take an intersectional approach to tackling period poverty as it disregards vulnerable and northern communities, which are largely comprised of Indigenous communities. The proportion of Indigenous residents ranges from 25% in the Yukon to 85% in Nunavut while 4.9% of all Canadians identify as Indigenous (Daley, Burton, &amp; Phillips, 2015). It is these northern communities that the government should be centering on as poverty intersects with gender, race, and access to affordable products.  </w:t>
      </w:r>
    </w:p>
    <w:p w14:paraId="3352AFEC" w14:textId="77777777" w:rsidR="00F53219" w:rsidRPr="003B1AC1" w:rsidRDefault="00F53219" w:rsidP="00F53219">
      <w:pPr>
        <w:spacing w:line="480" w:lineRule="auto"/>
        <w:ind w:firstLine="360"/>
      </w:pPr>
      <w:r w:rsidRPr="003B1AC1">
        <w:t xml:space="preserve">Menstrual politics needs to adopt a radical cultural change. The movement today is primarily concentrated on “empowering” menstruators via new and alternative products or by dispersing single-use products more effectively as the solution to ending period poverty around the world. In this way, period poverty becomes institutionalized, shifting from a call to change the narrative to one that accommodates existing power structures. When a movement values respectability over radicalism, it effaces some of its important complexities and settles on small, incremental changes.  Respectability politics can generate problematic outcomes if it becomes a key framing </w:t>
      </w:r>
      <w:r w:rsidRPr="003B1AC1">
        <w:lastRenderedPageBreak/>
        <w:t>for a movement. In large part because respectability aims to change the system from within rather than radically reimagining the root causes of a problem (</w:t>
      </w:r>
      <w:proofErr w:type="spellStart"/>
      <w:r w:rsidRPr="003B1AC1">
        <w:t>Bobel</w:t>
      </w:r>
      <w:proofErr w:type="spellEnd"/>
      <w:r w:rsidRPr="003B1AC1">
        <w:t xml:space="preserve"> &amp; Fahs, 2020). </w:t>
      </w:r>
    </w:p>
    <w:p w14:paraId="0633C9E7" w14:textId="77777777" w:rsidR="00F53219" w:rsidRPr="003B1AC1" w:rsidRDefault="00F53219" w:rsidP="00F53219">
      <w:pPr>
        <w:spacing w:line="480" w:lineRule="auto"/>
      </w:pPr>
      <w:r w:rsidRPr="003B1AC1">
        <w:tab/>
      </w:r>
      <w:r w:rsidRPr="008A70AB">
        <w:t>It is worth acknowledging that respectability politics works as a strategy to gain political recognition within an institution, but this approach neglects a more radical interpretation of the root causes of stigma and varying planes of oppression; leading to a Band-Aid approach to solving period poverty.</w:t>
      </w:r>
      <w:r w:rsidRPr="003B1AC1">
        <w:t xml:space="preserve"> At its core, respectability disavows contemptuous behavior and pushes those on the margins to assimilate to what is called “the culture of concealment” (</w:t>
      </w:r>
      <w:proofErr w:type="spellStart"/>
      <w:r w:rsidRPr="003B1AC1">
        <w:t>Bobel</w:t>
      </w:r>
      <w:proofErr w:type="spellEnd"/>
      <w:r w:rsidRPr="003B1AC1">
        <w:t xml:space="preserve"> &amp; Fahs, 2020). The methods that enable menstruators to pass as non-menstruators, to conceal the stigmatized biological process loaded with ideologies about femininity. Culturally bound contexts of menstruation drive shame, silence and secrecy. By moving away from the politics of respectability and its product focused framework towards a human rights approach, the menstrual movement can engage with period poverty through a more radical, intersectional and feminist agenda.  </w:t>
      </w:r>
    </w:p>
    <w:p w14:paraId="0BD55C3E" w14:textId="77777777" w:rsidR="00F53219" w:rsidRPr="003B1AC1" w:rsidRDefault="00F53219" w:rsidP="00F53219">
      <w:pPr>
        <w:spacing w:line="480" w:lineRule="auto"/>
        <w:ind w:firstLine="360"/>
      </w:pPr>
      <w:r w:rsidRPr="003B1AC1">
        <w:t xml:space="preserve">When using a human rights based approach to policy implementation, it is imperative to understand that human rights theories have emerged from Western political traditions and serve as a vehicle for the values of Western liberalism (Heard, 1997). Hasty judgements that a tradition in some part of the world is morally backward propagates the legacies of colonialism and imperialism. A human rights policy framework does not need to be insensitive to the variety of traditions or mere projections of narrow Western values onto groups with different interests. Some Indigenous communities are working to reclaim their tribal menstruation ceremonies as an act of resistance against the entrenchment of Western European approaches to menstruation and colonizing health practices. For </w:t>
      </w:r>
      <w:proofErr w:type="gramStart"/>
      <w:r w:rsidRPr="003B1AC1">
        <w:t>example</w:t>
      </w:r>
      <w:proofErr w:type="gramEnd"/>
      <w:r w:rsidRPr="003B1AC1">
        <w:t xml:space="preserve"> in Canada, some Ojibwe communities, are offering </w:t>
      </w:r>
      <w:r w:rsidRPr="003B1AC1">
        <w:lastRenderedPageBreak/>
        <w:t>opportunities for young girls to gather with female elders to learn from their teachings (</w:t>
      </w:r>
      <w:proofErr w:type="spellStart"/>
      <w:r w:rsidRPr="003B1AC1">
        <w:t>Pember</w:t>
      </w:r>
      <w:proofErr w:type="spellEnd"/>
      <w:r w:rsidRPr="003B1AC1">
        <w:t xml:space="preserve">, 2019). </w:t>
      </w:r>
    </w:p>
    <w:p w14:paraId="13406847" w14:textId="77777777" w:rsidR="00F53219" w:rsidRPr="003B1AC1" w:rsidRDefault="00F53219" w:rsidP="00F53219">
      <w:pPr>
        <w:spacing w:line="480" w:lineRule="auto"/>
        <w:ind w:firstLine="360"/>
      </w:pPr>
      <w:r w:rsidRPr="003B1AC1">
        <w:t>Natalie Clark (2016) introduces Red intersectionality to recognize the importance of local and traditional tribal teachings. Traditionally, during menstruation, Ojibwe women secluded themselves in a moon lodge, where they were separated from their family and refrained from sex, food preparation, and ceremonies (</w:t>
      </w:r>
      <w:proofErr w:type="spellStart"/>
      <w:r w:rsidRPr="003B1AC1">
        <w:t>Pember</w:t>
      </w:r>
      <w:proofErr w:type="spellEnd"/>
      <w:r w:rsidRPr="003B1AC1">
        <w:t>, 2019). From a Western point of view, the practice might seem like a “primitive ritual” enforced by oppressive men; however, within traditional Ojibwe culture, menstruation is a time of cleansing and renewal and a reminder to the community of their significance as women (</w:t>
      </w:r>
      <w:proofErr w:type="spellStart"/>
      <w:r w:rsidRPr="003B1AC1">
        <w:t>Pember</w:t>
      </w:r>
      <w:proofErr w:type="spellEnd"/>
      <w:r w:rsidRPr="003B1AC1">
        <w:t xml:space="preserve">, 2019). It is a time to honor one’s womanhood. </w:t>
      </w:r>
    </w:p>
    <w:p w14:paraId="28ED36A6" w14:textId="77777777" w:rsidR="00F53219" w:rsidRPr="003B1AC1" w:rsidRDefault="00F53219" w:rsidP="00F53219">
      <w:pPr>
        <w:spacing w:line="480" w:lineRule="auto"/>
        <w:ind w:firstLine="360"/>
      </w:pPr>
      <w:r w:rsidRPr="003B1AC1">
        <w:t xml:space="preserve">Due to the enforcement of assimilationist policies, many traditional practices were abandoned as a result of the negative colonial attitudes that were internalized as a means for survival. Therefore, Red intersectionality assists girls in healing from and responding to ongoing structural and systemic forces in spite of the stigma and shame associated with them through an exclusively Western lens (Clark, 2016). The revitalization of menstrual practices by Ojibwe women is an intimate act of decolonizing and transforming through resistance spaces. Storytelling is an integral part of Indigenous epistemology, which is an excellent reminder that articulating one’s experience challenges the negative cultural messages that we have been socialized to be silent about. Applying a Red intersectional analysis to the period poverty discourse, considers how the material and taboo effects of menstruation continue a colonial legacy of labeling and pathologizing women’s bodies, particularly Indigenous bodies in ways that manage their behavior and ultimately serves to reinforce a sense of powerlessness (Clark, </w:t>
      </w:r>
      <w:r w:rsidRPr="003B1AC1">
        <w:lastRenderedPageBreak/>
        <w:t>2016). The goal should always be to put people into positions of agency and choice, not to push them into functioning in ways deemed more desirable or “right” (Nussbaum, 1999).</w:t>
      </w:r>
    </w:p>
    <w:p w14:paraId="2F564364" w14:textId="77777777" w:rsidR="00F53219" w:rsidRPr="003B1AC1" w:rsidRDefault="00F53219" w:rsidP="00F53219">
      <w:pPr>
        <w:spacing w:line="480" w:lineRule="auto"/>
        <w:ind w:firstLine="360"/>
      </w:pPr>
      <w:r w:rsidRPr="003B1AC1">
        <w:t xml:space="preserve">No quest to make menstruation “respectable” will ever meet the fundamental needs of women and girls. Re-imagining menstruation into public policy must recognize the various facets of period poverty, embodying a grassroots, anti-capitalist, and antiracist politics. Grassroots organizations serve as primary vehicles for local participation in social and economic development as they challenge the status quo and provide bottom-up approaches (Bettencourt, 2019). Bottom-up approaches provide opportunities for the locals and the people being affected to define their problem and how best to achieve a solution, allowing for the dismantling of structural and institutional systems that uphold gender and racial power in society. In this sense, grassroots organizations play a critical role in laying the groundwork for the future.  </w:t>
      </w:r>
    </w:p>
    <w:p w14:paraId="1B6418F0" w14:textId="77777777" w:rsidR="00F53219" w:rsidRPr="003B1AC1" w:rsidRDefault="00F53219" w:rsidP="00F53219">
      <w:pPr>
        <w:spacing w:line="480" w:lineRule="auto"/>
      </w:pPr>
      <w:r w:rsidRPr="003B1AC1">
        <w:tab/>
        <w:t xml:space="preserve">Moon Time Sisters is a grassroots organization dedicated to helping women in northern and remote communities across Saskatchewan and Ontario access period products. Within two years, the organization has been able to support more than 25 communities (True North Aid, 2020). Within both provinces, the organization arranges collection drives and packing parties which are then sent out and distributed within various Indigenous communities. Items such as pads (disposable and reusable), tampons, menstrual cups, and menstrual underwear are collected through donations. To enhance their area of distribution, Moon Time Sisters partnered with different northern community partners such as high schools, women’s shelters, and church groups (True North Aid, 2020). Northern Indigenous communities are the primary focus as this organization recognizes the support needed since proper resources can be few and far between for menstruating people living in remote areas and the federal government’s refusal to include these communities within their period poverty proposal. The Saskatchewan charter of Moon </w:t>
      </w:r>
      <w:r w:rsidRPr="003B1AC1">
        <w:lastRenderedPageBreak/>
        <w:t>Time Sisters was started by an Indigenous woman named, Nicole White. She was introduced to the topic of period poverty due to a news story discussing how young Indigenous girls were missing school because they did not have access to period products (</w:t>
      </w:r>
      <w:proofErr w:type="spellStart"/>
      <w:r w:rsidRPr="003B1AC1">
        <w:t>Mombourquette</w:t>
      </w:r>
      <w:proofErr w:type="spellEnd"/>
      <w:r w:rsidRPr="003B1AC1">
        <w:t>, 2018). Through Moon Time Sisters, the organization was able to ship 97,000 period products to northern Saskatchewan communities in 2017 (</w:t>
      </w:r>
      <w:proofErr w:type="spellStart"/>
      <w:r w:rsidRPr="003B1AC1">
        <w:t>Mombourquette</w:t>
      </w:r>
      <w:proofErr w:type="spellEnd"/>
      <w:r w:rsidRPr="003B1AC1">
        <w:t xml:space="preserve">, 2018). Advocates within the organization express that there is no specific approach for product drives as there are multiple nuances for people struggling with period poverty. </w:t>
      </w:r>
    </w:p>
    <w:p w14:paraId="6A1D7F35" w14:textId="77777777" w:rsidR="00F53219" w:rsidRPr="00B85678" w:rsidRDefault="00F53219" w:rsidP="00F53219">
      <w:pPr>
        <w:spacing w:line="480" w:lineRule="auto"/>
        <w:ind w:firstLine="720"/>
      </w:pPr>
      <w:r w:rsidRPr="00B85678">
        <w:t>This grassroots organization does a great job of applying an intersectional lens to the period poverty discourse. They do not just address the monetary issue, but also highlight that people living on the streets and in northern communities may not have access to clean water, which makes it impractical to use environmentally friendly products like menstrual cups and reusable pads. They also note that menstrual cups may not be a workable solution for people who have experienced sexual violence or trauma (</w:t>
      </w:r>
      <w:proofErr w:type="spellStart"/>
      <w:r w:rsidRPr="00B85678">
        <w:t>Mombourquette</w:t>
      </w:r>
      <w:proofErr w:type="spellEnd"/>
      <w:r w:rsidRPr="00B85678">
        <w:t xml:space="preserve">, 2018). The organization takes care to provide women choices for what product will work best in their everyday lives. However, White states that product drives are not long-term, permanent solutions (Malone, 2017). In order to see long-lasting changes, women need to be in more positions of leadership as the necessity of period products is more likely to be of higher importance (Malone, 2017); adding to the narrative that representation matters. </w:t>
      </w:r>
    </w:p>
    <w:p w14:paraId="08A61429" w14:textId="77777777" w:rsidR="00F53219" w:rsidRPr="00B85678" w:rsidRDefault="00F53219" w:rsidP="00F53219">
      <w:pPr>
        <w:spacing w:line="480" w:lineRule="auto"/>
        <w:rPr>
          <w:b/>
          <w:bCs/>
        </w:rPr>
      </w:pPr>
      <w:r w:rsidRPr="00B85678">
        <w:rPr>
          <w:b/>
          <w:bCs/>
        </w:rPr>
        <w:t xml:space="preserve">Conclusion </w:t>
      </w:r>
    </w:p>
    <w:p w14:paraId="66601EB1" w14:textId="203522AB" w:rsidR="00F53219" w:rsidRPr="00B85678" w:rsidRDefault="00F53219" w:rsidP="00F53219">
      <w:pPr>
        <w:spacing w:line="480" w:lineRule="auto"/>
        <w:ind w:firstLine="360"/>
        <w:rPr>
          <w:color w:val="000000" w:themeColor="text1"/>
        </w:rPr>
      </w:pPr>
      <w:r>
        <w:rPr>
          <w:color w:val="000000" w:themeColor="text1"/>
        </w:rPr>
        <w:t>While there is growing international discussion and activism around period poverty and menstrual stigma, an analysis of the scholarly literature and work done by feminist</w:t>
      </w:r>
      <w:r w:rsidR="00BD7E82">
        <w:rPr>
          <w:color w:val="000000" w:themeColor="text1"/>
        </w:rPr>
        <w:t>s</w:t>
      </w:r>
      <w:r>
        <w:rPr>
          <w:color w:val="000000" w:themeColor="text1"/>
        </w:rPr>
        <w:t xml:space="preserve">, development and grass roots organizations reveals that there is much more work to be done.  </w:t>
      </w:r>
      <w:r w:rsidRPr="00B85678">
        <w:t xml:space="preserve">Most women and girls will menstruate every month, yet this normal, biological process is </w:t>
      </w:r>
      <w:r w:rsidRPr="00B85678">
        <w:lastRenderedPageBreak/>
        <w:t xml:space="preserve">obscured by taboos, stigmas, and secrecy. </w:t>
      </w:r>
      <w:r w:rsidRPr="008A70AB">
        <w:rPr>
          <w:color w:val="000000" w:themeColor="text1"/>
        </w:rPr>
        <w:t>Here I have argued that a human rights framework, grounded in intersectional analysis and critique, is best able to frame the fight against period poverty and menstrual stigma and discrimination. I have argued that menstrual equity involves the human rights to dignity, to non-discrimination and gender equality, health and well-being, to clean water and sanitation, and to education and work.</w:t>
      </w:r>
      <w:r>
        <w:rPr>
          <w:color w:val="000000" w:themeColor="text1"/>
        </w:rPr>
        <w:t xml:space="preserve"> </w:t>
      </w:r>
      <w:r w:rsidRPr="00B85678">
        <w:rPr>
          <w:color w:val="000000" w:themeColor="text1"/>
        </w:rPr>
        <w:t xml:space="preserve"> </w:t>
      </w:r>
      <w:r>
        <w:rPr>
          <w:color w:val="000000" w:themeColor="text1"/>
        </w:rPr>
        <w:t>I have explained that p</w:t>
      </w:r>
      <w:r w:rsidRPr="00B85678">
        <w:rPr>
          <w:color w:val="000000" w:themeColor="text1"/>
        </w:rPr>
        <w:t xml:space="preserve">roviding dignity to menstruators is an opportunity to promote and protect basic human rights (Okamoto &amp; </w:t>
      </w:r>
      <w:proofErr w:type="spellStart"/>
      <w:r w:rsidRPr="00B85678">
        <w:rPr>
          <w:color w:val="000000" w:themeColor="text1"/>
        </w:rPr>
        <w:t>Molland</w:t>
      </w:r>
      <w:proofErr w:type="spellEnd"/>
      <w:r w:rsidRPr="00B85678">
        <w:rPr>
          <w:color w:val="000000" w:themeColor="text1"/>
        </w:rPr>
        <w:t xml:space="preserve">, 2019). </w:t>
      </w:r>
    </w:p>
    <w:p w14:paraId="1086562D" w14:textId="77777777" w:rsidR="00F53219" w:rsidRPr="00B85678" w:rsidRDefault="00F53219" w:rsidP="00F53219">
      <w:pPr>
        <w:spacing w:line="480" w:lineRule="auto"/>
        <w:ind w:firstLine="720"/>
      </w:pPr>
      <w:r w:rsidRPr="00B85678">
        <w:t>Around the world, girls face numerous challenges to sustain safe menstrual health practices. The price of menstrual products can be exorbitant, there is a lack of clean water and safe sanitation facilities, which disproportionately affects the health of women who live there. Without access to the necessary products and associated resources, girls will often miss school and women will miss work in order to avoid the shame and fear of a potential leak. These challenges are manifestations of power that reinforce gender inequality and establishes clear violations of human rights. Caution must be taken as human rights tend to highlight one’s economic liberty, meaning a person’s access to, and control over economic resources (</w:t>
      </w:r>
      <w:proofErr w:type="spellStart"/>
      <w:r w:rsidRPr="00B85678">
        <w:t>Claeys</w:t>
      </w:r>
      <w:proofErr w:type="spellEnd"/>
      <w:r w:rsidRPr="00B85678">
        <w:t xml:space="preserve">, 2015). However, period poverty is not just about products and economics, it is about how people are treated in society (Cousins, 2020). A conversation about periods is a conversation about gender equality and in order to address menstrual equity and its associated taboos, </w:t>
      </w:r>
      <w:r>
        <w:t xml:space="preserve">we need </w:t>
      </w:r>
      <w:r w:rsidRPr="00B85678">
        <w:t>leaders in government, c</w:t>
      </w:r>
      <w:r>
        <w:t>orporations and communities who</w:t>
      </w:r>
      <w:r w:rsidRPr="00B85678">
        <w:t xml:space="preserve"> will openly advocate for this issue (Dube, 2018). </w:t>
      </w:r>
    </w:p>
    <w:p w14:paraId="2C79E4D4" w14:textId="57044306" w:rsidR="000B40E6" w:rsidRDefault="00F53219" w:rsidP="00F53219">
      <w:pPr>
        <w:spacing w:line="480" w:lineRule="auto"/>
        <w:ind w:firstLine="720"/>
      </w:pPr>
      <w:r>
        <w:rPr>
          <w:color w:val="000000" w:themeColor="text1"/>
        </w:rPr>
        <w:t>Throughout this study I have argued that w</w:t>
      </w:r>
      <w:r w:rsidRPr="00B85678">
        <w:rPr>
          <w:color w:val="000000" w:themeColor="text1"/>
        </w:rPr>
        <w:t xml:space="preserve">hen proposing policies to address period poverty, the government should be situating girls within the contexts of colonialism, poverty, racism, and discrimination. Policies </w:t>
      </w:r>
      <w:r>
        <w:rPr>
          <w:color w:val="000000" w:themeColor="text1"/>
        </w:rPr>
        <w:t xml:space="preserve">need to consider and center </w:t>
      </w:r>
      <w:r w:rsidRPr="00686818">
        <w:rPr>
          <w:i/>
          <w:color w:val="000000" w:themeColor="text1"/>
        </w:rPr>
        <w:t>diverse and specific</w:t>
      </w:r>
      <w:r>
        <w:rPr>
          <w:color w:val="000000" w:themeColor="text1"/>
        </w:rPr>
        <w:t xml:space="preserve"> </w:t>
      </w:r>
      <w:r w:rsidRPr="00B85678">
        <w:rPr>
          <w:color w:val="000000" w:themeColor="text1"/>
        </w:rPr>
        <w:t xml:space="preserve">experiences </w:t>
      </w:r>
      <w:r w:rsidRPr="00B85678">
        <w:rPr>
          <w:color w:val="000000" w:themeColor="text1"/>
        </w:rPr>
        <w:lastRenderedPageBreak/>
        <w:t xml:space="preserve">of women’s health and wellness and </w:t>
      </w:r>
      <w:r>
        <w:rPr>
          <w:color w:val="000000" w:themeColor="text1"/>
        </w:rPr>
        <w:t>the intersections of power that shape them</w:t>
      </w:r>
      <w:r w:rsidRPr="00B85678">
        <w:rPr>
          <w:color w:val="000000" w:themeColor="text1"/>
        </w:rPr>
        <w:t>. They must address the deeper sources of menstrual inequality, which will produce efforts to destigmatize and normalize menstrual experiences while acknowledging the unique needs of marginalized women (</w:t>
      </w:r>
      <w:proofErr w:type="spellStart"/>
      <w:r w:rsidRPr="00B85678">
        <w:rPr>
          <w:color w:val="000000" w:themeColor="text1"/>
        </w:rPr>
        <w:t>Bobel</w:t>
      </w:r>
      <w:proofErr w:type="spellEnd"/>
      <w:r w:rsidRPr="00B85678">
        <w:rPr>
          <w:color w:val="000000" w:themeColor="text1"/>
        </w:rPr>
        <w:t xml:space="preserve"> &amp; Fahs, 2020). </w:t>
      </w:r>
      <w:r w:rsidRPr="00B85678">
        <w:t>We must change structural systems, so the responsibility of menstruation shifts from an individual experience to one with societal and institutional obligations (Sommer et al., 2015). A product focused framework does not capture the primary needs of underserved communities, just like eliminating the tampon tax does not represent the larger concerns about stigma and body policing. Protecting human rights to clean water, to private sanitation facilities, to health, to education, or to work, not only recognizes the inherent dignity of the menstruator, it makes the behaviors and the experiences associated with dignity possible (</w:t>
      </w:r>
      <w:proofErr w:type="spellStart"/>
      <w:r w:rsidRPr="00B85678">
        <w:t>Zivi</w:t>
      </w:r>
      <w:proofErr w:type="spellEnd"/>
      <w:r w:rsidRPr="00B85678">
        <w:t xml:space="preserve">, 2020). Menstruation is a fact of life; it should not be life-limiting. </w:t>
      </w:r>
    </w:p>
    <w:p w14:paraId="598C1AEA" w14:textId="6EF165C3" w:rsidR="003B1AC1" w:rsidRDefault="003B1AC1">
      <w:r>
        <w:br w:type="page"/>
      </w:r>
    </w:p>
    <w:p w14:paraId="15961F88" w14:textId="77777777" w:rsidR="003B1AC1" w:rsidRDefault="003B1AC1" w:rsidP="003B1AC1">
      <w:pPr>
        <w:shd w:val="clear" w:color="auto" w:fill="FFFFFF"/>
        <w:ind w:hanging="330"/>
        <w:rPr>
          <w:spacing w:val="2"/>
          <w:shd w:val="clear" w:color="auto" w:fill="FCFCFC"/>
        </w:rPr>
      </w:pPr>
      <w:r>
        <w:rPr>
          <w:spacing w:val="2"/>
          <w:shd w:val="clear" w:color="auto" w:fill="FCFCFC"/>
        </w:rPr>
        <w:lastRenderedPageBreak/>
        <w:t>References</w:t>
      </w:r>
    </w:p>
    <w:p w14:paraId="3266F1A9" w14:textId="77777777" w:rsidR="003B1AC1" w:rsidRPr="00A95C6C" w:rsidRDefault="003B1AC1" w:rsidP="003B1AC1">
      <w:pPr>
        <w:rPr>
          <w:shd w:val="clear" w:color="auto" w:fill="FFFFFF"/>
        </w:rPr>
      </w:pPr>
    </w:p>
    <w:p w14:paraId="3251AFF8" w14:textId="77777777" w:rsidR="003B1AC1" w:rsidRPr="00A95C6C" w:rsidRDefault="003B1AC1" w:rsidP="003B1AC1">
      <w:pPr>
        <w:shd w:val="clear" w:color="auto" w:fill="FFFFFF"/>
        <w:ind w:hanging="330"/>
      </w:pPr>
      <w:r w:rsidRPr="00A95C6C">
        <w:t>Arvin, M., Tuck, E., &amp; Morrill, A. (2013). Decolonizing Feminism: Challenging Connections between Settler Colonialism and Heteropatriarchy.</w:t>
      </w:r>
      <w:r w:rsidRPr="00A95C6C">
        <w:rPr>
          <w:rStyle w:val="apple-converted-space"/>
        </w:rPr>
        <w:t> </w:t>
      </w:r>
      <w:r w:rsidRPr="00A95C6C">
        <w:rPr>
          <w:i/>
          <w:iCs/>
        </w:rPr>
        <w:t>Feminist Formations</w:t>
      </w:r>
      <w:r w:rsidRPr="00A95C6C">
        <w:t>,</w:t>
      </w:r>
      <w:r w:rsidRPr="00A95C6C">
        <w:rPr>
          <w:rStyle w:val="apple-converted-space"/>
        </w:rPr>
        <w:t> </w:t>
      </w:r>
      <w:r w:rsidRPr="00A95C6C">
        <w:rPr>
          <w:i/>
          <w:iCs/>
        </w:rPr>
        <w:t>25</w:t>
      </w:r>
      <w:r w:rsidRPr="00A95C6C">
        <w:t xml:space="preserve">(1), 8–34. </w:t>
      </w:r>
      <w:proofErr w:type="spellStart"/>
      <w:r w:rsidRPr="00A95C6C">
        <w:t>doi</w:t>
      </w:r>
      <w:proofErr w:type="spellEnd"/>
      <w:r w:rsidRPr="00A95C6C">
        <w:t>: 10.1353/ff.2013.0006</w:t>
      </w:r>
    </w:p>
    <w:p w14:paraId="10685323" w14:textId="77777777" w:rsidR="003B1AC1" w:rsidRPr="00A95C6C" w:rsidRDefault="003B1AC1" w:rsidP="003B1AC1">
      <w:pPr>
        <w:rPr>
          <w:shd w:val="clear" w:color="auto" w:fill="FFFFFF"/>
        </w:rPr>
      </w:pPr>
    </w:p>
    <w:p w14:paraId="0D4A18AB" w14:textId="77777777" w:rsidR="003B1AC1" w:rsidRDefault="003B1AC1" w:rsidP="003B1AC1">
      <w:pPr>
        <w:shd w:val="clear" w:color="auto" w:fill="FFFFFF"/>
        <w:spacing w:line="276" w:lineRule="auto"/>
        <w:ind w:hanging="330"/>
      </w:pPr>
      <w:r w:rsidRPr="00A95C6C">
        <w:t xml:space="preserve">Banet-Weiser, S. (2018). Empowered. </w:t>
      </w:r>
      <w:proofErr w:type="spellStart"/>
      <w:r w:rsidRPr="00A95C6C">
        <w:t>doi</w:t>
      </w:r>
      <w:proofErr w:type="spellEnd"/>
      <w:r w:rsidRPr="00A95C6C">
        <w:t>: 10.1215/9781478002772</w:t>
      </w:r>
    </w:p>
    <w:p w14:paraId="6EA11F60" w14:textId="77777777" w:rsidR="003B1AC1" w:rsidRDefault="003B1AC1" w:rsidP="003B1AC1">
      <w:pPr>
        <w:shd w:val="clear" w:color="auto" w:fill="FFFFFF"/>
        <w:spacing w:line="276" w:lineRule="auto"/>
        <w:ind w:hanging="330"/>
      </w:pPr>
    </w:p>
    <w:p w14:paraId="363D9C1D" w14:textId="77777777" w:rsidR="003B1AC1" w:rsidRPr="0089004B" w:rsidRDefault="003B1AC1" w:rsidP="003B1AC1">
      <w:pPr>
        <w:shd w:val="clear" w:color="auto" w:fill="FFFFFF"/>
        <w:ind w:hanging="330"/>
        <w:rPr>
          <w:color w:val="323232"/>
        </w:rPr>
      </w:pPr>
      <w:proofErr w:type="spellStart"/>
      <w:r w:rsidRPr="004135EF">
        <w:rPr>
          <w:color w:val="000000" w:themeColor="text1"/>
        </w:rPr>
        <w:t>Barkawi</w:t>
      </w:r>
      <w:proofErr w:type="spellEnd"/>
      <w:r w:rsidRPr="004135EF">
        <w:rPr>
          <w:color w:val="000000" w:themeColor="text1"/>
        </w:rPr>
        <w:t xml:space="preserve">, B. (2020). Rags to reused pads - why more Lebanese women face period poverty. Retrieved from </w:t>
      </w:r>
      <w:hyperlink r:id="rId8" w:history="1">
        <w:r w:rsidRPr="00E250F9">
          <w:rPr>
            <w:rStyle w:val="Hyperlink"/>
          </w:rPr>
          <w:t>https://news.trust.org/item/20200717111512-hkjot/</w:t>
        </w:r>
      </w:hyperlink>
    </w:p>
    <w:p w14:paraId="749AD049" w14:textId="77777777" w:rsidR="003B1AC1" w:rsidRPr="00A95C6C" w:rsidRDefault="003B1AC1" w:rsidP="003B1AC1">
      <w:pPr>
        <w:shd w:val="clear" w:color="auto" w:fill="FFFFFF"/>
        <w:ind w:hanging="330"/>
      </w:pPr>
    </w:p>
    <w:p w14:paraId="723572DB" w14:textId="77777777" w:rsidR="003B1AC1" w:rsidRPr="00A95C6C" w:rsidRDefault="003B1AC1" w:rsidP="003B1AC1">
      <w:pPr>
        <w:shd w:val="clear" w:color="auto" w:fill="FFFFFF"/>
        <w:spacing w:line="276" w:lineRule="auto"/>
        <w:ind w:hanging="330"/>
        <w:rPr>
          <w:rStyle w:val="Hyperlink"/>
          <w:shd w:val="clear" w:color="auto" w:fill="FFFFFF"/>
        </w:rPr>
      </w:pPr>
      <w:r w:rsidRPr="0089004B">
        <w:rPr>
          <w:color w:val="000000" w:themeColor="text1"/>
        </w:rPr>
        <w:t xml:space="preserve">Belmonte, L. (2019). B.C. public schools now offer free menstrual products &amp; they celebrated in the best way. </w:t>
      </w:r>
      <w:r w:rsidRPr="0089004B">
        <w:rPr>
          <w:color w:val="000000" w:themeColor="text1"/>
          <w:shd w:val="clear" w:color="auto" w:fill="FFFFFF"/>
        </w:rPr>
        <w:t xml:space="preserve">Retrieved from </w:t>
      </w:r>
      <w:hyperlink r:id="rId9" w:history="1">
        <w:r w:rsidRPr="00A95C6C">
          <w:rPr>
            <w:rStyle w:val="Hyperlink"/>
            <w:shd w:val="clear" w:color="auto" w:fill="FFFFFF"/>
          </w:rPr>
          <w:t>https://www.narcity.com/news/ca/bc/bc-free-menstrual-products-officially-launched-and-there-was-a-live-band</w:t>
        </w:r>
      </w:hyperlink>
    </w:p>
    <w:p w14:paraId="1CAE055B" w14:textId="77777777" w:rsidR="003B1AC1" w:rsidRPr="00A95C6C" w:rsidRDefault="003B1AC1" w:rsidP="003B1AC1">
      <w:pPr>
        <w:shd w:val="clear" w:color="auto" w:fill="FFFFFF"/>
        <w:spacing w:line="276" w:lineRule="auto"/>
        <w:rPr>
          <w:color w:val="323232"/>
          <w:shd w:val="clear" w:color="auto" w:fill="FFFFFF"/>
        </w:rPr>
      </w:pPr>
    </w:p>
    <w:p w14:paraId="5B103BEA" w14:textId="77777777" w:rsidR="003B1AC1" w:rsidRPr="00A95C6C" w:rsidRDefault="003B1AC1" w:rsidP="003B1AC1">
      <w:pPr>
        <w:shd w:val="clear" w:color="auto" w:fill="FFFFFF"/>
        <w:spacing w:line="276" w:lineRule="auto"/>
        <w:ind w:hanging="330"/>
        <w:rPr>
          <w:rStyle w:val="Hyperlink"/>
        </w:rPr>
      </w:pPr>
      <w:r w:rsidRPr="00A95C6C">
        <w:t xml:space="preserve">Bettencourt, A. (2019, January 17). Grassroots organizations are just as important as seed money for innovation. Retrieved from </w:t>
      </w:r>
      <w:hyperlink r:id="rId10" w:history="1">
        <w:r w:rsidRPr="00A95C6C">
          <w:rPr>
            <w:rStyle w:val="Hyperlink"/>
          </w:rPr>
          <w:t>https://www.unhcr.org/innovation/grassroots-organizations-are-just-as-important-as-seed-money-for-innovation/</w:t>
        </w:r>
      </w:hyperlink>
    </w:p>
    <w:p w14:paraId="18D76144" w14:textId="77777777" w:rsidR="003B1AC1" w:rsidRPr="00A95C6C" w:rsidRDefault="003B1AC1" w:rsidP="003B1AC1">
      <w:pPr>
        <w:shd w:val="clear" w:color="auto" w:fill="FFFFFF"/>
        <w:spacing w:line="276" w:lineRule="auto"/>
        <w:ind w:hanging="330"/>
        <w:rPr>
          <w:rStyle w:val="Hyperlink"/>
        </w:rPr>
      </w:pPr>
    </w:p>
    <w:p w14:paraId="19BB3EB4" w14:textId="77777777" w:rsidR="003B1AC1" w:rsidRPr="00A95C6C" w:rsidRDefault="003B1AC1" w:rsidP="003B1AC1">
      <w:pPr>
        <w:shd w:val="clear" w:color="auto" w:fill="FFFFFF"/>
        <w:spacing w:line="276" w:lineRule="auto"/>
        <w:ind w:hanging="330"/>
        <w:rPr>
          <w:color w:val="0000FF"/>
          <w:u w:val="single"/>
        </w:rPr>
      </w:pPr>
      <w:proofErr w:type="spellStart"/>
      <w:r w:rsidRPr="00A95C6C">
        <w:rPr>
          <w:color w:val="000000"/>
          <w:shd w:val="clear" w:color="auto" w:fill="FFFFFF"/>
        </w:rPr>
        <w:t>Bobel</w:t>
      </w:r>
      <w:proofErr w:type="spellEnd"/>
      <w:r w:rsidRPr="00A95C6C">
        <w:rPr>
          <w:color w:val="000000"/>
          <w:shd w:val="clear" w:color="auto" w:fill="FFFFFF"/>
        </w:rPr>
        <w:t>, C., &amp; Fahs, B. (2020). From bloodless respectability to radical menstrual embodiment: Shifting menstrual politics from private to public.</w:t>
      </w:r>
      <w:r w:rsidRPr="00A95C6C">
        <w:rPr>
          <w:i/>
          <w:iCs/>
          <w:color w:val="000000"/>
        </w:rPr>
        <w:t> Signs, 45</w:t>
      </w:r>
      <w:r w:rsidRPr="00A95C6C">
        <w:rPr>
          <w:color w:val="000000"/>
          <w:shd w:val="clear" w:color="auto" w:fill="FFFFFF"/>
        </w:rPr>
        <w:t>(4), 955-983. doi:10.1086/707802</w:t>
      </w:r>
    </w:p>
    <w:p w14:paraId="3F61406E" w14:textId="77777777" w:rsidR="003B1AC1" w:rsidRPr="00A95C6C" w:rsidRDefault="003B1AC1" w:rsidP="003B1AC1">
      <w:pPr>
        <w:shd w:val="clear" w:color="auto" w:fill="FFFFFF"/>
        <w:spacing w:line="276" w:lineRule="auto"/>
        <w:ind w:hanging="330"/>
      </w:pPr>
    </w:p>
    <w:p w14:paraId="10F188EA" w14:textId="77777777" w:rsidR="003B1AC1" w:rsidRPr="00A95C6C" w:rsidRDefault="003B1AC1" w:rsidP="003B1AC1">
      <w:pPr>
        <w:shd w:val="clear" w:color="auto" w:fill="FFFFFF"/>
        <w:spacing w:line="276" w:lineRule="auto"/>
        <w:ind w:hanging="330"/>
        <w:rPr>
          <w:rStyle w:val="Hyperlink"/>
        </w:rPr>
      </w:pPr>
      <w:r w:rsidRPr="00A95C6C">
        <w:t xml:space="preserve">Canadian Menstruators. (n.d.). #NoTaxOnTampons. Retrieved from </w:t>
      </w:r>
      <w:hyperlink r:id="rId11" w:history="1">
        <w:r w:rsidRPr="00A95C6C">
          <w:rPr>
            <w:rStyle w:val="Hyperlink"/>
          </w:rPr>
          <w:t>http://www.canadianmenstruators.ca/</w:t>
        </w:r>
      </w:hyperlink>
    </w:p>
    <w:p w14:paraId="1D1E4164" w14:textId="77777777" w:rsidR="003B1AC1" w:rsidRPr="00A95C6C" w:rsidRDefault="003B1AC1" w:rsidP="003B1AC1">
      <w:pPr>
        <w:shd w:val="clear" w:color="auto" w:fill="FFFFFF"/>
        <w:spacing w:line="276" w:lineRule="auto"/>
        <w:ind w:hanging="330"/>
        <w:rPr>
          <w:rStyle w:val="Hyperlink"/>
        </w:rPr>
      </w:pPr>
    </w:p>
    <w:p w14:paraId="2CBF5EA3" w14:textId="77777777" w:rsidR="003B1AC1" w:rsidRPr="00A95C6C" w:rsidRDefault="003B1AC1" w:rsidP="003B1AC1">
      <w:pPr>
        <w:shd w:val="clear" w:color="auto" w:fill="FFFFFF"/>
        <w:ind w:hanging="330"/>
        <w:rPr>
          <w:color w:val="0D0D0D" w:themeColor="text1" w:themeTint="F2"/>
        </w:rPr>
      </w:pPr>
      <w:proofErr w:type="spellStart"/>
      <w:r w:rsidRPr="00A95C6C">
        <w:rPr>
          <w:color w:val="0D0D0D" w:themeColor="text1" w:themeTint="F2"/>
        </w:rPr>
        <w:t>Carbado</w:t>
      </w:r>
      <w:proofErr w:type="spellEnd"/>
      <w:r w:rsidRPr="00A95C6C">
        <w:rPr>
          <w:color w:val="0D0D0D" w:themeColor="text1" w:themeTint="F2"/>
        </w:rPr>
        <w:t>, D. W. (2013). Colorblind Intersectionality. </w:t>
      </w:r>
      <w:r w:rsidRPr="00A95C6C">
        <w:rPr>
          <w:i/>
          <w:iCs/>
          <w:color w:val="0D0D0D" w:themeColor="text1" w:themeTint="F2"/>
        </w:rPr>
        <w:t>Signs: Journal of Women in Culture and Society,38</w:t>
      </w:r>
      <w:r w:rsidRPr="00A95C6C">
        <w:rPr>
          <w:color w:val="0D0D0D" w:themeColor="text1" w:themeTint="F2"/>
        </w:rPr>
        <w:t>(4), 811-845. doi:10.1086/669666</w:t>
      </w:r>
    </w:p>
    <w:p w14:paraId="449E6DBA" w14:textId="77777777" w:rsidR="003B1AC1" w:rsidRPr="00A95C6C" w:rsidRDefault="003B1AC1" w:rsidP="003B1AC1">
      <w:pPr>
        <w:shd w:val="clear" w:color="auto" w:fill="FFFFFF"/>
        <w:spacing w:line="276" w:lineRule="auto"/>
        <w:ind w:hanging="330"/>
        <w:rPr>
          <w:color w:val="323232"/>
        </w:rPr>
      </w:pPr>
    </w:p>
    <w:p w14:paraId="0CE46299" w14:textId="77777777" w:rsidR="003B1AC1" w:rsidRPr="00A95C6C" w:rsidRDefault="003B1AC1" w:rsidP="003B1AC1">
      <w:pPr>
        <w:shd w:val="clear" w:color="auto" w:fill="FFFFFF"/>
        <w:spacing w:line="276" w:lineRule="auto"/>
        <w:ind w:hanging="330"/>
        <w:rPr>
          <w:rStyle w:val="Hyperlink"/>
        </w:rPr>
      </w:pPr>
      <w:proofErr w:type="spellStart"/>
      <w:r w:rsidRPr="00A95C6C">
        <w:rPr>
          <w:color w:val="000000" w:themeColor="text1"/>
        </w:rPr>
        <w:t>Capatides</w:t>
      </w:r>
      <w:proofErr w:type="spellEnd"/>
      <w:r w:rsidRPr="00A95C6C">
        <w:rPr>
          <w:color w:val="000000" w:themeColor="text1"/>
        </w:rPr>
        <w:t xml:space="preserve">, C. (2019, May 28). What is period poverty? Retrieved from </w:t>
      </w:r>
      <w:hyperlink r:id="rId12" w:history="1">
        <w:r w:rsidRPr="00A95C6C">
          <w:rPr>
            <w:rStyle w:val="Hyperlink"/>
          </w:rPr>
          <w:t>http://www.cbsnews.com/news/what-is-period-poverty/</w:t>
        </w:r>
      </w:hyperlink>
    </w:p>
    <w:p w14:paraId="30A73BE2" w14:textId="77777777" w:rsidR="003B1AC1" w:rsidRPr="00A95C6C" w:rsidRDefault="003B1AC1" w:rsidP="003B1AC1">
      <w:pPr>
        <w:shd w:val="clear" w:color="auto" w:fill="FFFFFF"/>
        <w:spacing w:line="276" w:lineRule="auto"/>
        <w:ind w:hanging="330"/>
        <w:rPr>
          <w:rStyle w:val="Hyperlink"/>
        </w:rPr>
      </w:pPr>
    </w:p>
    <w:p w14:paraId="1AB11EB3" w14:textId="77777777" w:rsidR="003B1AC1" w:rsidRDefault="003B1AC1" w:rsidP="003B1AC1">
      <w:pPr>
        <w:shd w:val="clear" w:color="auto" w:fill="FFFFFF"/>
        <w:spacing w:line="276" w:lineRule="auto"/>
        <w:ind w:hanging="330"/>
        <w:rPr>
          <w:rStyle w:val="Hyperlink"/>
        </w:rPr>
      </w:pPr>
      <w:r w:rsidRPr="00A95C6C">
        <w:t xml:space="preserve">Chair in Indigenous Governance. (n.d.). First Nations Poverty in Canada. Retrieved from </w:t>
      </w:r>
      <w:hyperlink r:id="rId13" w:history="1">
        <w:r w:rsidRPr="00A95C6C">
          <w:rPr>
            <w:rStyle w:val="Hyperlink"/>
          </w:rPr>
          <w:t>https://www.ryerson.ca/chair-indigenous-governance/research-projects/ongoing/first-nations-poverty-in-canada/</w:t>
        </w:r>
      </w:hyperlink>
    </w:p>
    <w:p w14:paraId="17F38B74" w14:textId="77777777" w:rsidR="003B1AC1" w:rsidRDefault="003B1AC1" w:rsidP="003B1AC1">
      <w:pPr>
        <w:shd w:val="clear" w:color="auto" w:fill="FFFFFF"/>
        <w:spacing w:line="276" w:lineRule="auto"/>
        <w:ind w:hanging="330"/>
        <w:rPr>
          <w:rStyle w:val="Hyperlink"/>
        </w:rPr>
      </w:pPr>
    </w:p>
    <w:p w14:paraId="75398D1F" w14:textId="77777777" w:rsidR="003B1AC1" w:rsidRDefault="003B1AC1" w:rsidP="003B1AC1">
      <w:pPr>
        <w:shd w:val="clear" w:color="auto" w:fill="FFFFFF"/>
        <w:ind w:hanging="330"/>
        <w:rPr>
          <w:color w:val="323232"/>
        </w:rPr>
      </w:pPr>
      <w:r w:rsidRPr="004135EF">
        <w:rPr>
          <w:color w:val="000000" w:themeColor="text1"/>
        </w:rPr>
        <w:t xml:space="preserve">Choi, A. (2020). Period Poverty. Retrieved from </w:t>
      </w:r>
      <w:hyperlink r:id="rId14" w:history="1">
        <w:r w:rsidRPr="00E250F9">
          <w:rPr>
            <w:rStyle w:val="Hyperlink"/>
          </w:rPr>
          <w:t>https://borgenproject.org/tag/period-poverty/</w:t>
        </w:r>
      </w:hyperlink>
    </w:p>
    <w:p w14:paraId="38D8FE27" w14:textId="77777777" w:rsidR="003B1AC1" w:rsidRPr="00A95C6C" w:rsidRDefault="003B1AC1" w:rsidP="00300C6F">
      <w:pPr>
        <w:shd w:val="clear" w:color="auto" w:fill="FFFFFF"/>
        <w:spacing w:line="276" w:lineRule="auto"/>
        <w:rPr>
          <w:color w:val="0D0D0D" w:themeColor="text1" w:themeTint="F2"/>
          <w:u w:val="single"/>
        </w:rPr>
      </w:pPr>
    </w:p>
    <w:p w14:paraId="779AE892" w14:textId="77777777" w:rsidR="003B1AC1" w:rsidRPr="00A95C6C" w:rsidRDefault="003B1AC1" w:rsidP="003B1AC1">
      <w:pPr>
        <w:shd w:val="clear" w:color="auto" w:fill="FFFFFF"/>
        <w:spacing w:line="276" w:lineRule="auto"/>
        <w:ind w:hanging="330"/>
      </w:pPr>
      <w:proofErr w:type="spellStart"/>
      <w:r w:rsidRPr="00A95C6C">
        <w:rPr>
          <w:shd w:val="clear" w:color="auto" w:fill="FFFFFF"/>
        </w:rPr>
        <w:t>Claeys</w:t>
      </w:r>
      <w:proofErr w:type="spellEnd"/>
      <w:r w:rsidRPr="00A95C6C">
        <w:rPr>
          <w:shd w:val="clear" w:color="auto" w:fill="FFFFFF"/>
        </w:rPr>
        <w:t xml:space="preserve">, P. (2015). Food Sovereignty and the Recognition of New Rights for Peasants at the UN: A Critical Overview of La Via </w:t>
      </w:r>
      <w:proofErr w:type="spellStart"/>
      <w:r w:rsidRPr="00A95C6C">
        <w:rPr>
          <w:shd w:val="clear" w:color="auto" w:fill="FFFFFF"/>
        </w:rPr>
        <w:t>Campesinas</w:t>
      </w:r>
      <w:proofErr w:type="spellEnd"/>
      <w:r w:rsidRPr="00A95C6C">
        <w:rPr>
          <w:shd w:val="clear" w:color="auto" w:fill="FFFFFF"/>
        </w:rPr>
        <w:t xml:space="preserve"> Rights Claims over the Last 20 Years.</w:t>
      </w:r>
      <w:r w:rsidRPr="00A95C6C">
        <w:rPr>
          <w:rStyle w:val="apple-converted-space"/>
          <w:shd w:val="clear" w:color="auto" w:fill="FFFFFF"/>
        </w:rPr>
        <w:t> </w:t>
      </w:r>
      <w:r w:rsidRPr="00A95C6C">
        <w:rPr>
          <w:i/>
          <w:iCs/>
          <w:shd w:val="clear" w:color="auto" w:fill="FFFFFF"/>
        </w:rPr>
        <w:t>Globalizations</w:t>
      </w:r>
      <w:r w:rsidRPr="00A95C6C">
        <w:rPr>
          <w:shd w:val="clear" w:color="auto" w:fill="FFFFFF"/>
        </w:rPr>
        <w:t>,</w:t>
      </w:r>
      <w:r w:rsidRPr="00A95C6C">
        <w:rPr>
          <w:rStyle w:val="apple-converted-space"/>
          <w:shd w:val="clear" w:color="auto" w:fill="FFFFFF"/>
        </w:rPr>
        <w:t> </w:t>
      </w:r>
      <w:r w:rsidRPr="00A95C6C">
        <w:rPr>
          <w:i/>
          <w:iCs/>
          <w:shd w:val="clear" w:color="auto" w:fill="FFFFFF"/>
        </w:rPr>
        <w:t>12</w:t>
      </w:r>
      <w:r w:rsidRPr="00A95C6C">
        <w:rPr>
          <w:shd w:val="clear" w:color="auto" w:fill="FFFFFF"/>
        </w:rPr>
        <w:t xml:space="preserve">(4), 452–465. </w:t>
      </w:r>
      <w:proofErr w:type="spellStart"/>
      <w:r w:rsidRPr="00A95C6C">
        <w:rPr>
          <w:shd w:val="clear" w:color="auto" w:fill="FFFFFF"/>
        </w:rPr>
        <w:t>doi</w:t>
      </w:r>
      <w:proofErr w:type="spellEnd"/>
      <w:r w:rsidRPr="00A95C6C">
        <w:rPr>
          <w:shd w:val="clear" w:color="auto" w:fill="FFFFFF"/>
        </w:rPr>
        <w:t>: 10.1080/14747731.2014.957929</w:t>
      </w:r>
    </w:p>
    <w:p w14:paraId="0CD9110B" w14:textId="77777777" w:rsidR="003B1AC1" w:rsidRPr="00A95C6C" w:rsidRDefault="003B1AC1" w:rsidP="003B1AC1">
      <w:pPr>
        <w:shd w:val="clear" w:color="auto" w:fill="FFFFFF"/>
        <w:spacing w:line="276" w:lineRule="auto"/>
        <w:ind w:hanging="330"/>
      </w:pPr>
    </w:p>
    <w:p w14:paraId="7E6F8AF7" w14:textId="77777777" w:rsidR="003B1AC1" w:rsidRPr="00A95C6C" w:rsidRDefault="003B1AC1" w:rsidP="003B1AC1">
      <w:pPr>
        <w:shd w:val="clear" w:color="auto" w:fill="FFFFFF"/>
        <w:spacing w:line="276" w:lineRule="auto"/>
        <w:ind w:hanging="330"/>
      </w:pPr>
      <w:r w:rsidRPr="00A95C6C">
        <w:lastRenderedPageBreak/>
        <w:t>Clark, N. (2016). Red Intersectionality and Violence-informed Witnessing Praxis with Indigenous Girls. </w:t>
      </w:r>
      <w:r w:rsidRPr="00A95C6C">
        <w:rPr>
          <w:i/>
          <w:iCs/>
        </w:rPr>
        <w:t>Girlhood Studies</w:t>
      </w:r>
      <w:r w:rsidRPr="00A95C6C">
        <w:t>, </w:t>
      </w:r>
      <w:r w:rsidRPr="00A95C6C">
        <w:rPr>
          <w:i/>
          <w:iCs/>
        </w:rPr>
        <w:t>9</w:t>
      </w:r>
      <w:r w:rsidRPr="00A95C6C">
        <w:t xml:space="preserve">(2). </w:t>
      </w:r>
      <w:proofErr w:type="spellStart"/>
      <w:r w:rsidRPr="00A95C6C">
        <w:t>doi</w:t>
      </w:r>
      <w:proofErr w:type="spellEnd"/>
      <w:r w:rsidRPr="00A95C6C">
        <w:t>: 10.3167/ghs.2016.090205</w:t>
      </w:r>
    </w:p>
    <w:p w14:paraId="183319DF" w14:textId="77777777" w:rsidR="003B1AC1" w:rsidRPr="00A95C6C" w:rsidRDefault="003B1AC1" w:rsidP="003B1AC1">
      <w:pPr>
        <w:shd w:val="clear" w:color="auto" w:fill="FFFFFF"/>
        <w:spacing w:line="276" w:lineRule="auto"/>
        <w:ind w:hanging="330"/>
      </w:pPr>
    </w:p>
    <w:p w14:paraId="7B744877" w14:textId="77777777" w:rsidR="003B1AC1" w:rsidRPr="00A95C6C" w:rsidRDefault="003B1AC1" w:rsidP="003B1AC1">
      <w:pPr>
        <w:shd w:val="clear" w:color="auto" w:fill="FFFFFF"/>
        <w:spacing w:line="276" w:lineRule="auto"/>
        <w:ind w:hanging="330"/>
        <w:rPr>
          <w:color w:val="323232"/>
        </w:rPr>
      </w:pPr>
      <w:r w:rsidRPr="00A95C6C">
        <w:t xml:space="preserve">Coughlin, S. (2016). This Ad About Blaming Periods Is Hard </w:t>
      </w:r>
      <w:proofErr w:type="gramStart"/>
      <w:r w:rsidRPr="00A95C6C">
        <w:t>To</w:t>
      </w:r>
      <w:proofErr w:type="gramEnd"/>
      <w:r w:rsidRPr="00A95C6C">
        <w:t xml:space="preserve"> Watch. Retrieved from</w:t>
      </w:r>
      <w:r w:rsidRPr="00A95C6C">
        <w:rPr>
          <w:color w:val="323232"/>
        </w:rPr>
        <w:t xml:space="preserve"> </w:t>
      </w:r>
      <w:hyperlink r:id="rId15" w:history="1">
        <w:r w:rsidRPr="00A95C6C">
          <w:rPr>
            <w:rStyle w:val="Hyperlink"/>
          </w:rPr>
          <w:t>https://www.refinery29.com/en-us/2016/11/129111/its-not-my-period-shaming-women-hormones-kotex</w:t>
        </w:r>
      </w:hyperlink>
    </w:p>
    <w:p w14:paraId="370CEFDF" w14:textId="77777777" w:rsidR="003B1AC1" w:rsidRPr="00A95C6C" w:rsidRDefault="003B1AC1" w:rsidP="003B1AC1">
      <w:pPr>
        <w:shd w:val="clear" w:color="auto" w:fill="FFFFFF"/>
        <w:spacing w:line="276" w:lineRule="auto"/>
        <w:ind w:hanging="330"/>
        <w:rPr>
          <w:color w:val="323232"/>
        </w:rPr>
      </w:pPr>
    </w:p>
    <w:p w14:paraId="065B148F" w14:textId="77777777" w:rsidR="003B1AC1" w:rsidRPr="00A95C6C" w:rsidRDefault="003B1AC1" w:rsidP="003B1AC1">
      <w:pPr>
        <w:shd w:val="clear" w:color="auto" w:fill="FFFFFF"/>
        <w:spacing w:line="276" w:lineRule="auto"/>
        <w:ind w:hanging="330"/>
      </w:pPr>
      <w:r w:rsidRPr="00A95C6C">
        <w:t>Cousins, S. (2020). Rethinking period poverty. </w:t>
      </w:r>
      <w:r w:rsidRPr="00A95C6C">
        <w:rPr>
          <w:i/>
          <w:iCs/>
        </w:rPr>
        <w:t>The Lancet</w:t>
      </w:r>
      <w:r w:rsidRPr="00A95C6C">
        <w:t>, </w:t>
      </w:r>
      <w:r w:rsidRPr="00A95C6C">
        <w:rPr>
          <w:i/>
          <w:iCs/>
        </w:rPr>
        <w:t>395</w:t>
      </w:r>
      <w:r w:rsidRPr="00A95C6C">
        <w:t xml:space="preserve">(10227), 857–858. </w:t>
      </w:r>
      <w:proofErr w:type="spellStart"/>
      <w:r w:rsidRPr="00A95C6C">
        <w:t>doi</w:t>
      </w:r>
      <w:proofErr w:type="spellEnd"/>
      <w:r w:rsidRPr="00A95C6C">
        <w:t>: 10.1016/s0140-6736(20)30605-x</w:t>
      </w:r>
    </w:p>
    <w:p w14:paraId="6F305D8E" w14:textId="77777777" w:rsidR="003B1AC1" w:rsidRPr="00A95C6C" w:rsidRDefault="003B1AC1" w:rsidP="003B1AC1">
      <w:pPr>
        <w:shd w:val="clear" w:color="auto" w:fill="FFFFFF"/>
        <w:spacing w:line="276" w:lineRule="auto"/>
        <w:ind w:hanging="330"/>
      </w:pPr>
    </w:p>
    <w:p w14:paraId="2D8205DA" w14:textId="77777777" w:rsidR="003B1AC1" w:rsidRPr="00A95C6C" w:rsidRDefault="003B1AC1" w:rsidP="003B1AC1">
      <w:pPr>
        <w:shd w:val="clear" w:color="auto" w:fill="FFFFFF"/>
        <w:spacing w:line="276" w:lineRule="auto"/>
        <w:ind w:hanging="330"/>
        <w:rPr>
          <w:rStyle w:val="Hyperlink"/>
        </w:rPr>
      </w:pPr>
      <w:r w:rsidRPr="00A95C6C">
        <w:t xml:space="preserve">Crawford, J. (2019). Pandora's Box documents the global stigma attached to menstruation. Retrieved from </w:t>
      </w:r>
      <w:hyperlink r:id="rId16" w:history="1">
        <w:r w:rsidRPr="00A95C6C">
          <w:rPr>
            <w:rStyle w:val="Hyperlink"/>
          </w:rPr>
          <w:t>https://www.nsnews.com/entertainment/film/pandora-s-box-documents-the-global-stigma-attached-to-menstruation-1.24029598</w:t>
        </w:r>
      </w:hyperlink>
    </w:p>
    <w:p w14:paraId="70273A02" w14:textId="77777777" w:rsidR="003B1AC1" w:rsidRPr="00A95C6C" w:rsidRDefault="003B1AC1" w:rsidP="003B1AC1">
      <w:pPr>
        <w:shd w:val="clear" w:color="auto" w:fill="FFFFFF"/>
        <w:spacing w:line="276" w:lineRule="auto"/>
        <w:ind w:hanging="330"/>
        <w:rPr>
          <w:rStyle w:val="Hyperlink"/>
        </w:rPr>
      </w:pPr>
    </w:p>
    <w:p w14:paraId="2BE95950" w14:textId="77777777" w:rsidR="003B1AC1" w:rsidRPr="00A95C6C" w:rsidRDefault="003B1AC1" w:rsidP="003B1AC1">
      <w:pPr>
        <w:shd w:val="clear" w:color="auto" w:fill="FFFFFF"/>
        <w:spacing w:line="276" w:lineRule="auto"/>
        <w:ind w:hanging="330"/>
        <w:rPr>
          <w:color w:val="0000FF"/>
          <w:u w:val="single"/>
        </w:rPr>
      </w:pPr>
      <w:r w:rsidRPr="00A95C6C">
        <w:rPr>
          <w:color w:val="000000"/>
          <w:shd w:val="clear" w:color="auto" w:fill="FFFFFF"/>
        </w:rPr>
        <w:t xml:space="preserve">Crawford, B. J., &amp; </w:t>
      </w:r>
      <w:proofErr w:type="spellStart"/>
      <w:r w:rsidRPr="00A95C6C">
        <w:rPr>
          <w:color w:val="000000"/>
          <w:shd w:val="clear" w:color="auto" w:fill="FFFFFF"/>
        </w:rPr>
        <w:t>Spivack</w:t>
      </w:r>
      <w:proofErr w:type="spellEnd"/>
      <w:r w:rsidRPr="00A95C6C">
        <w:rPr>
          <w:color w:val="000000"/>
          <w:shd w:val="clear" w:color="auto" w:fill="FFFFFF"/>
        </w:rPr>
        <w:t>, C. (2017). Tampon taxes, discrimination, and human rights.</w:t>
      </w:r>
      <w:r w:rsidRPr="00A95C6C">
        <w:rPr>
          <w:rStyle w:val="apple-converted-space"/>
          <w:i/>
          <w:iCs/>
          <w:color w:val="000000"/>
        </w:rPr>
        <w:t> </w:t>
      </w:r>
      <w:r w:rsidRPr="00A95C6C">
        <w:rPr>
          <w:i/>
          <w:iCs/>
          <w:color w:val="000000"/>
        </w:rPr>
        <w:t>Wisconsin Law Review,</w:t>
      </w:r>
      <w:r w:rsidRPr="00A95C6C">
        <w:rPr>
          <w:rStyle w:val="apple-converted-space"/>
          <w:i/>
          <w:iCs/>
          <w:color w:val="000000"/>
        </w:rPr>
        <w:t> </w:t>
      </w:r>
      <w:r w:rsidRPr="00A95C6C">
        <w:rPr>
          <w:i/>
          <w:iCs/>
          <w:color w:val="000000"/>
        </w:rPr>
        <w:t>2017</w:t>
      </w:r>
      <w:r w:rsidRPr="00A95C6C">
        <w:rPr>
          <w:color w:val="000000"/>
          <w:shd w:val="clear" w:color="auto" w:fill="FFFFFF"/>
        </w:rPr>
        <w:t>(3), 491-549. Retrieved from</w:t>
      </w:r>
      <w:r w:rsidRPr="00A95C6C">
        <w:rPr>
          <w:rStyle w:val="apple-converted-space"/>
          <w:color w:val="000000"/>
          <w:shd w:val="clear" w:color="auto" w:fill="FFFFFF"/>
        </w:rPr>
        <w:t> </w:t>
      </w:r>
      <w:hyperlink r:id="rId17" w:tgtFrame="_blank" w:history="1">
        <w:r w:rsidRPr="00A95C6C">
          <w:rPr>
            <w:rStyle w:val="Hyperlink"/>
          </w:rPr>
          <w:t>www.scopus.com</w:t>
        </w:r>
      </w:hyperlink>
    </w:p>
    <w:p w14:paraId="32140BD5" w14:textId="77777777" w:rsidR="003B1AC1" w:rsidRPr="00A95C6C" w:rsidRDefault="003B1AC1" w:rsidP="003B1AC1">
      <w:pPr>
        <w:shd w:val="clear" w:color="auto" w:fill="FFFFFF"/>
        <w:spacing w:line="276" w:lineRule="auto"/>
        <w:ind w:hanging="330"/>
        <w:rPr>
          <w:rStyle w:val="Hyperlink"/>
        </w:rPr>
      </w:pPr>
    </w:p>
    <w:p w14:paraId="4616C5F1" w14:textId="77777777" w:rsidR="003B1AC1" w:rsidRPr="00A95C6C" w:rsidRDefault="003B1AC1" w:rsidP="003B1AC1">
      <w:pPr>
        <w:shd w:val="clear" w:color="auto" w:fill="FFFFFF"/>
        <w:ind w:hanging="330"/>
        <w:rPr>
          <w:rStyle w:val="Hyperlink"/>
        </w:rPr>
      </w:pPr>
      <w:r w:rsidRPr="00A95C6C">
        <w:t>Crenshaw, K. (1991). Mapping the Margins: Intersectionality, Identity Politics, and Violence against Women of Color.</w:t>
      </w:r>
      <w:r w:rsidRPr="00A95C6C">
        <w:rPr>
          <w:rStyle w:val="apple-converted-space"/>
        </w:rPr>
        <w:t> </w:t>
      </w:r>
      <w:r w:rsidRPr="00A95C6C">
        <w:rPr>
          <w:i/>
          <w:iCs/>
        </w:rPr>
        <w:t>Stanford Law Review</w:t>
      </w:r>
      <w:r w:rsidRPr="00A95C6C">
        <w:t>,</w:t>
      </w:r>
      <w:r w:rsidRPr="00A95C6C">
        <w:rPr>
          <w:rStyle w:val="apple-converted-space"/>
        </w:rPr>
        <w:t> </w:t>
      </w:r>
      <w:r w:rsidRPr="00A95C6C">
        <w:rPr>
          <w:i/>
          <w:iCs/>
        </w:rPr>
        <w:t>43</w:t>
      </w:r>
      <w:r w:rsidRPr="00A95C6C">
        <w:t xml:space="preserve">(6), 1241. </w:t>
      </w:r>
      <w:proofErr w:type="spellStart"/>
      <w:r w:rsidRPr="00A95C6C">
        <w:t>doi</w:t>
      </w:r>
      <w:proofErr w:type="spellEnd"/>
      <w:r w:rsidRPr="00A95C6C">
        <w:t>: 10.2307/1229039</w:t>
      </w:r>
    </w:p>
    <w:p w14:paraId="72B4870A" w14:textId="77777777" w:rsidR="003B1AC1" w:rsidRPr="00A95C6C" w:rsidRDefault="003B1AC1" w:rsidP="003B1AC1">
      <w:pPr>
        <w:shd w:val="clear" w:color="auto" w:fill="FFFFFF"/>
        <w:spacing w:line="276" w:lineRule="auto"/>
        <w:ind w:hanging="330"/>
        <w:rPr>
          <w:color w:val="323232"/>
        </w:rPr>
      </w:pPr>
    </w:p>
    <w:p w14:paraId="12AD7855" w14:textId="77777777" w:rsidR="003B1AC1" w:rsidRPr="00A95C6C" w:rsidRDefault="003B1AC1" w:rsidP="003B1AC1">
      <w:pPr>
        <w:shd w:val="clear" w:color="auto" w:fill="FFFFFF"/>
        <w:spacing w:line="276" w:lineRule="auto"/>
        <w:ind w:hanging="330"/>
      </w:pPr>
      <w:r w:rsidRPr="00A95C6C">
        <w:t>Daley, A., Burton, P., &amp; Phipps, S. (2015). Measuring poverty and inequality in northern Canada. </w:t>
      </w:r>
      <w:r w:rsidRPr="00A95C6C">
        <w:rPr>
          <w:i/>
          <w:iCs/>
        </w:rPr>
        <w:t>Journal of Children and Poverty</w:t>
      </w:r>
      <w:r w:rsidRPr="00A95C6C">
        <w:t>, </w:t>
      </w:r>
      <w:r w:rsidRPr="00A95C6C">
        <w:rPr>
          <w:i/>
          <w:iCs/>
        </w:rPr>
        <w:t>21</w:t>
      </w:r>
      <w:r w:rsidRPr="00A95C6C">
        <w:t xml:space="preserve">(2), 89–110. </w:t>
      </w:r>
      <w:proofErr w:type="spellStart"/>
      <w:r w:rsidRPr="00A95C6C">
        <w:t>doi</w:t>
      </w:r>
      <w:proofErr w:type="spellEnd"/>
      <w:r w:rsidRPr="00A95C6C">
        <w:t>: 10.1080/10796126.2015.1089147</w:t>
      </w:r>
    </w:p>
    <w:p w14:paraId="23EE055C" w14:textId="77777777" w:rsidR="003B1AC1" w:rsidRPr="00A95C6C" w:rsidRDefault="003B1AC1" w:rsidP="003B1AC1">
      <w:pPr>
        <w:shd w:val="clear" w:color="auto" w:fill="FFFFFF"/>
        <w:spacing w:line="276" w:lineRule="auto"/>
        <w:ind w:hanging="330"/>
      </w:pPr>
    </w:p>
    <w:p w14:paraId="7D5061E6" w14:textId="77777777" w:rsidR="003B1AC1" w:rsidRPr="00A95C6C" w:rsidRDefault="003B1AC1" w:rsidP="003B1AC1">
      <w:pPr>
        <w:shd w:val="clear" w:color="auto" w:fill="FFFFFF"/>
        <w:spacing w:line="276" w:lineRule="auto"/>
        <w:ind w:hanging="330"/>
      </w:pPr>
      <w:proofErr w:type="spellStart"/>
      <w:r w:rsidRPr="00A95C6C">
        <w:t>Decuir-Gunby</w:t>
      </w:r>
      <w:proofErr w:type="spellEnd"/>
      <w:r w:rsidRPr="00A95C6C">
        <w:t xml:space="preserve">, J. T., Chapman, T. K., &amp; </w:t>
      </w:r>
      <w:proofErr w:type="spellStart"/>
      <w:r w:rsidRPr="00A95C6C">
        <w:t>Shutz</w:t>
      </w:r>
      <w:proofErr w:type="spellEnd"/>
      <w:r w:rsidRPr="00A95C6C">
        <w:t>, P. (2019). </w:t>
      </w:r>
      <w:r w:rsidRPr="00A95C6C">
        <w:rPr>
          <w:i/>
          <w:iCs/>
        </w:rPr>
        <w:t>Understanding critical race research methods and methodologies: lessons from the field</w:t>
      </w:r>
      <w:r w:rsidRPr="00A95C6C">
        <w:t>. New York: Routledge.</w:t>
      </w:r>
    </w:p>
    <w:p w14:paraId="0FC8BFB3" w14:textId="77777777" w:rsidR="003B1AC1" w:rsidRPr="00A95C6C" w:rsidRDefault="003B1AC1" w:rsidP="003B1AC1">
      <w:pPr>
        <w:shd w:val="clear" w:color="auto" w:fill="FFFFFF"/>
        <w:spacing w:line="276" w:lineRule="auto"/>
        <w:ind w:hanging="330"/>
      </w:pPr>
    </w:p>
    <w:p w14:paraId="236EF558" w14:textId="77777777" w:rsidR="003B1AC1" w:rsidRPr="00A95C6C" w:rsidRDefault="003B1AC1" w:rsidP="003B1AC1">
      <w:pPr>
        <w:shd w:val="clear" w:color="auto" w:fill="FFFFFF"/>
        <w:spacing w:line="276" w:lineRule="auto"/>
        <w:ind w:hanging="330"/>
        <w:rPr>
          <w:rStyle w:val="Hyperlink"/>
        </w:rPr>
      </w:pPr>
      <w:proofErr w:type="spellStart"/>
      <w:r w:rsidRPr="00A95C6C">
        <w:t>Deese</w:t>
      </w:r>
      <w:proofErr w:type="spellEnd"/>
      <w:r w:rsidRPr="00A95C6C">
        <w:t>, K. (2020, February 26). Scottish lawmakers pass bill to make sanitary products free for all women. Retrieved from</w:t>
      </w:r>
      <w:r w:rsidRPr="00A95C6C">
        <w:rPr>
          <w:color w:val="323232"/>
        </w:rPr>
        <w:t xml:space="preserve"> </w:t>
      </w:r>
      <w:hyperlink r:id="rId18" w:history="1">
        <w:r w:rsidRPr="00A95C6C">
          <w:rPr>
            <w:rStyle w:val="Hyperlink"/>
          </w:rPr>
          <w:t>https://thehill.com/policy/international/europe/484693-scotland-to-make-sanitary-products-free-for-all-women</w:t>
        </w:r>
      </w:hyperlink>
    </w:p>
    <w:p w14:paraId="72C6F719" w14:textId="77777777" w:rsidR="003B1AC1" w:rsidRPr="00A95C6C" w:rsidRDefault="003B1AC1" w:rsidP="003B1AC1">
      <w:pPr>
        <w:shd w:val="clear" w:color="auto" w:fill="FFFFFF"/>
        <w:spacing w:line="276" w:lineRule="auto"/>
        <w:ind w:hanging="330"/>
        <w:rPr>
          <w:rStyle w:val="Hyperlink"/>
        </w:rPr>
      </w:pPr>
    </w:p>
    <w:p w14:paraId="56027AE2" w14:textId="77777777" w:rsidR="003B1AC1" w:rsidRDefault="003B1AC1" w:rsidP="003B1AC1">
      <w:pPr>
        <w:shd w:val="clear" w:color="auto" w:fill="FFFFFF"/>
        <w:ind w:hanging="330"/>
        <w:rPr>
          <w:color w:val="323232"/>
        </w:rPr>
      </w:pPr>
      <w:r w:rsidRPr="00A95C6C">
        <w:rPr>
          <w:color w:val="0D0D0D" w:themeColor="text1" w:themeTint="F2"/>
        </w:rPr>
        <w:t xml:space="preserve">Dillard, C. (2019). Equity, Period. Retrieved from </w:t>
      </w:r>
      <w:hyperlink r:id="rId19" w:history="1">
        <w:r w:rsidRPr="00A95C6C">
          <w:rPr>
            <w:rStyle w:val="Hyperlink"/>
          </w:rPr>
          <w:t>https://www.learningforjustice.org/magazine/spring-2019/equity-period</w:t>
        </w:r>
      </w:hyperlink>
    </w:p>
    <w:p w14:paraId="3831133C" w14:textId="77777777" w:rsidR="003B1AC1" w:rsidRPr="00A95C6C" w:rsidRDefault="003B1AC1" w:rsidP="003B1AC1">
      <w:pPr>
        <w:shd w:val="clear" w:color="auto" w:fill="FFFFFF"/>
        <w:ind w:hanging="330"/>
        <w:rPr>
          <w:color w:val="323232"/>
        </w:rPr>
      </w:pPr>
    </w:p>
    <w:p w14:paraId="4DBBA430" w14:textId="77777777" w:rsidR="003B1AC1" w:rsidRPr="00A95C6C" w:rsidRDefault="003B1AC1" w:rsidP="003B1AC1">
      <w:pPr>
        <w:shd w:val="clear" w:color="auto" w:fill="FFFFFF"/>
        <w:ind w:hanging="330"/>
        <w:rPr>
          <w:color w:val="323232"/>
        </w:rPr>
      </w:pPr>
      <w:r w:rsidRPr="00A95C6C">
        <w:rPr>
          <w:color w:val="000000" w:themeColor="text1"/>
          <w:shd w:val="clear" w:color="auto" w:fill="FFFFFF"/>
        </w:rPr>
        <w:t xml:space="preserve">Dreher, B. (2019). Have You Heard of the Pink Tax? If Not, Prepare to Be Outraged. Retrieved from </w:t>
      </w:r>
      <w:hyperlink r:id="rId20" w:history="1">
        <w:r w:rsidRPr="00A95C6C">
          <w:rPr>
            <w:rStyle w:val="Hyperlink"/>
            <w:shd w:val="clear" w:color="auto" w:fill="FFFFFF"/>
          </w:rPr>
          <w:t>https://www.goodhousekeeping.com/life/money/a27409442/what-is-pink-tax/</w:t>
        </w:r>
      </w:hyperlink>
    </w:p>
    <w:p w14:paraId="3296928A" w14:textId="77777777" w:rsidR="003B1AC1" w:rsidRPr="00A95C6C" w:rsidRDefault="003B1AC1" w:rsidP="003B1AC1">
      <w:pPr>
        <w:shd w:val="clear" w:color="auto" w:fill="FFFFFF"/>
        <w:spacing w:line="276" w:lineRule="auto"/>
        <w:ind w:hanging="330"/>
        <w:rPr>
          <w:color w:val="000000" w:themeColor="text1"/>
        </w:rPr>
      </w:pPr>
    </w:p>
    <w:p w14:paraId="54F2E3EF" w14:textId="6B59976B" w:rsidR="003B1AC1" w:rsidRDefault="003B1AC1" w:rsidP="00300C6F">
      <w:pPr>
        <w:shd w:val="clear" w:color="auto" w:fill="FFFFFF"/>
        <w:spacing w:line="276" w:lineRule="auto"/>
        <w:ind w:hanging="330"/>
        <w:rPr>
          <w:rStyle w:val="Hyperlink"/>
        </w:rPr>
      </w:pPr>
      <w:r w:rsidRPr="00A95C6C">
        <w:rPr>
          <w:color w:val="0D0D0D" w:themeColor="text1" w:themeTint="F2"/>
        </w:rPr>
        <w:t xml:space="preserve">Dube, D.-E. (2018, May 29). One-third of young Canadian women can't afford menstrual products, report finds. Retrieved from </w:t>
      </w:r>
      <w:hyperlink r:id="rId21" w:history="1">
        <w:r w:rsidRPr="00A95C6C">
          <w:rPr>
            <w:rStyle w:val="Hyperlink"/>
          </w:rPr>
          <w:t>https://globalnews.ca/news/4239800/canada-cost-of-menstrual-products/</w:t>
        </w:r>
      </w:hyperlink>
    </w:p>
    <w:p w14:paraId="6712D1A4" w14:textId="77777777" w:rsidR="00300C6F" w:rsidRPr="00300C6F" w:rsidRDefault="00300C6F" w:rsidP="00300C6F">
      <w:pPr>
        <w:shd w:val="clear" w:color="auto" w:fill="FFFFFF"/>
        <w:spacing w:line="276" w:lineRule="auto"/>
        <w:ind w:hanging="330"/>
        <w:rPr>
          <w:color w:val="0000FF"/>
          <w:u w:val="single"/>
        </w:rPr>
      </w:pPr>
    </w:p>
    <w:p w14:paraId="051F1FA5" w14:textId="77777777" w:rsidR="003B1AC1" w:rsidRPr="00A95C6C" w:rsidRDefault="003B1AC1" w:rsidP="003B1AC1">
      <w:pPr>
        <w:shd w:val="clear" w:color="auto" w:fill="FFFFFF"/>
        <w:spacing w:line="276" w:lineRule="auto"/>
        <w:ind w:hanging="330"/>
        <w:rPr>
          <w:rStyle w:val="Hyperlink"/>
        </w:rPr>
      </w:pPr>
      <w:r w:rsidRPr="00A95C6C">
        <w:lastRenderedPageBreak/>
        <w:t xml:space="preserve">Elliott, C. (2020, January 25). The Pink Tax: What's the Cost of Being a Female Consumer in 2020? Retrieved from </w:t>
      </w:r>
      <w:hyperlink r:id="rId22" w:history="1">
        <w:r w:rsidRPr="00A95C6C">
          <w:rPr>
            <w:rStyle w:val="Hyperlink"/>
          </w:rPr>
          <w:t>https://www.listenmoneymatters.com/the-pink-tax/</w:t>
        </w:r>
      </w:hyperlink>
    </w:p>
    <w:p w14:paraId="20273E73" w14:textId="77777777" w:rsidR="003B1AC1" w:rsidRPr="00A95C6C" w:rsidRDefault="003B1AC1" w:rsidP="003B1AC1">
      <w:pPr>
        <w:shd w:val="clear" w:color="auto" w:fill="FFFFFF"/>
        <w:rPr>
          <w:color w:val="0D0D0D" w:themeColor="text1" w:themeTint="F2"/>
        </w:rPr>
      </w:pPr>
    </w:p>
    <w:p w14:paraId="1C937987" w14:textId="77777777" w:rsidR="003B1AC1" w:rsidRPr="00A95C6C" w:rsidRDefault="003B1AC1" w:rsidP="003B1AC1">
      <w:pPr>
        <w:shd w:val="clear" w:color="auto" w:fill="FFFFFF"/>
        <w:ind w:hanging="330"/>
        <w:rPr>
          <w:rStyle w:val="Hyperlink"/>
          <w:color w:val="0D0D0D" w:themeColor="text1" w:themeTint="F2"/>
        </w:rPr>
      </w:pPr>
      <w:r w:rsidRPr="00A95C6C">
        <w:rPr>
          <w:color w:val="0D0D0D" w:themeColor="text1" w:themeTint="F2"/>
        </w:rPr>
        <w:t>Garza, A. T., &amp; Ono, K. A. (2016). Critical Race Theory. </w:t>
      </w:r>
      <w:r w:rsidRPr="00A95C6C">
        <w:rPr>
          <w:i/>
          <w:iCs/>
          <w:color w:val="0D0D0D" w:themeColor="text1" w:themeTint="F2"/>
        </w:rPr>
        <w:t>The International Encyclopedia of Communication Theory and Philosophy,</w:t>
      </w:r>
      <w:r w:rsidRPr="00A95C6C">
        <w:rPr>
          <w:color w:val="0D0D0D" w:themeColor="text1" w:themeTint="F2"/>
        </w:rPr>
        <w:t>1-9. doi:10.1002/9781118766804.wbiect260</w:t>
      </w:r>
    </w:p>
    <w:p w14:paraId="60A9E8E9" w14:textId="77777777" w:rsidR="003B1AC1" w:rsidRPr="00A95C6C" w:rsidRDefault="003B1AC1" w:rsidP="003B1AC1">
      <w:pPr>
        <w:shd w:val="clear" w:color="auto" w:fill="FFFFFF"/>
        <w:spacing w:line="276" w:lineRule="auto"/>
        <w:ind w:hanging="330"/>
        <w:rPr>
          <w:rStyle w:val="Hyperlink"/>
        </w:rPr>
      </w:pPr>
    </w:p>
    <w:p w14:paraId="71592DAD" w14:textId="77777777" w:rsidR="003B1AC1" w:rsidRPr="00A95C6C" w:rsidRDefault="003B1AC1" w:rsidP="003B1AC1">
      <w:pPr>
        <w:shd w:val="clear" w:color="auto" w:fill="FFFFFF"/>
        <w:spacing w:line="276" w:lineRule="auto"/>
        <w:ind w:hanging="330"/>
        <w:rPr>
          <w:rStyle w:val="Hyperlink"/>
        </w:rPr>
      </w:pPr>
      <w:r w:rsidRPr="00A95C6C">
        <w:rPr>
          <w:color w:val="0D0D0D" w:themeColor="text1" w:themeTint="F2"/>
        </w:rPr>
        <w:t xml:space="preserve">George, A. (2019, May 28). The stigma over periods won't end until boys learn about them too. Retrieved from </w:t>
      </w:r>
      <w:hyperlink r:id="rId23" w:history="1">
        <w:r w:rsidRPr="00A95C6C">
          <w:rPr>
            <w:rStyle w:val="Hyperlink"/>
          </w:rPr>
          <w:t>https://www.theguardian.com/commentisfree/2019/may/28/stigma-periods-boys-young-women-bullying-menstruation</w:t>
        </w:r>
      </w:hyperlink>
    </w:p>
    <w:p w14:paraId="053A296E" w14:textId="77777777" w:rsidR="003B1AC1" w:rsidRPr="00A95C6C" w:rsidRDefault="003B1AC1" w:rsidP="003B1AC1">
      <w:pPr>
        <w:shd w:val="clear" w:color="auto" w:fill="FFFFFF"/>
        <w:spacing w:line="276" w:lineRule="auto"/>
        <w:ind w:hanging="330"/>
        <w:rPr>
          <w:rStyle w:val="Hyperlink"/>
        </w:rPr>
      </w:pPr>
    </w:p>
    <w:p w14:paraId="235423E0" w14:textId="77777777" w:rsidR="003B1AC1" w:rsidRPr="00A95C6C" w:rsidRDefault="003B1AC1" w:rsidP="003B1AC1">
      <w:pPr>
        <w:shd w:val="clear" w:color="auto" w:fill="FFFFFF"/>
        <w:ind w:hanging="330"/>
        <w:rPr>
          <w:color w:val="323232"/>
        </w:rPr>
      </w:pPr>
      <w:proofErr w:type="spellStart"/>
      <w:r w:rsidRPr="004135EF">
        <w:rPr>
          <w:color w:val="000000" w:themeColor="text1"/>
        </w:rPr>
        <w:t>Globalgoals</w:t>
      </w:r>
      <w:proofErr w:type="spellEnd"/>
      <w:r w:rsidRPr="004135EF">
        <w:rPr>
          <w:color w:val="000000" w:themeColor="text1"/>
        </w:rPr>
        <w:t>. (</w:t>
      </w:r>
      <w:proofErr w:type="spellStart"/>
      <w:r w:rsidRPr="004135EF">
        <w:rPr>
          <w:color w:val="000000" w:themeColor="text1"/>
        </w:rPr>
        <w:t>n.d.a</w:t>
      </w:r>
      <w:proofErr w:type="spellEnd"/>
      <w:r w:rsidRPr="004135EF">
        <w:rPr>
          <w:color w:val="000000" w:themeColor="text1"/>
        </w:rPr>
        <w:t xml:space="preserve">). Goal 5: Gender Equality. Retrieved from </w:t>
      </w:r>
      <w:hyperlink r:id="rId24" w:history="1">
        <w:r w:rsidRPr="00A95C6C">
          <w:rPr>
            <w:rStyle w:val="Hyperlink"/>
          </w:rPr>
          <w:t>https://www.globalgoals.org/5-gender-equality</w:t>
        </w:r>
      </w:hyperlink>
    </w:p>
    <w:p w14:paraId="6DF103B7" w14:textId="77777777" w:rsidR="003B1AC1" w:rsidRPr="00A95C6C" w:rsidRDefault="003B1AC1" w:rsidP="003B1AC1">
      <w:pPr>
        <w:shd w:val="clear" w:color="auto" w:fill="FFFFFF"/>
        <w:ind w:hanging="330"/>
        <w:rPr>
          <w:color w:val="323232"/>
        </w:rPr>
      </w:pPr>
    </w:p>
    <w:p w14:paraId="52287E4A" w14:textId="77777777" w:rsidR="003B1AC1" w:rsidRPr="00A95C6C" w:rsidRDefault="003B1AC1" w:rsidP="003B1AC1">
      <w:pPr>
        <w:shd w:val="clear" w:color="auto" w:fill="FFFFFF"/>
        <w:ind w:hanging="330"/>
        <w:rPr>
          <w:color w:val="323232"/>
        </w:rPr>
      </w:pPr>
      <w:proofErr w:type="spellStart"/>
      <w:r w:rsidRPr="00A95C6C">
        <w:rPr>
          <w:color w:val="0D0D0D" w:themeColor="text1" w:themeTint="F2"/>
        </w:rPr>
        <w:t>Globalgoals</w:t>
      </w:r>
      <w:proofErr w:type="spellEnd"/>
      <w:r w:rsidRPr="00A95C6C">
        <w:rPr>
          <w:color w:val="0D0D0D" w:themeColor="text1" w:themeTint="F2"/>
        </w:rPr>
        <w:t>. (</w:t>
      </w:r>
      <w:proofErr w:type="spellStart"/>
      <w:r w:rsidRPr="00A95C6C">
        <w:rPr>
          <w:color w:val="0D0D0D" w:themeColor="text1" w:themeTint="F2"/>
        </w:rPr>
        <w:t>n.d.b</w:t>
      </w:r>
      <w:proofErr w:type="spellEnd"/>
      <w:r w:rsidRPr="00A95C6C">
        <w:rPr>
          <w:color w:val="0D0D0D" w:themeColor="text1" w:themeTint="F2"/>
        </w:rPr>
        <w:t xml:space="preserve">). Goal 3: Good Health and Well-being. Retrieved from </w:t>
      </w:r>
      <w:hyperlink r:id="rId25" w:history="1">
        <w:r w:rsidRPr="00A95C6C">
          <w:rPr>
            <w:rStyle w:val="Hyperlink"/>
          </w:rPr>
          <w:t>https://www.globalgoals.org/3-good-health-and-well-being</w:t>
        </w:r>
      </w:hyperlink>
    </w:p>
    <w:p w14:paraId="55E56175" w14:textId="77777777" w:rsidR="003B1AC1" w:rsidRPr="00A95C6C" w:rsidRDefault="003B1AC1" w:rsidP="003B1AC1">
      <w:pPr>
        <w:shd w:val="clear" w:color="auto" w:fill="FFFFFF"/>
        <w:spacing w:line="276" w:lineRule="auto"/>
        <w:ind w:hanging="330"/>
        <w:rPr>
          <w:color w:val="323232"/>
        </w:rPr>
      </w:pPr>
    </w:p>
    <w:p w14:paraId="5BD8B6F2" w14:textId="77777777" w:rsidR="003B1AC1" w:rsidRPr="00A95C6C" w:rsidRDefault="003B1AC1" w:rsidP="003B1AC1">
      <w:pPr>
        <w:shd w:val="clear" w:color="auto" w:fill="FFFFFF"/>
        <w:spacing w:line="276" w:lineRule="auto"/>
        <w:ind w:hanging="330"/>
        <w:rPr>
          <w:color w:val="323232"/>
        </w:rPr>
      </w:pPr>
      <w:r w:rsidRPr="00A95C6C">
        <w:t xml:space="preserve">Government. (2018, January 17). Retrieved from </w:t>
      </w:r>
      <w:hyperlink r:id="rId26" w:history="1">
        <w:r w:rsidRPr="00A95C6C">
          <w:rPr>
            <w:rStyle w:val="Hyperlink"/>
          </w:rPr>
          <w:t>https://www150.statcan.gc.ca/n1/pub/11-402-x/2011000/chap/gov-gouv/gov-gouv-eng.htm</w:t>
        </w:r>
      </w:hyperlink>
    </w:p>
    <w:p w14:paraId="23EF3BE8" w14:textId="77777777" w:rsidR="003B1AC1" w:rsidRPr="00A95C6C" w:rsidRDefault="003B1AC1" w:rsidP="003B1AC1">
      <w:pPr>
        <w:shd w:val="clear" w:color="auto" w:fill="FFFFFF"/>
        <w:spacing w:line="276" w:lineRule="auto"/>
        <w:ind w:hanging="330"/>
        <w:rPr>
          <w:color w:val="323232"/>
        </w:rPr>
      </w:pPr>
    </w:p>
    <w:p w14:paraId="2BD9EC87" w14:textId="77777777" w:rsidR="003B1AC1" w:rsidRPr="00A95C6C" w:rsidRDefault="003B1AC1" w:rsidP="003B1AC1">
      <w:pPr>
        <w:shd w:val="clear" w:color="auto" w:fill="FFFFFF"/>
        <w:spacing w:line="276" w:lineRule="auto"/>
        <w:ind w:hanging="330"/>
      </w:pPr>
      <w:r w:rsidRPr="00A95C6C">
        <w:t xml:space="preserve">Hall, N. L. (2017). Indigenous girls missing school during their periods. Retrieved from </w:t>
      </w:r>
      <w:hyperlink r:id="rId27" w:history="1">
        <w:r w:rsidRPr="00A95C6C">
          <w:rPr>
            <w:rStyle w:val="Hyperlink"/>
          </w:rPr>
          <w:t>https://theconversation.com/indigenous-girls-missing-school-during-their-periods-the-state-of-hygiene-in-remote-australia-79348</w:t>
        </w:r>
      </w:hyperlink>
    </w:p>
    <w:p w14:paraId="6253C830" w14:textId="77777777" w:rsidR="003B1AC1" w:rsidRPr="00A95C6C" w:rsidRDefault="003B1AC1" w:rsidP="003B1AC1">
      <w:pPr>
        <w:shd w:val="clear" w:color="auto" w:fill="FFFFFF"/>
        <w:spacing w:line="276" w:lineRule="auto"/>
        <w:ind w:hanging="330"/>
      </w:pPr>
    </w:p>
    <w:p w14:paraId="4333CEC6" w14:textId="77777777" w:rsidR="003B1AC1" w:rsidRPr="00A95C6C" w:rsidRDefault="003B1AC1" w:rsidP="003B1AC1">
      <w:pPr>
        <w:shd w:val="clear" w:color="auto" w:fill="FFFFFF"/>
        <w:ind w:hanging="330"/>
        <w:rPr>
          <w:color w:val="0D0D0D" w:themeColor="text1" w:themeTint="F2"/>
        </w:rPr>
      </w:pPr>
      <w:proofErr w:type="spellStart"/>
      <w:r w:rsidRPr="00A95C6C">
        <w:rPr>
          <w:color w:val="0D0D0D" w:themeColor="text1" w:themeTint="F2"/>
        </w:rPr>
        <w:t>Hankivsky</w:t>
      </w:r>
      <w:proofErr w:type="spellEnd"/>
      <w:r w:rsidRPr="00A95C6C">
        <w:rPr>
          <w:color w:val="0D0D0D" w:themeColor="text1" w:themeTint="F2"/>
        </w:rPr>
        <w:t>, O., &amp; Jordan-Zachery, J. S. (2019). Introduction: Bringing Intersectionality to Public Policy. </w:t>
      </w:r>
      <w:r w:rsidRPr="00A95C6C">
        <w:rPr>
          <w:i/>
          <w:iCs/>
          <w:color w:val="0D0D0D" w:themeColor="text1" w:themeTint="F2"/>
        </w:rPr>
        <w:t>The Palgrave Handbook of Intersectionality in Public Policy,</w:t>
      </w:r>
      <w:r w:rsidRPr="00A95C6C">
        <w:rPr>
          <w:color w:val="0D0D0D" w:themeColor="text1" w:themeTint="F2"/>
        </w:rPr>
        <w:t>1-28. doi:10.1007/978-3-319-98473-5_1</w:t>
      </w:r>
    </w:p>
    <w:p w14:paraId="35906D01" w14:textId="77777777" w:rsidR="003B1AC1" w:rsidRPr="00A95C6C" w:rsidRDefault="003B1AC1" w:rsidP="003B1AC1">
      <w:pPr>
        <w:shd w:val="clear" w:color="auto" w:fill="FFFFFF"/>
        <w:ind w:hanging="330"/>
        <w:rPr>
          <w:color w:val="0D0D0D" w:themeColor="text1" w:themeTint="F2"/>
        </w:rPr>
      </w:pPr>
    </w:p>
    <w:p w14:paraId="00B2887F" w14:textId="77777777" w:rsidR="003B1AC1" w:rsidRPr="00A95C6C" w:rsidRDefault="003B1AC1" w:rsidP="003B1AC1">
      <w:pPr>
        <w:shd w:val="clear" w:color="auto" w:fill="FFFFFF"/>
        <w:ind w:hanging="330"/>
        <w:rPr>
          <w:color w:val="323232"/>
        </w:rPr>
      </w:pPr>
      <w:r w:rsidRPr="00A95C6C">
        <w:rPr>
          <w:color w:val="0D0D0D" w:themeColor="text1" w:themeTint="F2"/>
        </w:rPr>
        <w:t xml:space="preserve">Heard, A. (1997). Human Rights: Chimeras in Sheep's Clothing? Retrieved from </w:t>
      </w:r>
      <w:hyperlink r:id="rId28" w:history="1">
        <w:r w:rsidRPr="00A95C6C">
          <w:rPr>
            <w:rStyle w:val="Hyperlink"/>
          </w:rPr>
          <w:t>https://www.sfu.ca/~aheard/intro.html</w:t>
        </w:r>
      </w:hyperlink>
    </w:p>
    <w:p w14:paraId="5C2B2E67" w14:textId="77777777" w:rsidR="003B1AC1" w:rsidRPr="00A95C6C" w:rsidRDefault="003B1AC1" w:rsidP="003B1AC1">
      <w:pPr>
        <w:shd w:val="clear" w:color="auto" w:fill="FFFFFF"/>
        <w:spacing w:line="276" w:lineRule="auto"/>
        <w:rPr>
          <w:color w:val="323232"/>
        </w:rPr>
      </w:pPr>
    </w:p>
    <w:p w14:paraId="7F9FFD15" w14:textId="77777777" w:rsidR="003B1AC1" w:rsidRPr="00A95C6C" w:rsidRDefault="003B1AC1" w:rsidP="003B1AC1">
      <w:pPr>
        <w:shd w:val="clear" w:color="auto" w:fill="FFFFFF"/>
        <w:ind w:hanging="330"/>
        <w:rPr>
          <w:color w:val="323232"/>
        </w:rPr>
      </w:pPr>
      <w:r w:rsidRPr="00A95C6C">
        <w:rPr>
          <w:color w:val="0D0D0D" w:themeColor="text1" w:themeTint="F2"/>
        </w:rPr>
        <w:t xml:space="preserve">Johnson, J. (2015). Donald Trump says Clinton's bathroom break during the debate is 'too disgusting' to talk about. Retrieved from </w:t>
      </w:r>
      <w:hyperlink r:id="rId29" w:history="1">
        <w:r w:rsidRPr="00A95C6C">
          <w:rPr>
            <w:rStyle w:val="Hyperlink"/>
          </w:rPr>
          <w:t>https://www.washingtonpost.com/news/post-politics/wp/2015/12/21/donald-trump-calls-hillary-clinton-disgusting-for-using-the-restroom-during-a-debate/</w:t>
        </w:r>
      </w:hyperlink>
    </w:p>
    <w:p w14:paraId="37BD07DD" w14:textId="77777777" w:rsidR="003B1AC1" w:rsidRPr="00A95C6C" w:rsidRDefault="003B1AC1" w:rsidP="003B1AC1">
      <w:pPr>
        <w:shd w:val="clear" w:color="auto" w:fill="FFFFFF"/>
        <w:ind w:hanging="330"/>
        <w:rPr>
          <w:color w:val="323232"/>
        </w:rPr>
      </w:pPr>
    </w:p>
    <w:p w14:paraId="69E37F3A" w14:textId="77777777" w:rsidR="003B1AC1" w:rsidRPr="00A95C6C" w:rsidRDefault="003B1AC1" w:rsidP="003B1AC1">
      <w:pPr>
        <w:shd w:val="clear" w:color="auto" w:fill="FFFFFF"/>
        <w:ind w:hanging="330"/>
        <w:rPr>
          <w:color w:val="0D0D0D" w:themeColor="text1" w:themeTint="F2"/>
        </w:rPr>
      </w:pPr>
      <w:r w:rsidRPr="00A95C6C">
        <w:rPr>
          <w:color w:val="0D0D0D" w:themeColor="text1" w:themeTint="F2"/>
        </w:rPr>
        <w:t xml:space="preserve">Johnston-Robledo, I., &amp; </w:t>
      </w:r>
      <w:proofErr w:type="spellStart"/>
      <w:r w:rsidRPr="00A95C6C">
        <w:rPr>
          <w:color w:val="0D0D0D" w:themeColor="text1" w:themeTint="F2"/>
        </w:rPr>
        <w:t>Chrisler</w:t>
      </w:r>
      <w:proofErr w:type="spellEnd"/>
      <w:r w:rsidRPr="00A95C6C">
        <w:rPr>
          <w:color w:val="0D0D0D" w:themeColor="text1" w:themeTint="F2"/>
        </w:rPr>
        <w:t>, J. C. (2020). The Menstrual Mark: Menstruation as Social Stigma. </w:t>
      </w:r>
      <w:r w:rsidRPr="00A95C6C">
        <w:rPr>
          <w:i/>
          <w:iCs/>
          <w:color w:val="0D0D0D" w:themeColor="text1" w:themeTint="F2"/>
        </w:rPr>
        <w:t>The Palgrave Handbook of Critical Menstruation Studies,</w:t>
      </w:r>
      <w:r w:rsidRPr="00A95C6C">
        <w:rPr>
          <w:color w:val="0D0D0D" w:themeColor="text1" w:themeTint="F2"/>
        </w:rPr>
        <w:t>181-199. doi:10.1007/978-981-15-0614-7_17</w:t>
      </w:r>
    </w:p>
    <w:p w14:paraId="5794BB05" w14:textId="77777777" w:rsidR="003B1AC1" w:rsidRPr="00A95C6C" w:rsidRDefault="003B1AC1" w:rsidP="003B1AC1">
      <w:pPr>
        <w:shd w:val="clear" w:color="auto" w:fill="FFFFFF"/>
        <w:spacing w:line="276" w:lineRule="auto"/>
        <w:ind w:hanging="330"/>
        <w:rPr>
          <w:color w:val="323232"/>
        </w:rPr>
      </w:pPr>
    </w:p>
    <w:p w14:paraId="7FD79EAE" w14:textId="77777777" w:rsidR="003B1AC1" w:rsidRDefault="003B1AC1" w:rsidP="003B1AC1">
      <w:pPr>
        <w:shd w:val="clear" w:color="auto" w:fill="FFFFFF"/>
        <w:spacing w:line="276" w:lineRule="auto"/>
        <w:ind w:hanging="330"/>
        <w:rPr>
          <w:shd w:val="clear" w:color="auto" w:fill="FFFFFF"/>
        </w:rPr>
      </w:pPr>
      <w:proofErr w:type="spellStart"/>
      <w:r w:rsidRPr="00A95C6C">
        <w:rPr>
          <w:shd w:val="clear" w:color="auto" w:fill="FFFFFF"/>
        </w:rPr>
        <w:t>Karunananthan</w:t>
      </w:r>
      <w:proofErr w:type="spellEnd"/>
      <w:r w:rsidRPr="00A95C6C">
        <w:rPr>
          <w:shd w:val="clear" w:color="auto" w:fill="FFFFFF"/>
        </w:rPr>
        <w:t>, M. (2019). Can the human right to water disrupt neoliberal water policies in the era of corporate policy-making?</w:t>
      </w:r>
      <w:r w:rsidRPr="00A95C6C">
        <w:rPr>
          <w:rStyle w:val="apple-converted-space"/>
          <w:shd w:val="clear" w:color="auto" w:fill="FFFFFF"/>
        </w:rPr>
        <w:t> </w:t>
      </w:r>
      <w:proofErr w:type="spellStart"/>
      <w:r w:rsidRPr="00A95C6C">
        <w:rPr>
          <w:i/>
          <w:iCs/>
          <w:shd w:val="clear" w:color="auto" w:fill="FFFFFF"/>
        </w:rPr>
        <w:t>Geoforum</w:t>
      </w:r>
      <w:proofErr w:type="spellEnd"/>
      <w:r w:rsidRPr="00A95C6C">
        <w:rPr>
          <w:shd w:val="clear" w:color="auto" w:fill="FFFFFF"/>
        </w:rPr>
        <w:t>,</w:t>
      </w:r>
      <w:r w:rsidRPr="00A95C6C">
        <w:rPr>
          <w:rStyle w:val="apple-converted-space"/>
          <w:shd w:val="clear" w:color="auto" w:fill="FFFFFF"/>
        </w:rPr>
        <w:t> </w:t>
      </w:r>
      <w:r w:rsidRPr="00A95C6C">
        <w:rPr>
          <w:i/>
          <w:iCs/>
          <w:shd w:val="clear" w:color="auto" w:fill="FFFFFF"/>
        </w:rPr>
        <w:t>98</w:t>
      </w:r>
      <w:r w:rsidRPr="00A95C6C">
        <w:rPr>
          <w:shd w:val="clear" w:color="auto" w:fill="FFFFFF"/>
        </w:rPr>
        <w:t xml:space="preserve">, 244–253. </w:t>
      </w:r>
      <w:proofErr w:type="spellStart"/>
      <w:r w:rsidRPr="00A95C6C">
        <w:rPr>
          <w:shd w:val="clear" w:color="auto" w:fill="FFFFFF"/>
        </w:rPr>
        <w:t>doi</w:t>
      </w:r>
      <w:proofErr w:type="spellEnd"/>
      <w:r w:rsidRPr="00A95C6C">
        <w:rPr>
          <w:shd w:val="clear" w:color="auto" w:fill="FFFFFF"/>
        </w:rPr>
        <w:t>: 10.1016/j.geoforum.2018.07.013</w:t>
      </w:r>
    </w:p>
    <w:p w14:paraId="0DEF80AF" w14:textId="77777777" w:rsidR="003B1AC1" w:rsidRDefault="003B1AC1" w:rsidP="003B1AC1">
      <w:pPr>
        <w:shd w:val="clear" w:color="auto" w:fill="FFFFFF"/>
        <w:spacing w:line="276" w:lineRule="auto"/>
        <w:ind w:hanging="330"/>
        <w:rPr>
          <w:shd w:val="clear" w:color="auto" w:fill="FFFFFF"/>
        </w:rPr>
      </w:pPr>
    </w:p>
    <w:p w14:paraId="38287CA3" w14:textId="77777777" w:rsidR="003B1AC1" w:rsidRPr="00124280" w:rsidRDefault="003B1AC1" w:rsidP="003B1AC1">
      <w:pPr>
        <w:shd w:val="clear" w:color="auto" w:fill="FFFFFF"/>
        <w:spacing w:line="276" w:lineRule="auto"/>
        <w:ind w:hanging="330"/>
        <w:rPr>
          <w:color w:val="000000" w:themeColor="text1"/>
          <w:shd w:val="clear" w:color="auto" w:fill="FFFFFF"/>
        </w:rPr>
      </w:pPr>
      <w:r w:rsidRPr="00124280">
        <w:rPr>
          <w:color w:val="000000" w:themeColor="text1"/>
          <w:shd w:val="clear" w:color="auto" w:fill="FFFFFF"/>
        </w:rPr>
        <w:lastRenderedPageBreak/>
        <w:t>Kaur, R., Kaur, K., &amp; Kaur, R. (2018). Menstrual Hygiene, Management, and Waste Disposal: Practices and Challenges Faced by Girls/Women of Developing Countries.</w:t>
      </w:r>
      <w:r w:rsidRPr="00124280">
        <w:rPr>
          <w:rStyle w:val="apple-converted-space"/>
          <w:color w:val="000000" w:themeColor="text1"/>
          <w:shd w:val="clear" w:color="auto" w:fill="FFFFFF"/>
        </w:rPr>
        <w:t> </w:t>
      </w:r>
      <w:r w:rsidRPr="00124280">
        <w:rPr>
          <w:i/>
          <w:iCs/>
          <w:color w:val="000000" w:themeColor="text1"/>
          <w:shd w:val="clear" w:color="auto" w:fill="FFFFFF"/>
        </w:rPr>
        <w:t>Journal of Environmental and Public Health,2018</w:t>
      </w:r>
      <w:r w:rsidRPr="00124280">
        <w:rPr>
          <w:color w:val="000000" w:themeColor="text1"/>
          <w:shd w:val="clear" w:color="auto" w:fill="FFFFFF"/>
        </w:rPr>
        <w:t>, 1-9. doi:10.1155/2018/1730964</w:t>
      </w:r>
    </w:p>
    <w:p w14:paraId="04424280" w14:textId="77777777" w:rsidR="003B1AC1" w:rsidRPr="00A95C6C" w:rsidRDefault="003B1AC1" w:rsidP="003B1AC1">
      <w:pPr>
        <w:shd w:val="clear" w:color="auto" w:fill="FFFFFF"/>
        <w:spacing w:line="276" w:lineRule="auto"/>
        <w:ind w:hanging="330"/>
        <w:rPr>
          <w:shd w:val="clear" w:color="auto" w:fill="FFFFFF"/>
        </w:rPr>
      </w:pPr>
    </w:p>
    <w:p w14:paraId="7CFDCE56" w14:textId="77777777" w:rsidR="003B1AC1" w:rsidRDefault="003B1AC1" w:rsidP="003B1AC1">
      <w:pPr>
        <w:shd w:val="clear" w:color="auto" w:fill="FFFFFF"/>
        <w:spacing w:line="276" w:lineRule="auto"/>
        <w:ind w:hanging="330"/>
        <w:rPr>
          <w:shd w:val="clear" w:color="auto" w:fill="FFFFFF"/>
        </w:rPr>
      </w:pPr>
      <w:r w:rsidRPr="00A95C6C">
        <w:rPr>
          <w:shd w:val="clear" w:color="auto" w:fill="FFFFFF"/>
        </w:rPr>
        <w:t xml:space="preserve">Keck, M. E., &amp; </w:t>
      </w:r>
      <w:proofErr w:type="spellStart"/>
      <w:r w:rsidRPr="00A95C6C">
        <w:rPr>
          <w:shd w:val="clear" w:color="auto" w:fill="FFFFFF"/>
        </w:rPr>
        <w:t>Sikkink</w:t>
      </w:r>
      <w:proofErr w:type="spellEnd"/>
      <w:r w:rsidRPr="00A95C6C">
        <w:rPr>
          <w:shd w:val="clear" w:color="auto" w:fill="FFFFFF"/>
        </w:rPr>
        <w:t>, K. (2018). Transnational advocacy networks in international and regional politics*.</w:t>
      </w:r>
      <w:r w:rsidRPr="00A95C6C">
        <w:rPr>
          <w:rStyle w:val="apple-converted-space"/>
          <w:shd w:val="clear" w:color="auto" w:fill="FFFFFF"/>
        </w:rPr>
        <w:t> </w:t>
      </w:r>
      <w:r w:rsidRPr="00A95C6C">
        <w:rPr>
          <w:i/>
          <w:iCs/>
          <w:shd w:val="clear" w:color="auto" w:fill="FFFFFF"/>
        </w:rPr>
        <w:t>International Social Science Journal</w:t>
      </w:r>
      <w:r w:rsidRPr="00A95C6C">
        <w:rPr>
          <w:shd w:val="clear" w:color="auto" w:fill="FFFFFF"/>
        </w:rPr>
        <w:t>,</w:t>
      </w:r>
      <w:r w:rsidRPr="00A95C6C">
        <w:rPr>
          <w:rStyle w:val="apple-converted-space"/>
          <w:shd w:val="clear" w:color="auto" w:fill="FFFFFF"/>
        </w:rPr>
        <w:t> </w:t>
      </w:r>
      <w:r w:rsidRPr="00A95C6C">
        <w:rPr>
          <w:i/>
          <w:iCs/>
          <w:shd w:val="clear" w:color="auto" w:fill="FFFFFF"/>
        </w:rPr>
        <w:t>68</w:t>
      </w:r>
      <w:r w:rsidRPr="00A95C6C">
        <w:rPr>
          <w:shd w:val="clear" w:color="auto" w:fill="FFFFFF"/>
        </w:rPr>
        <w:t xml:space="preserve">(227-228), 65–76. </w:t>
      </w:r>
      <w:proofErr w:type="spellStart"/>
      <w:r w:rsidRPr="00A95C6C">
        <w:rPr>
          <w:shd w:val="clear" w:color="auto" w:fill="FFFFFF"/>
        </w:rPr>
        <w:t>doi</w:t>
      </w:r>
      <w:proofErr w:type="spellEnd"/>
      <w:r w:rsidRPr="00A95C6C">
        <w:rPr>
          <w:shd w:val="clear" w:color="auto" w:fill="FFFFFF"/>
        </w:rPr>
        <w:t>: 10.1111/issj.12187</w:t>
      </w:r>
    </w:p>
    <w:p w14:paraId="2FE1AF08" w14:textId="77777777" w:rsidR="003B1AC1" w:rsidRDefault="003B1AC1" w:rsidP="003B1AC1">
      <w:pPr>
        <w:shd w:val="clear" w:color="auto" w:fill="FFFFFF"/>
        <w:spacing w:line="276" w:lineRule="auto"/>
        <w:ind w:hanging="330"/>
        <w:rPr>
          <w:shd w:val="clear" w:color="auto" w:fill="FFFFFF"/>
        </w:rPr>
      </w:pPr>
    </w:p>
    <w:p w14:paraId="00048E11" w14:textId="77777777" w:rsidR="003B1AC1" w:rsidRDefault="003B1AC1" w:rsidP="003B1AC1">
      <w:pPr>
        <w:shd w:val="clear" w:color="auto" w:fill="FFFFFF"/>
        <w:spacing w:line="276" w:lineRule="auto"/>
        <w:ind w:hanging="330"/>
        <w:rPr>
          <w:color w:val="323232"/>
          <w:shd w:val="clear" w:color="auto" w:fill="FFFFFF"/>
        </w:rPr>
      </w:pPr>
      <w:proofErr w:type="spellStart"/>
      <w:r w:rsidRPr="00124280">
        <w:rPr>
          <w:color w:val="000000" w:themeColor="text1"/>
          <w:shd w:val="clear" w:color="auto" w:fill="FFFFFF"/>
        </w:rPr>
        <w:t>Kiende</w:t>
      </w:r>
      <w:proofErr w:type="spellEnd"/>
      <w:r w:rsidRPr="00124280">
        <w:rPr>
          <w:color w:val="000000" w:themeColor="text1"/>
          <w:shd w:val="clear" w:color="auto" w:fill="FFFFFF"/>
        </w:rPr>
        <w:t xml:space="preserve">, V. (2020). Examining Period Poverty. Retrieved from </w:t>
      </w:r>
      <w:hyperlink r:id="rId30" w:history="1">
        <w:r w:rsidRPr="00E250F9">
          <w:rPr>
            <w:rStyle w:val="Hyperlink"/>
            <w:shd w:val="clear" w:color="auto" w:fill="FFFFFF"/>
          </w:rPr>
          <w:t>https://sites.uab.edu/humanrights/2019/11/11/examining-period-poverty/</w:t>
        </w:r>
      </w:hyperlink>
    </w:p>
    <w:p w14:paraId="0724B058" w14:textId="77777777" w:rsidR="003B1AC1" w:rsidRPr="00A95C6C" w:rsidRDefault="003B1AC1" w:rsidP="00300C6F">
      <w:pPr>
        <w:shd w:val="clear" w:color="auto" w:fill="FFFFFF"/>
        <w:spacing w:line="276" w:lineRule="auto"/>
        <w:rPr>
          <w:shd w:val="clear" w:color="auto" w:fill="FFFFFF"/>
        </w:rPr>
      </w:pPr>
    </w:p>
    <w:p w14:paraId="258DCFA0" w14:textId="77777777" w:rsidR="003B1AC1" w:rsidRDefault="003B1AC1" w:rsidP="003B1AC1">
      <w:pPr>
        <w:shd w:val="clear" w:color="auto" w:fill="FFFFFF"/>
        <w:spacing w:line="276" w:lineRule="auto"/>
        <w:ind w:hanging="330"/>
        <w:rPr>
          <w:rStyle w:val="Hyperlink"/>
          <w:shd w:val="clear" w:color="auto" w:fill="FFFFFF"/>
        </w:rPr>
      </w:pPr>
      <w:proofErr w:type="spellStart"/>
      <w:r w:rsidRPr="00A95C6C">
        <w:t>Lammam</w:t>
      </w:r>
      <w:proofErr w:type="spellEnd"/>
      <w:r w:rsidRPr="00A95C6C">
        <w:t xml:space="preserve">, C., &amp; </w:t>
      </w:r>
      <w:proofErr w:type="spellStart"/>
      <w:r w:rsidRPr="00A95C6C">
        <w:t>MacIntrye</w:t>
      </w:r>
      <w:proofErr w:type="spellEnd"/>
      <w:r w:rsidRPr="00A95C6C">
        <w:t xml:space="preserve">, H. (2016). Defining and measuring poverty. In </w:t>
      </w:r>
      <w:proofErr w:type="gramStart"/>
      <w:r w:rsidRPr="00A95C6C">
        <w:rPr>
          <w:i/>
          <w:iCs/>
        </w:rPr>
        <w:t>An</w:t>
      </w:r>
      <w:proofErr w:type="gramEnd"/>
      <w:r w:rsidRPr="00A95C6C">
        <w:rPr>
          <w:i/>
          <w:iCs/>
        </w:rPr>
        <w:t xml:space="preserve"> Introduction to the state of poverty in </w:t>
      </w:r>
      <w:proofErr w:type="spellStart"/>
      <w:r w:rsidRPr="00A95C6C">
        <w:rPr>
          <w:i/>
          <w:iCs/>
        </w:rPr>
        <w:t>canada</w:t>
      </w:r>
      <w:proofErr w:type="spellEnd"/>
      <w:r w:rsidRPr="00A95C6C">
        <w:rPr>
          <w:i/>
          <w:iCs/>
        </w:rPr>
        <w:t xml:space="preserve"> (</w:t>
      </w:r>
      <w:r w:rsidRPr="00A95C6C">
        <w:t xml:space="preserve">pp. 2-8). Fraser Institute. Retrieved from </w:t>
      </w:r>
      <w:hyperlink r:id="rId31" w:history="1">
        <w:r w:rsidRPr="00A95C6C">
          <w:rPr>
            <w:rStyle w:val="Hyperlink"/>
            <w:shd w:val="clear" w:color="auto" w:fill="FFFFFF"/>
          </w:rPr>
          <w:t>https://www-deslibris-ca.ezproxy.library.ubc.ca/ID/10049238</w:t>
        </w:r>
      </w:hyperlink>
    </w:p>
    <w:p w14:paraId="4C62F4AE" w14:textId="77777777" w:rsidR="003B1AC1" w:rsidRDefault="003B1AC1" w:rsidP="003B1AC1">
      <w:pPr>
        <w:shd w:val="clear" w:color="auto" w:fill="FFFFFF"/>
        <w:spacing w:line="276" w:lineRule="auto"/>
        <w:ind w:hanging="330"/>
        <w:rPr>
          <w:rStyle w:val="Hyperlink"/>
          <w:shd w:val="clear" w:color="auto" w:fill="FFFFFF"/>
        </w:rPr>
      </w:pPr>
    </w:p>
    <w:p w14:paraId="0B51A2F6" w14:textId="77777777" w:rsidR="003B1AC1" w:rsidRPr="00124280" w:rsidRDefault="003B1AC1" w:rsidP="003B1AC1">
      <w:pPr>
        <w:shd w:val="clear" w:color="auto" w:fill="FFFFFF"/>
        <w:spacing w:line="276" w:lineRule="auto"/>
        <w:ind w:hanging="330"/>
        <w:rPr>
          <w:color w:val="000000" w:themeColor="text1"/>
          <w:u w:val="single"/>
          <w:shd w:val="clear" w:color="auto" w:fill="FFFFFF"/>
        </w:rPr>
      </w:pPr>
      <w:r w:rsidRPr="00124280">
        <w:rPr>
          <w:color w:val="000000" w:themeColor="text1"/>
          <w:shd w:val="clear" w:color="auto" w:fill="FFFFFF"/>
        </w:rPr>
        <w:t>Lazar, M. M. (2007). Feminist Critical Discourse Analysis: Articulating a Feminist Discourse Praxis1.</w:t>
      </w:r>
      <w:r w:rsidRPr="00124280">
        <w:rPr>
          <w:rStyle w:val="apple-converted-space"/>
          <w:color w:val="000000" w:themeColor="text1"/>
          <w:shd w:val="clear" w:color="auto" w:fill="FFFFFF"/>
        </w:rPr>
        <w:t> </w:t>
      </w:r>
      <w:r w:rsidRPr="00124280">
        <w:rPr>
          <w:i/>
          <w:iCs/>
          <w:color w:val="000000" w:themeColor="text1"/>
          <w:shd w:val="clear" w:color="auto" w:fill="FFFFFF"/>
        </w:rPr>
        <w:t>Critical Discourse Studies,4</w:t>
      </w:r>
      <w:r w:rsidRPr="00124280">
        <w:rPr>
          <w:color w:val="000000" w:themeColor="text1"/>
          <w:shd w:val="clear" w:color="auto" w:fill="FFFFFF"/>
        </w:rPr>
        <w:t>(2), 141-164. doi:10.1080/17405900701464816</w:t>
      </w:r>
    </w:p>
    <w:p w14:paraId="55E5727C" w14:textId="77777777" w:rsidR="003B1AC1" w:rsidRPr="00A95C6C" w:rsidRDefault="003B1AC1" w:rsidP="003B1AC1">
      <w:pPr>
        <w:shd w:val="clear" w:color="auto" w:fill="FFFFFF"/>
        <w:spacing w:line="276" w:lineRule="auto"/>
        <w:ind w:hanging="330"/>
        <w:rPr>
          <w:shd w:val="clear" w:color="auto" w:fill="FFFFFF"/>
        </w:rPr>
      </w:pPr>
    </w:p>
    <w:p w14:paraId="5E65E4F3" w14:textId="77777777" w:rsidR="003B1AC1" w:rsidRPr="00A95C6C" w:rsidRDefault="003B1AC1" w:rsidP="003B1AC1">
      <w:pPr>
        <w:shd w:val="clear" w:color="auto" w:fill="FFFFFF"/>
        <w:spacing w:line="276" w:lineRule="auto"/>
        <w:ind w:hanging="330"/>
        <w:rPr>
          <w:rStyle w:val="Hyperlink"/>
          <w:shd w:val="clear" w:color="auto" w:fill="FFFFFF"/>
        </w:rPr>
      </w:pPr>
      <w:r w:rsidRPr="00A95C6C">
        <w:rPr>
          <w:shd w:val="clear" w:color="auto" w:fill="FFFFFF"/>
        </w:rPr>
        <w:t xml:space="preserve">Leahy, C. (2019). Does gender equality suffer when women get menstrual leave? Retrieved from </w:t>
      </w:r>
      <w:hyperlink r:id="rId32" w:history="1">
        <w:r w:rsidRPr="00A95C6C">
          <w:rPr>
            <w:rStyle w:val="Hyperlink"/>
            <w:shd w:val="clear" w:color="auto" w:fill="FFFFFF"/>
          </w:rPr>
          <w:t>http://theconversation.com/does-gender-equality-suffer-when-women-get-menstrual-leave-55710</w:t>
        </w:r>
      </w:hyperlink>
    </w:p>
    <w:p w14:paraId="060D1952" w14:textId="77777777" w:rsidR="003B1AC1" w:rsidRPr="00A95C6C" w:rsidRDefault="003B1AC1" w:rsidP="003B1AC1">
      <w:pPr>
        <w:shd w:val="clear" w:color="auto" w:fill="FFFFFF"/>
        <w:spacing w:line="276" w:lineRule="auto"/>
        <w:ind w:hanging="330"/>
        <w:rPr>
          <w:rStyle w:val="Hyperlink"/>
          <w:shd w:val="clear" w:color="auto" w:fill="FFFFFF"/>
        </w:rPr>
      </w:pPr>
    </w:p>
    <w:p w14:paraId="3F910680" w14:textId="77777777" w:rsidR="003B1AC1" w:rsidRPr="00A95C6C" w:rsidRDefault="003B1AC1" w:rsidP="003B1AC1">
      <w:pPr>
        <w:shd w:val="clear" w:color="auto" w:fill="FFFFFF"/>
        <w:ind w:hanging="330"/>
        <w:rPr>
          <w:rStyle w:val="Hyperlink"/>
          <w:shd w:val="clear" w:color="auto" w:fill="FFFFFF"/>
        </w:rPr>
      </w:pPr>
      <w:proofErr w:type="spellStart"/>
      <w:r w:rsidRPr="00A95C6C">
        <w:rPr>
          <w:shd w:val="clear" w:color="auto" w:fill="FFFFFF"/>
        </w:rPr>
        <w:t>Lépinard</w:t>
      </w:r>
      <w:proofErr w:type="spellEnd"/>
      <w:r w:rsidRPr="00A95C6C">
        <w:rPr>
          <w:shd w:val="clear" w:color="auto" w:fill="FFFFFF"/>
        </w:rPr>
        <w:t xml:space="preserve"> É. (2014). Doing Intersectionality: Repertoires of Feminist Practices in France and Canada.</w:t>
      </w:r>
      <w:r w:rsidRPr="00A95C6C">
        <w:rPr>
          <w:rStyle w:val="apple-converted-space"/>
          <w:shd w:val="clear" w:color="auto" w:fill="FFFFFF"/>
        </w:rPr>
        <w:t> </w:t>
      </w:r>
      <w:r w:rsidRPr="00A95C6C">
        <w:rPr>
          <w:i/>
          <w:iCs/>
        </w:rPr>
        <w:t>Gender and Society,</w:t>
      </w:r>
      <w:r w:rsidRPr="00A95C6C">
        <w:rPr>
          <w:rStyle w:val="apple-converted-space"/>
          <w:shd w:val="clear" w:color="auto" w:fill="FFFFFF"/>
        </w:rPr>
        <w:t> </w:t>
      </w:r>
      <w:r w:rsidRPr="00A95C6C">
        <w:rPr>
          <w:i/>
          <w:iCs/>
        </w:rPr>
        <w:t>28</w:t>
      </w:r>
      <w:r w:rsidRPr="00A95C6C">
        <w:rPr>
          <w:shd w:val="clear" w:color="auto" w:fill="FFFFFF"/>
        </w:rPr>
        <w:t xml:space="preserve">(6), 877-903. Retrieved from </w:t>
      </w:r>
      <w:hyperlink r:id="rId33" w:history="1">
        <w:r w:rsidRPr="00A95C6C">
          <w:rPr>
            <w:rStyle w:val="Hyperlink"/>
            <w:shd w:val="clear" w:color="auto" w:fill="FFFFFF"/>
          </w:rPr>
          <w:t>www.jstor.org/stable/43669925</w:t>
        </w:r>
      </w:hyperlink>
    </w:p>
    <w:p w14:paraId="39B340AE" w14:textId="77777777" w:rsidR="003B1AC1" w:rsidRPr="00A95C6C" w:rsidRDefault="003B1AC1" w:rsidP="003B1AC1">
      <w:pPr>
        <w:shd w:val="clear" w:color="auto" w:fill="FFFFFF"/>
        <w:ind w:hanging="330"/>
        <w:rPr>
          <w:rStyle w:val="Hyperlink"/>
          <w:shd w:val="clear" w:color="auto" w:fill="FFFFFF"/>
        </w:rPr>
      </w:pPr>
    </w:p>
    <w:p w14:paraId="2CC5276F" w14:textId="77777777" w:rsidR="003B1AC1" w:rsidRDefault="003B1AC1" w:rsidP="003B1AC1">
      <w:pPr>
        <w:shd w:val="clear" w:color="auto" w:fill="FFFFFF"/>
        <w:ind w:hanging="330"/>
        <w:rPr>
          <w:color w:val="323232"/>
        </w:rPr>
      </w:pPr>
      <w:r w:rsidRPr="00A95C6C">
        <w:rPr>
          <w:color w:val="0D0D0D" w:themeColor="text1" w:themeTint="F2"/>
        </w:rPr>
        <w:t xml:space="preserve">Lum, Z. (2020). 'No Consensus' On Free Menstrual Products </w:t>
      </w:r>
      <w:proofErr w:type="gramStart"/>
      <w:r w:rsidRPr="00A95C6C">
        <w:rPr>
          <w:color w:val="0D0D0D" w:themeColor="text1" w:themeTint="F2"/>
        </w:rPr>
        <w:t>In</w:t>
      </w:r>
      <w:proofErr w:type="gramEnd"/>
      <w:r w:rsidRPr="00A95C6C">
        <w:rPr>
          <w:color w:val="0D0D0D" w:themeColor="text1" w:themeTint="F2"/>
        </w:rPr>
        <w:t xml:space="preserve"> Federal Workplaces: Gov't. Retrieved from </w:t>
      </w:r>
      <w:hyperlink r:id="rId34" w:history="1">
        <w:r w:rsidRPr="00A95C6C">
          <w:rPr>
            <w:rStyle w:val="Hyperlink"/>
          </w:rPr>
          <w:t>https://www.huffingtonpost.ca/entry/canada-free-menstrual-products_ca_5fb41defc5b6d878180b9e14?guccounter=1&amp;guce_referrer=aHR0cHM6Ly93d3cuZ29vZ2xlLmNvbS8&amp;guce_referrer_sig=AQAAAHLd6ukfE_Z7N_KCdrLajg973sBLt7OImG4j-lVcehKkaVdD2V9ipmRaKmEPxylL6stDzhq31l2KK3t8dgdb2qVuhUc5lgQtjGxo9EJqjlAjalDnV7b7ojSUWd_PBQ1RBOMyaFq7bZV-_4xe06xb5ewEeyFL7DDvhWxBGI8aEQyu</w:t>
        </w:r>
      </w:hyperlink>
    </w:p>
    <w:p w14:paraId="22868719" w14:textId="77777777" w:rsidR="003B1AC1" w:rsidRDefault="003B1AC1" w:rsidP="003B1AC1"/>
    <w:p w14:paraId="1DF97F49" w14:textId="77777777" w:rsidR="003B1AC1" w:rsidRDefault="003B1AC1" w:rsidP="003B1AC1">
      <w:pPr>
        <w:shd w:val="clear" w:color="auto" w:fill="FFFFFF"/>
        <w:ind w:hanging="330"/>
        <w:rPr>
          <w:color w:val="323232"/>
        </w:rPr>
      </w:pPr>
      <w:r w:rsidRPr="004135EF">
        <w:rPr>
          <w:color w:val="000000" w:themeColor="text1"/>
        </w:rPr>
        <w:t xml:space="preserve">MacKinnon, C. (2011). Are Women Human? Retrieved from </w:t>
      </w:r>
      <w:hyperlink r:id="rId35" w:history="1">
        <w:r w:rsidRPr="00E250F9">
          <w:rPr>
            <w:rStyle w:val="Hyperlink"/>
          </w:rPr>
          <w:t>https://nationalhumanitiescenter.org/on-the-human/2011/03/are-women-human/</w:t>
        </w:r>
      </w:hyperlink>
    </w:p>
    <w:p w14:paraId="0794C5A6" w14:textId="77777777" w:rsidR="003B1AC1" w:rsidRPr="00A95C6C" w:rsidRDefault="003B1AC1" w:rsidP="003B1AC1">
      <w:pPr>
        <w:shd w:val="clear" w:color="auto" w:fill="FFFFFF"/>
        <w:rPr>
          <w:color w:val="323232"/>
        </w:rPr>
      </w:pPr>
    </w:p>
    <w:p w14:paraId="716F38A2" w14:textId="77777777" w:rsidR="003B1AC1" w:rsidRPr="00A95C6C" w:rsidRDefault="003B1AC1" w:rsidP="003B1AC1">
      <w:pPr>
        <w:shd w:val="clear" w:color="auto" w:fill="FFFFFF"/>
        <w:spacing w:line="276" w:lineRule="auto"/>
        <w:ind w:hanging="330"/>
        <w:rPr>
          <w:color w:val="323232"/>
        </w:rPr>
      </w:pPr>
      <w:r w:rsidRPr="00EE3479">
        <w:rPr>
          <w:color w:val="000000" w:themeColor="text1"/>
        </w:rPr>
        <w:t xml:space="preserve">Make it Safe: Canada's Obligation to End the First Nations Water Crisis. (2018, August 21). Retrieved from </w:t>
      </w:r>
      <w:hyperlink r:id="rId36" w:history="1">
        <w:r w:rsidRPr="00A95C6C">
          <w:rPr>
            <w:rStyle w:val="Hyperlink"/>
          </w:rPr>
          <w:t>https://www.hrw.org/report/2016/06/07/make-it-safe/canadas-obligation-end-first-nations-water-crisis</w:t>
        </w:r>
      </w:hyperlink>
    </w:p>
    <w:p w14:paraId="52DC9C0E" w14:textId="77777777" w:rsidR="003B1AC1" w:rsidRPr="00A95C6C" w:rsidRDefault="003B1AC1" w:rsidP="003B1AC1">
      <w:pPr>
        <w:shd w:val="clear" w:color="auto" w:fill="FFFFFF"/>
        <w:spacing w:line="276" w:lineRule="auto"/>
        <w:ind w:hanging="330"/>
        <w:rPr>
          <w:color w:val="323232"/>
        </w:rPr>
      </w:pPr>
    </w:p>
    <w:p w14:paraId="745BB301" w14:textId="77777777" w:rsidR="003B1AC1" w:rsidRPr="00A95C6C" w:rsidRDefault="003B1AC1" w:rsidP="003B1AC1">
      <w:pPr>
        <w:shd w:val="clear" w:color="auto" w:fill="FFFFFF"/>
        <w:spacing w:line="276" w:lineRule="auto"/>
        <w:ind w:hanging="330"/>
        <w:rPr>
          <w:color w:val="323232"/>
        </w:rPr>
      </w:pPr>
      <w:r w:rsidRPr="00EE3479">
        <w:rPr>
          <w:color w:val="000000" w:themeColor="text1"/>
        </w:rPr>
        <w:t xml:space="preserve">Malone, G. (2017, February 28). The Women Trying to Make Periods More Affordable in Northern Indigenous Communities. Retrieved from </w:t>
      </w:r>
      <w:hyperlink r:id="rId37" w:history="1">
        <w:r w:rsidRPr="00A95C6C">
          <w:rPr>
            <w:rStyle w:val="Hyperlink"/>
          </w:rPr>
          <w:t>https://www.vice.com/en_ca/article/ez8g87/the-women-trying-to-make-periods-more-affordable-in-northern-indigenous-communities</w:t>
        </w:r>
      </w:hyperlink>
    </w:p>
    <w:p w14:paraId="7CEF191B" w14:textId="77777777" w:rsidR="003B1AC1" w:rsidRPr="00A95C6C" w:rsidRDefault="003B1AC1" w:rsidP="003B1AC1">
      <w:pPr>
        <w:shd w:val="clear" w:color="auto" w:fill="FFFFFF"/>
        <w:spacing w:line="276" w:lineRule="auto"/>
        <w:ind w:hanging="330"/>
        <w:rPr>
          <w:color w:val="323232"/>
        </w:rPr>
      </w:pPr>
    </w:p>
    <w:p w14:paraId="7BA328CD" w14:textId="77777777" w:rsidR="003B1AC1" w:rsidRDefault="003B1AC1" w:rsidP="003B1AC1">
      <w:pPr>
        <w:shd w:val="clear" w:color="auto" w:fill="FFFFFF"/>
        <w:spacing w:line="276" w:lineRule="auto"/>
        <w:ind w:hanging="330"/>
        <w:rPr>
          <w:rStyle w:val="Hyperlink"/>
        </w:rPr>
      </w:pPr>
      <w:proofErr w:type="spellStart"/>
      <w:r w:rsidRPr="00A95C6C">
        <w:lastRenderedPageBreak/>
        <w:t>Marchildon</w:t>
      </w:r>
      <w:proofErr w:type="spellEnd"/>
      <w:r w:rsidRPr="00A95C6C">
        <w:t xml:space="preserve">, J. (2019). Canada Wants to Give Free Period Products to Federal Workers. Retrieved from </w:t>
      </w:r>
      <w:hyperlink r:id="rId38" w:history="1">
        <w:r w:rsidRPr="00A95C6C">
          <w:rPr>
            <w:rStyle w:val="Hyperlink"/>
          </w:rPr>
          <w:t>https://www.globalcitizen.org/en/content/free-period-products-canada/</w:t>
        </w:r>
      </w:hyperlink>
    </w:p>
    <w:p w14:paraId="3D613463" w14:textId="77777777" w:rsidR="003B1AC1" w:rsidRPr="004135EF" w:rsidRDefault="003B1AC1" w:rsidP="003B1AC1">
      <w:pPr>
        <w:shd w:val="clear" w:color="auto" w:fill="FFFFFF"/>
        <w:spacing w:line="276" w:lineRule="auto"/>
        <w:ind w:hanging="330"/>
        <w:rPr>
          <w:rStyle w:val="Hyperlink"/>
          <w:color w:val="000000" w:themeColor="text1"/>
        </w:rPr>
      </w:pPr>
    </w:p>
    <w:p w14:paraId="552393CE" w14:textId="77777777" w:rsidR="003B1AC1" w:rsidRDefault="003B1AC1" w:rsidP="003B1AC1">
      <w:pPr>
        <w:shd w:val="clear" w:color="auto" w:fill="FFFFFF"/>
        <w:ind w:hanging="330"/>
        <w:rPr>
          <w:color w:val="323232"/>
        </w:rPr>
      </w:pPr>
      <w:r w:rsidRPr="004135EF">
        <w:rPr>
          <w:color w:val="000000" w:themeColor="text1"/>
        </w:rPr>
        <w:t xml:space="preserve">McPherson, P. (2020). Pandemic worsens pain of periods for women across the world. Retrieved from </w:t>
      </w:r>
      <w:hyperlink r:id="rId39" w:history="1">
        <w:r w:rsidRPr="00E250F9">
          <w:rPr>
            <w:rStyle w:val="Hyperlink"/>
          </w:rPr>
          <w:t>https://news.trust.org/item/20200528061741-osdg3</w:t>
        </w:r>
      </w:hyperlink>
    </w:p>
    <w:p w14:paraId="13DB12B8" w14:textId="77777777" w:rsidR="003B1AC1" w:rsidRPr="00A95C6C" w:rsidRDefault="003B1AC1" w:rsidP="003B1AC1">
      <w:pPr>
        <w:shd w:val="clear" w:color="auto" w:fill="FFFFFF"/>
        <w:spacing w:line="276" w:lineRule="auto"/>
        <w:rPr>
          <w:rStyle w:val="Hyperlink"/>
        </w:rPr>
      </w:pPr>
    </w:p>
    <w:p w14:paraId="5669D75D" w14:textId="77777777" w:rsidR="003B1AC1" w:rsidRPr="00A95C6C" w:rsidRDefault="003B1AC1" w:rsidP="003B1AC1">
      <w:pPr>
        <w:shd w:val="clear" w:color="auto" w:fill="FFFFFF"/>
        <w:spacing w:line="276" w:lineRule="auto"/>
        <w:ind w:hanging="330"/>
        <w:rPr>
          <w:color w:val="323232"/>
        </w:rPr>
      </w:pPr>
      <w:proofErr w:type="spellStart"/>
      <w:r w:rsidRPr="00A95C6C">
        <w:t>Mombourquette</w:t>
      </w:r>
      <w:proofErr w:type="spellEnd"/>
      <w:r w:rsidRPr="00A95C6C">
        <w:t xml:space="preserve">, A. (2018). Period poverty is a serious issue in Canada. Retrieved from </w:t>
      </w:r>
      <w:hyperlink r:id="rId40" w:history="1">
        <w:r w:rsidRPr="00A95C6C">
          <w:rPr>
            <w:rStyle w:val="Hyperlink"/>
          </w:rPr>
          <w:t>https://broadview.org/period-poverty-is-a-serious-issue-in-canada/</w:t>
        </w:r>
      </w:hyperlink>
    </w:p>
    <w:p w14:paraId="3577DF4E" w14:textId="77777777" w:rsidR="003B1AC1" w:rsidRPr="00A95C6C" w:rsidRDefault="003B1AC1" w:rsidP="003B1AC1">
      <w:pPr>
        <w:shd w:val="clear" w:color="auto" w:fill="FFFFFF"/>
        <w:spacing w:line="276" w:lineRule="auto"/>
        <w:ind w:hanging="330"/>
        <w:rPr>
          <w:color w:val="323232"/>
        </w:rPr>
      </w:pPr>
    </w:p>
    <w:p w14:paraId="52BE88FA" w14:textId="77777777" w:rsidR="003B1AC1" w:rsidRPr="00A95C6C" w:rsidRDefault="003B1AC1" w:rsidP="003B1AC1">
      <w:pPr>
        <w:shd w:val="clear" w:color="auto" w:fill="FFFFFF"/>
        <w:spacing w:line="276" w:lineRule="auto"/>
        <w:ind w:hanging="330"/>
        <w:rPr>
          <w:rStyle w:val="Hyperlink"/>
          <w:shd w:val="clear" w:color="auto" w:fill="FFFFFF"/>
        </w:rPr>
      </w:pPr>
      <w:r w:rsidRPr="00A95C6C">
        <w:rPr>
          <w:shd w:val="clear" w:color="auto" w:fill="FFFFFF"/>
        </w:rPr>
        <w:t xml:space="preserve">Murthy, S. (2014). In India, Dying to Go: Why Access </w:t>
      </w:r>
      <w:proofErr w:type="gramStart"/>
      <w:r w:rsidRPr="00A95C6C">
        <w:rPr>
          <w:shd w:val="clear" w:color="auto" w:fill="FFFFFF"/>
        </w:rPr>
        <w:t>To</w:t>
      </w:r>
      <w:proofErr w:type="gramEnd"/>
      <w:r w:rsidRPr="00A95C6C">
        <w:rPr>
          <w:shd w:val="clear" w:color="auto" w:fill="FFFFFF"/>
        </w:rPr>
        <w:t xml:space="preserve"> Toilets Is A Women's Rights Issue. Retrieved from </w:t>
      </w:r>
      <w:hyperlink r:id="rId41" w:history="1">
        <w:r w:rsidRPr="00A95C6C">
          <w:rPr>
            <w:rStyle w:val="Hyperlink"/>
            <w:shd w:val="clear" w:color="auto" w:fill="FFFFFF"/>
          </w:rPr>
          <w:t>https://www.wbur.org/cognoscenti/2014/06/25/human-rights-gang-rape-sharmila-l-murthy</w:t>
        </w:r>
      </w:hyperlink>
    </w:p>
    <w:p w14:paraId="7299D042" w14:textId="77777777" w:rsidR="003B1AC1" w:rsidRPr="00A95C6C" w:rsidRDefault="003B1AC1" w:rsidP="003B1AC1">
      <w:pPr>
        <w:shd w:val="clear" w:color="auto" w:fill="FFFFFF"/>
        <w:spacing w:line="276" w:lineRule="auto"/>
        <w:ind w:hanging="330"/>
        <w:rPr>
          <w:rStyle w:val="Hyperlink"/>
          <w:shd w:val="clear" w:color="auto" w:fill="FFFFFF"/>
        </w:rPr>
      </w:pPr>
    </w:p>
    <w:p w14:paraId="11D77455" w14:textId="77777777" w:rsidR="003B1AC1" w:rsidRPr="00124280" w:rsidRDefault="003B1AC1" w:rsidP="003B1AC1">
      <w:pPr>
        <w:shd w:val="clear" w:color="auto" w:fill="FFFFFF"/>
        <w:spacing w:line="276" w:lineRule="auto"/>
        <w:ind w:hanging="330"/>
        <w:rPr>
          <w:color w:val="000000" w:themeColor="text1"/>
        </w:rPr>
      </w:pPr>
      <w:r w:rsidRPr="00EE3479">
        <w:rPr>
          <w:color w:val="000000" w:themeColor="text1"/>
        </w:rPr>
        <w:t xml:space="preserve">Nussbaum, M. C. (1997). Capabilities and human rights. Fordham Law Review, 66(2), 273-300. </w:t>
      </w:r>
    </w:p>
    <w:p w14:paraId="11969A34" w14:textId="77777777" w:rsidR="003B1AC1" w:rsidRPr="00EE3479" w:rsidRDefault="003B1AC1" w:rsidP="003B1AC1">
      <w:pPr>
        <w:shd w:val="clear" w:color="auto" w:fill="FFFFFF"/>
        <w:spacing w:line="276" w:lineRule="auto"/>
        <w:ind w:hanging="330"/>
        <w:rPr>
          <w:rStyle w:val="Hyperlink"/>
          <w:color w:val="000000" w:themeColor="text1"/>
          <w:shd w:val="clear" w:color="auto" w:fill="FFFFFF"/>
        </w:rPr>
      </w:pPr>
    </w:p>
    <w:p w14:paraId="59A66EA4" w14:textId="77777777" w:rsidR="003B1AC1" w:rsidRDefault="003B1AC1" w:rsidP="003B1AC1">
      <w:pPr>
        <w:shd w:val="clear" w:color="auto" w:fill="FFFFFF"/>
        <w:ind w:hanging="330"/>
        <w:rPr>
          <w:color w:val="000000" w:themeColor="text1"/>
        </w:rPr>
      </w:pPr>
      <w:r w:rsidRPr="00EE3479">
        <w:rPr>
          <w:color w:val="000000" w:themeColor="text1"/>
        </w:rPr>
        <w:t xml:space="preserve">Nussbaum, M. C. (1999). Sex &amp; Social Justice. </w:t>
      </w:r>
      <w:proofErr w:type="spellStart"/>
      <w:r w:rsidRPr="00EE3479">
        <w:rPr>
          <w:color w:val="000000" w:themeColor="text1"/>
        </w:rPr>
        <w:t>doi</w:t>
      </w:r>
      <w:proofErr w:type="spellEnd"/>
      <w:r w:rsidRPr="00EE3479">
        <w:rPr>
          <w:color w:val="000000" w:themeColor="text1"/>
        </w:rPr>
        <w:t>: 10.1093/</w:t>
      </w:r>
      <w:proofErr w:type="spellStart"/>
      <w:proofErr w:type="gramStart"/>
      <w:r w:rsidRPr="00EE3479">
        <w:rPr>
          <w:color w:val="000000" w:themeColor="text1"/>
        </w:rPr>
        <w:t>acprof:oso</w:t>
      </w:r>
      <w:proofErr w:type="spellEnd"/>
      <w:proofErr w:type="gramEnd"/>
      <w:r w:rsidRPr="00EE3479">
        <w:rPr>
          <w:color w:val="000000" w:themeColor="text1"/>
        </w:rPr>
        <w:t>/9780195112108.001.0001</w:t>
      </w:r>
    </w:p>
    <w:p w14:paraId="60EF7ACB" w14:textId="77777777" w:rsidR="003B1AC1" w:rsidRDefault="003B1AC1" w:rsidP="003B1AC1">
      <w:pPr>
        <w:shd w:val="clear" w:color="auto" w:fill="FFFFFF"/>
        <w:ind w:hanging="330"/>
        <w:rPr>
          <w:color w:val="000000" w:themeColor="text1"/>
        </w:rPr>
      </w:pPr>
    </w:p>
    <w:p w14:paraId="5E46A931" w14:textId="77777777" w:rsidR="003B1AC1" w:rsidRDefault="003B1AC1" w:rsidP="003B1AC1">
      <w:pPr>
        <w:shd w:val="clear" w:color="auto" w:fill="FFFFFF"/>
        <w:ind w:hanging="330"/>
        <w:rPr>
          <w:color w:val="000000" w:themeColor="text1"/>
        </w:rPr>
      </w:pPr>
      <w:r>
        <w:rPr>
          <w:color w:val="000000" w:themeColor="text1"/>
        </w:rPr>
        <w:t xml:space="preserve">Nussbaum, M. C. (2007). Human Rights and Human Capabilities. </w:t>
      </w:r>
      <w:proofErr w:type="spellStart"/>
      <w:r>
        <w:rPr>
          <w:color w:val="000000" w:themeColor="text1"/>
        </w:rPr>
        <w:t>Retreived</w:t>
      </w:r>
      <w:proofErr w:type="spellEnd"/>
      <w:r>
        <w:rPr>
          <w:color w:val="000000" w:themeColor="text1"/>
        </w:rPr>
        <w:t xml:space="preserve"> from </w:t>
      </w:r>
      <w:hyperlink r:id="rId42" w:history="1">
        <w:r w:rsidRPr="00E250F9">
          <w:rPr>
            <w:rStyle w:val="Hyperlink"/>
          </w:rPr>
          <w:t>http://wtf.tw/ref/nussbaum.pdf</w:t>
        </w:r>
      </w:hyperlink>
    </w:p>
    <w:p w14:paraId="57D5A8C5" w14:textId="77777777" w:rsidR="003B1AC1" w:rsidRPr="00A95C6C" w:rsidRDefault="003B1AC1" w:rsidP="003B1AC1">
      <w:pPr>
        <w:shd w:val="clear" w:color="auto" w:fill="FFFFFF"/>
        <w:spacing w:line="276" w:lineRule="auto"/>
        <w:rPr>
          <w:color w:val="323232"/>
          <w:shd w:val="clear" w:color="auto" w:fill="FFFFFF"/>
        </w:rPr>
      </w:pPr>
    </w:p>
    <w:p w14:paraId="3AB883F4" w14:textId="77777777" w:rsidR="003B1AC1" w:rsidRPr="00EE3479" w:rsidRDefault="003B1AC1" w:rsidP="003B1AC1">
      <w:pPr>
        <w:shd w:val="clear" w:color="auto" w:fill="FFFFFF"/>
        <w:spacing w:line="276" w:lineRule="auto"/>
        <w:ind w:hanging="330"/>
        <w:rPr>
          <w:color w:val="000000" w:themeColor="text1"/>
        </w:rPr>
      </w:pPr>
      <w:r w:rsidRPr="00EE3479">
        <w:rPr>
          <w:color w:val="000000" w:themeColor="text1"/>
        </w:rPr>
        <w:t>Newton, V. L. (2016). Positioning Periods in Context: Contemporary Discourses and Dilemmas. </w:t>
      </w:r>
      <w:r w:rsidRPr="00EE3479">
        <w:rPr>
          <w:i/>
          <w:iCs/>
          <w:color w:val="000000" w:themeColor="text1"/>
        </w:rPr>
        <w:t>Everyday Discourses of Menstruation</w:t>
      </w:r>
      <w:r w:rsidRPr="00EE3479">
        <w:rPr>
          <w:color w:val="000000" w:themeColor="text1"/>
        </w:rPr>
        <w:t xml:space="preserve">, 49–70. </w:t>
      </w:r>
      <w:proofErr w:type="spellStart"/>
      <w:r w:rsidRPr="00EE3479">
        <w:rPr>
          <w:color w:val="000000" w:themeColor="text1"/>
        </w:rPr>
        <w:t>doi</w:t>
      </w:r>
      <w:proofErr w:type="spellEnd"/>
      <w:r w:rsidRPr="00EE3479">
        <w:rPr>
          <w:color w:val="000000" w:themeColor="text1"/>
        </w:rPr>
        <w:t>: 10.1057/978-1-137-48775-9_3</w:t>
      </w:r>
    </w:p>
    <w:p w14:paraId="53AB012E" w14:textId="77777777" w:rsidR="003B1AC1" w:rsidRPr="00EE3479" w:rsidRDefault="003B1AC1" w:rsidP="003B1AC1">
      <w:pPr>
        <w:shd w:val="clear" w:color="auto" w:fill="FFFFFF"/>
        <w:spacing w:line="276" w:lineRule="auto"/>
        <w:ind w:hanging="330"/>
        <w:rPr>
          <w:color w:val="000000" w:themeColor="text1"/>
        </w:rPr>
      </w:pPr>
    </w:p>
    <w:p w14:paraId="62591DDF" w14:textId="77777777" w:rsidR="003B1AC1" w:rsidRPr="00EE3479" w:rsidRDefault="003B1AC1" w:rsidP="003B1AC1">
      <w:pPr>
        <w:shd w:val="clear" w:color="auto" w:fill="FFFFFF"/>
        <w:ind w:hanging="330"/>
        <w:rPr>
          <w:color w:val="000000" w:themeColor="text1"/>
        </w:rPr>
      </w:pPr>
      <w:r w:rsidRPr="00EE3479">
        <w:rPr>
          <w:color w:val="000000" w:themeColor="text1"/>
          <w:shd w:val="clear" w:color="auto" w:fill="FFFFFF"/>
        </w:rPr>
        <w:t xml:space="preserve">NYC Consumer Affairs. (2015). From Cradle to Cane: The Cost of Being a Female Consumer. Retrieved from </w:t>
      </w:r>
      <w:hyperlink r:id="rId43" w:history="1">
        <w:r w:rsidRPr="00E250F9">
          <w:rPr>
            <w:rStyle w:val="Hyperlink"/>
            <w:shd w:val="clear" w:color="auto" w:fill="FFFFFF"/>
          </w:rPr>
          <w:t>https://www1.nyc.gov/site/dca/partners/gender-pricing-study.page</w:t>
        </w:r>
      </w:hyperlink>
      <w:r w:rsidRPr="00EE3479">
        <w:rPr>
          <w:color w:val="000000" w:themeColor="text1"/>
          <w:shd w:val="clear" w:color="auto" w:fill="FFFFFF"/>
        </w:rPr>
        <w:t>.</w:t>
      </w:r>
    </w:p>
    <w:p w14:paraId="0FDBDDE3" w14:textId="77777777" w:rsidR="003B1AC1" w:rsidRPr="00A95C6C" w:rsidRDefault="003B1AC1" w:rsidP="003B1AC1">
      <w:pPr>
        <w:shd w:val="clear" w:color="auto" w:fill="FFFFFF"/>
        <w:ind w:hanging="330"/>
      </w:pPr>
    </w:p>
    <w:p w14:paraId="00DC1A32" w14:textId="77777777" w:rsidR="003B1AC1" w:rsidRPr="00A95C6C" w:rsidRDefault="003B1AC1" w:rsidP="003B1AC1">
      <w:pPr>
        <w:shd w:val="clear" w:color="auto" w:fill="FFFFFF"/>
        <w:spacing w:line="276" w:lineRule="auto"/>
        <w:ind w:hanging="330"/>
        <w:rPr>
          <w:rStyle w:val="Hyperlink"/>
        </w:rPr>
      </w:pPr>
      <w:r w:rsidRPr="00EE3479">
        <w:rPr>
          <w:color w:val="000000" w:themeColor="text1"/>
        </w:rPr>
        <w:t xml:space="preserve">Okamoto, N., &amp; </w:t>
      </w:r>
      <w:proofErr w:type="spellStart"/>
      <w:r w:rsidRPr="00EE3479">
        <w:rPr>
          <w:color w:val="000000" w:themeColor="text1"/>
        </w:rPr>
        <w:t>Molland</w:t>
      </w:r>
      <w:proofErr w:type="spellEnd"/>
      <w:r w:rsidRPr="00EE3479">
        <w:rPr>
          <w:color w:val="000000" w:themeColor="text1"/>
        </w:rPr>
        <w:t xml:space="preserve">, M. (2019, October 21). Opinion: The cost of tampons is hurting low-income girls. Let's fix that. Retrieved from </w:t>
      </w:r>
      <w:hyperlink r:id="rId44" w:history="1">
        <w:r w:rsidRPr="00A95C6C">
          <w:rPr>
            <w:rStyle w:val="Hyperlink"/>
          </w:rPr>
          <w:t>https://www.cnn.com/2019/10/21/perspectives/period-poverty-menstrual-products/index.html</w:t>
        </w:r>
      </w:hyperlink>
    </w:p>
    <w:p w14:paraId="16E5A3A5" w14:textId="77777777" w:rsidR="003B1AC1" w:rsidRPr="00A95C6C" w:rsidRDefault="003B1AC1" w:rsidP="003B1AC1">
      <w:pPr>
        <w:shd w:val="clear" w:color="auto" w:fill="FFFFFF"/>
        <w:spacing w:line="276" w:lineRule="auto"/>
        <w:ind w:hanging="330"/>
        <w:rPr>
          <w:rStyle w:val="Hyperlink"/>
        </w:rPr>
      </w:pPr>
    </w:p>
    <w:p w14:paraId="02C39C41" w14:textId="77777777" w:rsidR="003B1AC1" w:rsidRPr="00A95C6C" w:rsidRDefault="003B1AC1" w:rsidP="003B1AC1">
      <w:pPr>
        <w:shd w:val="clear" w:color="auto" w:fill="FFFFFF"/>
        <w:spacing w:line="276" w:lineRule="auto"/>
        <w:ind w:hanging="330"/>
        <w:rPr>
          <w:rStyle w:val="Hyperlink"/>
        </w:rPr>
      </w:pPr>
      <w:r w:rsidRPr="00EE3479">
        <w:rPr>
          <w:color w:val="000000" w:themeColor="text1"/>
        </w:rPr>
        <w:t xml:space="preserve">Pandey, G. (2020, February 16). 'Period-shaming' Indian college forces students to strip to underwear. Retrieved from </w:t>
      </w:r>
      <w:hyperlink r:id="rId45" w:history="1">
        <w:r w:rsidRPr="00A95C6C">
          <w:rPr>
            <w:rStyle w:val="Hyperlink"/>
          </w:rPr>
          <w:t>https://www.bbc.com/news/world-asia-india-51504992</w:t>
        </w:r>
      </w:hyperlink>
    </w:p>
    <w:p w14:paraId="254E2825" w14:textId="77777777" w:rsidR="003B1AC1" w:rsidRPr="00A95C6C" w:rsidRDefault="003B1AC1" w:rsidP="003B1AC1">
      <w:pPr>
        <w:shd w:val="clear" w:color="auto" w:fill="FFFFFF"/>
        <w:spacing w:line="276" w:lineRule="auto"/>
        <w:ind w:hanging="330"/>
        <w:rPr>
          <w:color w:val="323232"/>
        </w:rPr>
      </w:pPr>
    </w:p>
    <w:p w14:paraId="4266C9F4" w14:textId="77777777" w:rsidR="003B1AC1" w:rsidRPr="00A95C6C" w:rsidRDefault="003B1AC1" w:rsidP="003B1AC1">
      <w:pPr>
        <w:shd w:val="clear" w:color="auto" w:fill="FFFFFF"/>
        <w:spacing w:line="276" w:lineRule="auto"/>
        <w:ind w:hanging="330"/>
        <w:rPr>
          <w:rStyle w:val="Hyperlink"/>
        </w:rPr>
      </w:pPr>
      <w:proofErr w:type="spellStart"/>
      <w:r w:rsidRPr="00A95C6C">
        <w:t>PantyProp</w:t>
      </w:r>
      <w:proofErr w:type="spellEnd"/>
      <w:r w:rsidRPr="00A95C6C">
        <w:t xml:space="preserve">. (2017, March 24). Nepalese Women are Exiled to Menstrual Huts and Why You Should Care. Retrieved from </w:t>
      </w:r>
      <w:hyperlink r:id="rId46" w:history="1">
        <w:r w:rsidRPr="00A95C6C">
          <w:rPr>
            <w:rStyle w:val="Hyperlink"/>
          </w:rPr>
          <w:t>https://www.rubylove.com/post/2017/03/24/nepalese-women-exiled-to-menstrualhuts?gclid=CjwKCAjw3bzBRBhEiwAgnnLCs8tVsy84iH8n8bju0BgXZAUA4fl6_IeU3cLOKMg3uPLJmg1rTIykRoCiy0QAvD_BwE</w:t>
        </w:r>
      </w:hyperlink>
    </w:p>
    <w:p w14:paraId="7C5E78CE" w14:textId="77777777" w:rsidR="003B1AC1" w:rsidRPr="00A95C6C" w:rsidRDefault="003B1AC1" w:rsidP="003B1AC1">
      <w:pPr>
        <w:shd w:val="clear" w:color="auto" w:fill="FFFFFF"/>
        <w:spacing w:line="276" w:lineRule="auto"/>
        <w:ind w:hanging="330"/>
        <w:rPr>
          <w:rStyle w:val="Hyperlink"/>
          <w:color w:val="0D0D0D" w:themeColor="text1" w:themeTint="F2"/>
        </w:rPr>
      </w:pPr>
    </w:p>
    <w:p w14:paraId="4F4D7337" w14:textId="77777777" w:rsidR="003B1AC1" w:rsidRPr="00A95C6C" w:rsidRDefault="003B1AC1" w:rsidP="003B1AC1">
      <w:pPr>
        <w:shd w:val="clear" w:color="auto" w:fill="FFFFFF"/>
        <w:ind w:hanging="330"/>
        <w:rPr>
          <w:color w:val="323232"/>
        </w:rPr>
      </w:pPr>
      <w:proofErr w:type="spellStart"/>
      <w:r w:rsidRPr="00A95C6C">
        <w:rPr>
          <w:color w:val="0D0D0D" w:themeColor="text1" w:themeTint="F2"/>
        </w:rPr>
        <w:t>Parraga</w:t>
      </w:r>
      <w:proofErr w:type="spellEnd"/>
      <w:r w:rsidRPr="00A95C6C">
        <w:rPr>
          <w:color w:val="0D0D0D" w:themeColor="text1" w:themeTint="F2"/>
        </w:rPr>
        <w:t xml:space="preserve">, J. (2021). Period Poverty. Retrieved from </w:t>
      </w:r>
      <w:hyperlink r:id="rId47" w:history="1">
        <w:r w:rsidRPr="00A95C6C">
          <w:rPr>
            <w:rStyle w:val="Hyperlink"/>
          </w:rPr>
          <w:t>https://www.schulich.uwo.ca/rapport/2020/topical/period_poverty.html</w:t>
        </w:r>
      </w:hyperlink>
    </w:p>
    <w:p w14:paraId="6949F2E6" w14:textId="77777777" w:rsidR="003B1AC1" w:rsidRPr="00A95C6C" w:rsidRDefault="003B1AC1" w:rsidP="003B1AC1">
      <w:pPr>
        <w:shd w:val="clear" w:color="auto" w:fill="FFFFFF"/>
        <w:spacing w:line="276" w:lineRule="auto"/>
        <w:rPr>
          <w:color w:val="323232"/>
        </w:rPr>
      </w:pPr>
    </w:p>
    <w:p w14:paraId="54F84D4D" w14:textId="77777777" w:rsidR="003B1AC1" w:rsidRPr="00A95C6C" w:rsidRDefault="003B1AC1" w:rsidP="003B1AC1">
      <w:pPr>
        <w:shd w:val="clear" w:color="auto" w:fill="FFFFFF"/>
        <w:spacing w:line="276" w:lineRule="auto"/>
        <w:ind w:hanging="330"/>
        <w:rPr>
          <w:color w:val="323232"/>
        </w:rPr>
      </w:pPr>
      <w:proofErr w:type="spellStart"/>
      <w:r w:rsidRPr="00A95C6C">
        <w:lastRenderedPageBreak/>
        <w:t>Pember</w:t>
      </w:r>
      <w:proofErr w:type="spellEnd"/>
      <w:r w:rsidRPr="00A95C6C">
        <w:t xml:space="preserve">, M. (2019, February 20). 'Honoring Our Monthly Moons': Some Menstruation Rituals Give Indigenous Women Hope. Retrieved from </w:t>
      </w:r>
      <w:hyperlink r:id="rId48" w:history="1">
        <w:r w:rsidRPr="00A95C6C">
          <w:rPr>
            <w:rStyle w:val="Hyperlink"/>
          </w:rPr>
          <w:t>https://rewire.news/article/2019/02/20/monthly-moons-menstruation-rituals-indigenous-women/</w:t>
        </w:r>
      </w:hyperlink>
    </w:p>
    <w:p w14:paraId="54BA6474" w14:textId="77777777" w:rsidR="003B1AC1" w:rsidRPr="00A95C6C" w:rsidRDefault="003B1AC1" w:rsidP="003B1AC1">
      <w:pPr>
        <w:shd w:val="clear" w:color="auto" w:fill="FFFFFF"/>
        <w:spacing w:line="276" w:lineRule="auto"/>
        <w:ind w:hanging="330"/>
        <w:rPr>
          <w:color w:val="323232"/>
        </w:rPr>
      </w:pPr>
    </w:p>
    <w:p w14:paraId="702E97AF" w14:textId="77777777" w:rsidR="002E692A" w:rsidRDefault="003B1AC1" w:rsidP="002E692A">
      <w:pPr>
        <w:shd w:val="clear" w:color="auto" w:fill="FFFFFF"/>
        <w:spacing w:line="276" w:lineRule="auto"/>
        <w:ind w:hanging="330"/>
      </w:pPr>
      <w:proofErr w:type="spellStart"/>
      <w:r w:rsidRPr="00A95C6C">
        <w:t>Peranovic</w:t>
      </w:r>
      <w:proofErr w:type="spellEnd"/>
      <w:r w:rsidRPr="00A95C6C">
        <w:t>, T., &amp; Bentley, B. (2016). Men and Menstruation: A Qualitative Exploration of Beliefs, Attitudes and Experiences. </w:t>
      </w:r>
      <w:r w:rsidRPr="00A95C6C">
        <w:rPr>
          <w:i/>
          <w:iCs/>
        </w:rPr>
        <w:t>Sex Roles</w:t>
      </w:r>
      <w:r w:rsidRPr="00A95C6C">
        <w:t>, </w:t>
      </w:r>
      <w:r w:rsidRPr="00A95C6C">
        <w:rPr>
          <w:i/>
          <w:iCs/>
        </w:rPr>
        <w:t>77</w:t>
      </w:r>
      <w:r w:rsidRPr="00A95C6C">
        <w:t xml:space="preserve">(1-2), 113–124. </w:t>
      </w:r>
      <w:proofErr w:type="spellStart"/>
      <w:r w:rsidRPr="00A95C6C">
        <w:t>doi</w:t>
      </w:r>
      <w:proofErr w:type="spellEnd"/>
      <w:r w:rsidRPr="00A95C6C">
        <w:t>: 10.1007/s11199-016-0701-3</w:t>
      </w:r>
    </w:p>
    <w:p w14:paraId="6CFB931B" w14:textId="77777777" w:rsidR="002E692A" w:rsidRDefault="002E692A" w:rsidP="002E692A">
      <w:pPr>
        <w:shd w:val="clear" w:color="auto" w:fill="FFFFFF"/>
        <w:spacing w:line="276" w:lineRule="auto"/>
        <w:ind w:hanging="330"/>
      </w:pPr>
    </w:p>
    <w:p w14:paraId="776F367C" w14:textId="306B364C" w:rsidR="002E692A" w:rsidRDefault="002E692A" w:rsidP="002E692A">
      <w:pPr>
        <w:shd w:val="clear" w:color="auto" w:fill="FFFFFF"/>
        <w:spacing w:line="276" w:lineRule="auto"/>
        <w:ind w:hanging="330"/>
        <w:rPr>
          <w:color w:val="323232"/>
          <w:shd w:val="clear" w:color="auto" w:fill="FFFFFF"/>
        </w:rPr>
      </w:pPr>
      <w:proofErr w:type="spellStart"/>
      <w:r w:rsidRPr="002E692A">
        <w:rPr>
          <w:color w:val="323232"/>
          <w:shd w:val="clear" w:color="auto" w:fill="FFFFFF"/>
        </w:rPr>
        <w:t>Pe</w:t>
      </w:r>
      <w:r w:rsidRPr="008A70AB">
        <w:rPr>
          <w:color w:val="000000" w:themeColor="text1"/>
          <w:shd w:val="clear" w:color="auto" w:fill="FFFFFF"/>
        </w:rPr>
        <w:t>toukhov</w:t>
      </w:r>
      <w:proofErr w:type="spellEnd"/>
      <w:r w:rsidRPr="008A70AB">
        <w:rPr>
          <w:color w:val="000000" w:themeColor="text1"/>
          <w:shd w:val="clear" w:color="auto" w:fill="FFFFFF"/>
        </w:rPr>
        <w:t xml:space="preserve">, K. (2013). Recognition, Redistribution, and Representation: Assessing the Transformative Potential of Reparations for the Indian Residential Schools Experience. Retrieved from </w:t>
      </w:r>
      <w:hyperlink r:id="rId49" w:history="1">
        <w:r w:rsidR="008A70AB" w:rsidRPr="008A70AB">
          <w:rPr>
            <w:rStyle w:val="Hyperlink"/>
            <w:shd w:val="clear" w:color="auto" w:fill="FFFFFF"/>
          </w:rPr>
          <w:t>https://www.mcgill.ca/msr/volume3/article</w:t>
        </w:r>
        <w:r w:rsidR="008A70AB" w:rsidRPr="00081E94">
          <w:rPr>
            <w:rStyle w:val="Hyperlink"/>
            <w:shd w:val="clear" w:color="auto" w:fill="FFFFFF"/>
          </w:rPr>
          <w:t>5</w:t>
        </w:r>
      </w:hyperlink>
    </w:p>
    <w:p w14:paraId="31EB2D09" w14:textId="77777777" w:rsidR="003B1AC1" w:rsidRPr="00A95C6C" w:rsidRDefault="003B1AC1" w:rsidP="008A70AB">
      <w:pPr>
        <w:shd w:val="clear" w:color="auto" w:fill="FFFFFF"/>
        <w:spacing w:line="276" w:lineRule="auto"/>
      </w:pPr>
    </w:p>
    <w:p w14:paraId="262B8059" w14:textId="77777777" w:rsidR="003B1AC1" w:rsidRPr="00A95C6C" w:rsidRDefault="003B1AC1" w:rsidP="003B1AC1">
      <w:pPr>
        <w:shd w:val="clear" w:color="auto" w:fill="FFFFFF"/>
        <w:ind w:hanging="330"/>
        <w:rPr>
          <w:color w:val="0D0D0D" w:themeColor="text1" w:themeTint="F2"/>
        </w:rPr>
      </w:pPr>
      <w:r w:rsidRPr="00A95C6C">
        <w:rPr>
          <w:color w:val="0D0D0D" w:themeColor="text1" w:themeTint="F2"/>
        </w:rPr>
        <w:t>Phillips, A. (2002). Feminism and Liberalism Revisited: Has Martha Nussbaum Got It Right? </w:t>
      </w:r>
      <w:r w:rsidRPr="00A95C6C">
        <w:rPr>
          <w:i/>
          <w:iCs/>
          <w:color w:val="0D0D0D" w:themeColor="text1" w:themeTint="F2"/>
        </w:rPr>
        <w:t>Constellations,8</w:t>
      </w:r>
      <w:r w:rsidRPr="00A95C6C">
        <w:rPr>
          <w:color w:val="0D0D0D" w:themeColor="text1" w:themeTint="F2"/>
        </w:rPr>
        <w:t>(2), 249-266. doi:10.1111/1467-8675.00229</w:t>
      </w:r>
    </w:p>
    <w:p w14:paraId="6DE79425" w14:textId="77777777" w:rsidR="003B1AC1" w:rsidRPr="00A95C6C" w:rsidRDefault="003B1AC1" w:rsidP="003B1AC1">
      <w:pPr>
        <w:shd w:val="clear" w:color="auto" w:fill="FFFFFF"/>
        <w:spacing w:line="276" w:lineRule="auto"/>
        <w:ind w:hanging="330"/>
      </w:pPr>
    </w:p>
    <w:p w14:paraId="17BA5489" w14:textId="4118529F" w:rsidR="00BA12AE" w:rsidRDefault="003B1AC1" w:rsidP="00BA12AE">
      <w:pPr>
        <w:shd w:val="clear" w:color="auto" w:fill="FFFFFF"/>
        <w:spacing w:line="276" w:lineRule="auto"/>
        <w:ind w:hanging="330"/>
      </w:pPr>
      <w:r w:rsidRPr="00A95C6C">
        <w:t xml:space="preserve">Plan International Canada. (2019). Plan Int'l Canada releases new menstrual hygiene research. Retrieved from </w:t>
      </w:r>
      <w:r w:rsidR="00300C6F">
        <w:fldChar w:fldCharType="begin"/>
      </w:r>
      <w:r w:rsidR="00300C6F">
        <w:instrText>"</w:instrText>
      </w:r>
      <w:r w:rsidR="00300C6F" w:rsidRPr="00300C6F">
        <w:instrText>https://plancanada.ca/media-centre/plan-intl-canada-releases-new-menstrual-hygiene-research</w:instrText>
      </w:r>
      <w:r w:rsidR="00300C6F">
        <w:instrText xml:space="preserve">" </w:instrText>
      </w:r>
      <w:r w:rsidR="00300C6F">
        <w:fldChar w:fldCharType="separate"/>
      </w:r>
      <w:r w:rsidR="00300C6F" w:rsidRPr="00E250F9">
        <w:rPr>
          <w:rStyle w:val="Hyperlink"/>
        </w:rPr>
        <w:t>https://plancanada.ca/media-centre/plan-intl-canada-releases-new-menstrual-hygiene-research</w:t>
      </w:r>
      <w:r w:rsidR="00300C6F">
        <w:fldChar w:fldCharType="end"/>
      </w:r>
    </w:p>
    <w:p w14:paraId="5D267161" w14:textId="77777777" w:rsidR="00BA12AE" w:rsidRPr="00BA12AE" w:rsidRDefault="00BA12AE" w:rsidP="00BA12AE">
      <w:pPr>
        <w:shd w:val="clear" w:color="auto" w:fill="FFFFFF"/>
        <w:spacing w:line="276" w:lineRule="auto"/>
        <w:ind w:hanging="330"/>
        <w:rPr>
          <w:rStyle w:val="Hyperlink"/>
          <w:color w:val="auto"/>
          <w:u w:val="none"/>
        </w:rPr>
      </w:pPr>
    </w:p>
    <w:p w14:paraId="701CE09F" w14:textId="77777777" w:rsidR="003B1AC1" w:rsidRPr="00A95C6C" w:rsidRDefault="003B1AC1" w:rsidP="003B1AC1">
      <w:pPr>
        <w:shd w:val="clear" w:color="auto" w:fill="FFFFFF"/>
        <w:ind w:hanging="330"/>
        <w:rPr>
          <w:color w:val="323232"/>
        </w:rPr>
      </w:pPr>
      <w:r w:rsidRPr="00A95C6C">
        <w:rPr>
          <w:color w:val="0D0D0D" w:themeColor="text1" w:themeTint="F2"/>
        </w:rPr>
        <w:t xml:space="preserve">Plan International Canada. (2020). Face masks and period pads: Why both must be considered necessities in a pandemic. Retrieved from </w:t>
      </w:r>
      <w:hyperlink r:id="rId50" w:history="1">
        <w:r w:rsidRPr="00A95C6C">
          <w:rPr>
            <w:rStyle w:val="Hyperlink"/>
          </w:rPr>
          <w:t>https://www.newswire.ca/news-releases/face-masks-and-period-pads-why-both-must-be-considered-necessities-in-a-pandemic-897601204.html</w:t>
        </w:r>
      </w:hyperlink>
    </w:p>
    <w:p w14:paraId="1EE2329E" w14:textId="77777777" w:rsidR="003B1AC1" w:rsidRPr="00A95C6C" w:rsidRDefault="003B1AC1" w:rsidP="003B1AC1">
      <w:pPr>
        <w:shd w:val="clear" w:color="auto" w:fill="FFFFFF"/>
        <w:ind w:hanging="330"/>
        <w:rPr>
          <w:color w:val="0D0D0D" w:themeColor="text1" w:themeTint="F2"/>
        </w:rPr>
      </w:pPr>
    </w:p>
    <w:p w14:paraId="66BC9ECE" w14:textId="77777777" w:rsidR="003B1AC1" w:rsidRPr="00A95C6C" w:rsidRDefault="003B1AC1" w:rsidP="003B1AC1">
      <w:pPr>
        <w:shd w:val="clear" w:color="auto" w:fill="FFFFFF"/>
        <w:ind w:hanging="330"/>
        <w:rPr>
          <w:color w:val="323232"/>
        </w:rPr>
      </w:pPr>
      <w:r w:rsidRPr="00A95C6C">
        <w:rPr>
          <w:color w:val="0D0D0D" w:themeColor="text1" w:themeTint="F2"/>
        </w:rPr>
        <w:t xml:space="preserve">Randolph, K., &amp; Singh, S. (2020). Period Poverty. Retrieved from </w:t>
      </w:r>
      <w:hyperlink r:id="rId51" w:history="1">
        <w:r w:rsidRPr="00A95C6C">
          <w:rPr>
            <w:rStyle w:val="Hyperlink"/>
          </w:rPr>
          <w:t>https://borgenproject.org/tag/period-poverty/</w:t>
        </w:r>
      </w:hyperlink>
    </w:p>
    <w:p w14:paraId="6D2522A5" w14:textId="77777777" w:rsidR="003B1AC1" w:rsidRPr="00A95C6C" w:rsidRDefault="003B1AC1" w:rsidP="003B1AC1"/>
    <w:p w14:paraId="44AEFDAA" w14:textId="77777777" w:rsidR="003B1AC1" w:rsidRPr="00A95C6C" w:rsidRDefault="003B1AC1" w:rsidP="003B1AC1">
      <w:pPr>
        <w:shd w:val="clear" w:color="auto" w:fill="FFFFFF"/>
        <w:spacing w:line="276" w:lineRule="auto"/>
        <w:ind w:hanging="330"/>
        <w:rPr>
          <w:color w:val="323232"/>
        </w:rPr>
      </w:pPr>
      <w:r w:rsidRPr="00A95C6C">
        <w:t xml:space="preserve">Richard, J. (2018, August 19). Period poverty: 1 in 7 Canadian girls have missed school due to lack of products. Retrieved from </w:t>
      </w:r>
      <w:hyperlink r:id="rId52" w:history="1">
        <w:r w:rsidRPr="00A95C6C">
          <w:rPr>
            <w:rStyle w:val="Hyperlink"/>
          </w:rPr>
          <w:t>https://torontosun.com/life/relationships/period-poverty-1-in-7-canadian-girls-have-missed-school-due-to-lack-of-products</w:t>
        </w:r>
      </w:hyperlink>
    </w:p>
    <w:p w14:paraId="084647FD" w14:textId="77777777" w:rsidR="003B1AC1" w:rsidRPr="00A95C6C" w:rsidRDefault="003B1AC1" w:rsidP="003B1AC1"/>
    <w:p w14:paraId="0B44779A" w14:textId="77777777" w:rsidR="003B1AC1" w:rsidRPr="00A95C6C" w:rsidRDefault="003B1AC1" w:rsidP="003B1AC1">
      <w:pPr>
        <w:shd w:val="clear" w:color="auto" w:fill="FFFFFF"/>
        <w:spacing w:line="276" w:lineRule="auto"/>
        <w:ind w:hanging="330"/>
        <w:rPr>
          <w:rStyle w:val="Hyperlink"/>
          <w:shd w:val="clear" w:color="auto" w:fill="FFFFFF"/>
        </w:rPr>
      </w:pPr>
      <w:r w:rsidRPr="00A95C6C">
        <w:rPr>
          <w:shd w:val="clear" w:color="auto" w:fill="FFFFFF"/>
        </w:rPr>
        <w:t xml:space="preserve">Rios, G. (2020). The Global Movement Against the Tampon Tax. Retrieved from </w:t>
      </w:r>
      <w:hyperlink r:id="rId53" w:history="1">
        <w:r w:rsidRPr="00A95C6C">
          <w:rPr>
            <w:rStyle w:val="Hyperlink"/>
            <w:shd w:val="clear" w:color="auto" w:fill="FFFFFF"/>
          </w:rPr>
          <w:t>https://www.girlsglobe.org/2020/01/15/the-global-movement-against-the-tampon-tax/</w:t>
        </w:r>
      </w:hyperlink>
    </w:p>
    <w:p w14:paraId="5CACF562" w14:textId="77777777" w:rsidR="003B1AC1" w:rsidRPr="00A95C6C" w:rsidRDefault="003B1AC1" w:rsidP="003B1AC1">
      <w:pPr>
        <w:shd w:val="clear" w:color="auto" w:fill="FFFFFF"/>
        <w:spacing w:line="276" w:lineRule="auto"/>
        <w:ind w:hanging="330"/>
        <w:rPr>
          <w:rStyle w:val="Hyperlink"/>
          <w:shd w:val="clear" w:color="auto" w:fill="FFFFFF"/>
        </w:rPr>
      </w:pPr>
    </w:p>
    <w:p w14:paraId="724E9168" w14:textId="77777777" w:rsidR="003B1AC1" w:rsidRPr="00A95C6C" w:rsidRDefault="003B1AC1" w:rsidP="003B1AC1">
      <w:pPr>
        <w:shd w:val="clear" w:color="auto" w:fill="FFFFFF"/>
        <w:spacing w:line="276" w:lineRule="auto"/>
        <w:ind w:hanging="330"/>
      </w:pPr>
      <w:r w:rsidRPr="00A95C6C">
        <w:t xml:space="preserve">Roberts, T.-A., Power, C., Goldenberg, J., &amp; </w:t>
      </w:r>
      <w:proofErr w:type="spellStart"/>
      <w:r w:rsidRPr="00A95C6C">
        <w:t>Pyszczynski</w:t>
      </w:r>
      <w:proofErr w:type="spellEnd"/>
      <w:r w:rsidRPr="00A95C6C">
        <w:t>, T. (2002). "Feminine Protection": The Effects of Menstruation on Attitudes Towards Women. </w:t>
      </w:r>
      <w:r w:rsidRPr="00A95C6C">
        <w:rPr>
          <w:i/>
          <w:iCs/>
        </w:rPr>
        <w:t>Psychology of Women Quarterly</w:t>
      </w:r>
      <w:r w:rsidRPr="00A95C6C">
        <w:t>, </w:t>
      </w:r>
      <w:r w:rsidRPr="00A95C6C">
        <w:rPr>
          <w:i/>
          <w:iCs/>
        </w:rPr>
        <w:t>26</w:t>
      </w:r>
      <w:r w:rsidRPr="00A95C6C">
        <w:t xml:space="preserve">(2), 131–139. </w:t>
      </w:r>
      <w:proofErr w:type="spellStart"/>
      <w:r w:rsidRPr="00A95C6C">
        <w:t>doi</w:t>
      </w:r>
      <w:proofErr w:type="spellEnd"/>
      <w:r w:rsidRPr="00A95C6C">
        <w:t>: 10.1111/1471-6402.00051</w:t>
      </w:r>
    </w:p>
    <w:p w14:paraId="07BD3A8A" w14:textId="77777777" w:rsidR="003B1AC1" w:rsidRPr="00A95C6C" w:rsidRDefault="003B1AC1" w:rsidP="003B1AC1">
      <w:pPr>
        <w:shd w:val="clear" w:color="auto" w:fill="FFFFFF"/>
        <w:spacing w:line="276" w:lineRule="auto"/>
        <w:rPr>
          <w:color w:val="FF0000"/>
          <w:shd w:val="clear" w:color="auto" w:fill="FFFFFF"/>
        </w:rPr>
      </w:pPr>
    </w:p>
    <w:p w14:paraId="017B732A" w14:textId="77777777" w:rsidR="003B1AC1" w:rsidRDefault="003B1AC1" w:rsidP="003B1AC1">
      <w:pPr>
        <w:shd w:val="clear" w:color="auto" w:fill="FFFFFF"/>
        <w:ind w:hanging="330"/>
        <w:rPr>
          <w:spacing w:val="4"/>
        </w:rPr>
      </w:pPr>
      <w:r w:rsidRPr="00A95C6C">
        <w:rPr>
          <w:spacing w:val="4"/>
        </w:rPr>
        <w:t>Salter P.S., Haugen A.D. (2017) Critical Race Studies in Psychology. In: Gough B. (eds) The Palgrave Handbook of Critical Social Psychology. Palgrave Macmillan, London</w:t>
      </w:r>
    </w:p>
    <w:p w14:paraId="55B2880B" w14:textId="77777777" w:rsidR="003B1AC1" w:rsidRPr="00A95C6C" w:rsidRDefault="003B1AC1" w:rsidP="00300C6F">
      <w:pPr>
        <w:shd w:val="clear" w:color="auto" w:fill="FFFFFF"/>
        <w:rPr>
          <w:spacing w:val="4"/>
        </w:rPr>
      </w:pPr>
    </w:p>
    <w:p w14:paraId="3D19F4CC" w14:textId="77777777" w:rsidR="003B1AC1" w:rsidRPr="00A95C6C" w:rsidRDefault="003B1AC1" w:rsidP="003B1AC1">
      <w:pPr>
        <w:shd w:val="clear" w:color="auto" w:fill="FFFFFF"/>
        <w:ind w:hanging="330"/>
        <w:rPr>
          <w:shd w:val="clear" w:color="auto" w:fill="FFFFFF"/>
        </w:rPr>
      </w:pPr>
      <w:proofErr w:type="spellStart"/>
      <w:r w:rsidRPr="00A95C6C">
        <w:rPr>
          <w:shd w:val="clear" w:color="auto" w:fill="FFFFFF"/>
        </w:rPr>
        <w:t>Santovec</w:t>
      </w:r>
      <w:proofErr w:type="spellEnd"/>
      <w:r w:rsidRPr="00A95C6C">
        <w:rPr>
          <w:shd w:val="clear" w:color="auto" w:fill="FFFFFF"/>
        </w:rPr>
        <w:t xml:space="preserve">, M. L. (2017). The Necessity of Intersectionality: A Profile of Dr. </w:t>
      </w:r>
      <w:proofErr w:type="spellStart"/>
      <w:r w:rsidRPr="00A95C6C">
        <w:rPr>
          <w:shd w:val="clear" w:color="auto" w:fill="FFFFFF"/>
        </w:rPr>
        <w:t>Kimberlé</w:t>
      </w:r>
      <w:proofErr w:type="spellEnd"/>
      <w:r w:rsidRPr="00A95C6C">
        <w:rPr>
          <w:shd w:val="clear" w:color="auto" w:fill="FFFFFF"/>
        </w:rPr>
        <w:t xml:space="preserve"> Crenshaw.</w:t>
      </w:r>
      <w:r w:rsidRPr="00A95C6C">
        <w:rPr>
          <w:rStyle w:val="apple-converted-space"/>
          <w:shd w:val="clear" w:color="auto" w:fill="FFFFFF"/>
        </w:rPr>
        <w:t> </w:t>
      </w:r>
      <w:r w:rsidRPr="00A95C6C">
        <w:rPr>
          <w:i/>
          <w:iCs/>
          <w:shd w:val="clear" w:color="auto" w:fill="FFFFFF"/>
        </w:rPr>
        <w:t>Women in Higher Education</w:t>
      </w:r>
      <w:r w:rsidRPr="00A95C6C">
        <w:rPr>
          <w:shd w:val="clear" w:color="auto" w:fill="FFFFFF"/>
        </w:rPr>
        <w:t>,</w:t>
      </w:r>
      <w:r w:rsidRPr="00A95C6C">
        <w:rPr>
          <w:rStyle w:val="apple-converted-space"/>
          <w:shd w:val="clear" w:color="auto" w:fill="FFFFFF"/>
        </w:rPr>
        <w:t> </w:t>
      </w:r>
      <w:r w:rsidRPr="00A95C6C">
        <w:rPr>
          <w:i/>
          <w:iCs/>
          <w:shd w:val="clear" w:color="auto" w:fill="FFFFFF"/>
        </w:rPr>
        <w:t>26</w:t>
      </w:r>
      <w:r w:rsidRPr="00A95C6C">
        <w:rPr>
          <w:shd w:val="clear" w:color="auto" w:fill="FFFFFF"/>
        </w:rPr>
        <w:t xml:space="preserve">(3), 8–9. </w:t>
      </w:r>
      <w:proofErr w:type="spellStart"/>
      <w:r w:rsidRPr="00A95C6C">
        <w:rPr>
          <w:shd w:val="clear" w:color="auto" w:fill="FFFFFF"/>
        </w:rPr>
        <w:t>doi</w:t>
      </w:r>
      <w:proofErr w:type="spellEnd"/>
      <w:r w:rsidRPr="00A95C6C">
        <w:rPr>
          <w:shd w:val="clear" w:color="auto" w:fill="FFFFFF"/>
        </w:rPr>
        <w:t>: 10.1002/whe.20414</w:t>
      </w:r>
    </w:p>
    <w:p w14:paraId="27D1180B" w14:textId="77777777" w:rsidR="003B1AC1" w:rsidRPr="00A95C6C" w:rsidRDefault="003B1AC1" w:rsidP="003B1AC1"/>
    <w:p w14:paraId="1B9420FC" w14:textId="77777777" w:rsidR="003B1AC1" w:rsidRPr="00A95C6C" w:rsidRDefault="003B1AC1" w:rsidP="003B1AC1">
      <w:pPr>
        <w:shd w:val="clear" w:color="auto" w:fill="FFFFFF"/>
        <w:spacing w:line="276" w:lineRule="auto"/>
        <w:ind w:hanging="330"/>
        <w:rPr>
          <w:rStyle w:val="Hyperlink"/>
          <w:shd w:val="clear" w:color="auto" w:fill="FFFFFF"/>
        </w:rPr>
      </w:pPr>
      <w:r w:rsidRPr="00A95C6C">
        <w:lastRenderedPageBreak/>
        <w:t xml:space="preserve">Singh, K. (2019). B.C.’s new order proves that period poverty in </w:t>
      </w:r>
      <w:proofErr w:type="spellStart"/>
      <w:r w:rsidRPr="00A95C6C">
        <w:t>canada</w:t>
      </w:r>
      <w:proofErr w:type="spellEnd"/>
      <w:r w:rsidRPr="00A95C6C">
        <w:t xml:space="preserve"> is real. </w:t>
      </w:r>
      <w:r w:rsidRPr="00A95C6C">
        <w:rPr>
          <w:i/>
          <w:iCs/>
        </w:rPr>
        <w:t xml:space="preserve">Flare (Online), </w:t>
      </w:r>
      <w:r w:rsidRPr="00A95C6C">
        <w:t xml:space="preserve">Retrieved from </w:t>
      </w:r>
      <w:hyperlink r:id="rId54" w:history="1">
        <w:r w:rsidRPr="00A95C6C">
          <w:rPr>
            <w:rStyle w:val="Hyperlink"/>
            <w:shd w:val="clear" w:color="auto" w:fill="FFFFFF"/>
          </w:rPr>
          <w:t>http://ezproxy.library.ubc.ca/login?url=https://search-proquest-com.ezproxy.library.ubc.ca/docview/2205488187?accountid=14656</w:t>
        </w:r>
      </w:hyperlink>
    </w:p>
    <w:p w14:paraId="1CC225DC" w14:textId="77777777" w:rsidR="003B1AC1" w:rsidRPr="00A95C6C" w:rsidRDefault="003B1AC1" w:rsidP="003B1AC1">
      <w:pPr>
        <w:shd w:val="clear" w:color="auto" w:fill="FFFFFF"/>
        <w:spacing w:line="276" w:lineRule="auto"/>
        <w:ind w:hanging="330"/>
        <w:rPr>
          <w:rStyle w:val="Hyperlink"/>
          <w:shd w:val="clear" w:color="auto" w:fill="FFFFFF"/>
        </w:rPr>
      </w:pPr>
    </w:p>
    <w:p w14:paraId="5F33393E" w14:textId="77777777" w:rsidR="003B1AC1" w:rsidRPr="00A95C6C" w:rsidRDefault="003B1AC1" w:rsidP="003B1AC1">
      <w:pPr>
        <w:shd w:val="clear" w:color="auto" w:fill="FFFFFF"/>
        <w:ind w:hanging="330"/>
        <w:rPr>
          <w:color w:val="323232"/>
        </w:rPr>
      </w:pPr>
      <w:r w:rsidRPr="00A95C6C">
        <w:rPr>
          <w:color w:val="0D0D0D" w:themeColor="text1" w:themeTint="F2"/>
        </w:rPr>
        <w:t xml:space="preserve">Smith, L., Tribe, S., &amp; Brito, A. (2020). Period equity now: Canadians need universal access to menstrual supplies at work. Retrieved from </w:t>
      </w:r>
      <w:hyperlink r:id="rId55" w:history="1">
        <w:r w:rsidRPr="00A95C6C">
          <w:rPr>
            <w:rStyle w:val="Hyperlink"/>
          </w:rPr>
          <w:t>https://canadiandimension.com/articles/view/period-equity-now-canadians-need-universal-access-to-menstrual-supplies-at-work</w:t>
        </w:r>
      </w:hyperlink>
    </w:p>
    <w:p w14:paraId="4B27F4F0" w14:textId="77777777" w:rsidR="003B1AC1" w:rsidRPr="00A95C6C" w:rsidRDefault="003B1AC1" w:rsidP="003B1AC1">
      <w:pPr>
        <w:shd w:val="clear" w:color="auto" w:fill="FFFFFF"/>
        <w:spacing w:line="276" w:lineRule="auto"/>
        <w:rPr>
          <w:rStyle w:val="Hyperlink"/>
          <w:shd w:val="clear" w:color="auto" w:fill="FFFFFF"/>
        </w:rPr>
      </w:pPr>
    </w:p>
    <w:p w14:paraId="56EC66DD" w14:textId="77777777" w:rsidR="003B1AC1" w:rsidRPr="00A95C6C" w:rsidRDefault="003B1AC1" w:rsidP="003B1AC1">
      <w:pPr>
        <w:shd w:val="clear" w:color="auto" w:fill="FFFFFF"/>
        <w:spacing w:line="276" w:lineRule="auto"/>
        <w:ind w:hanging="330"/>
        <w:rPr>
          <w:rStyle w:val="Hyperlink"/>
        </w:rPr>
      </w:pPr>
      <w:r w:rsidRPr="00A95C6C">
        <w:t xml:space="preserve">Social Development Canada. (2019, May 3). Government proposes free menstrual products to support equality in the workplace. Retrieved from </w:t>
      </w:r>
      <w:hyperlink r:id="rId56" w:history="1">
        <w:r w:rsidRPr="00A95C6C">
          <w:rPr>
            <w:rStyle w:val="Hyperlink"/>
          </w:rPr>
          <w:t>https://www.canada.ca/en/employment-social-development/news/2019/05/government-proposes-free-menstrual-products-to-support-equality-in-the-workplace.html</w:t>
        </w:r>
      </w:hyperlink>
    </w:p>
    <w:p w14:paraId="2216A9AD" w14:textId="77777777" w:rsidR="003B1AC1" w:rsidRPr="00A95C6C" w:rsidRDefault="003B1AC1" w:rsidP="003B1AC1"/>
    <w:p w14:paraId="5A780B2B" w14:textId="77777777" w:rsidR="003B1AC1" w:rsidRPr="00A95C6C" w:rsidRDefault="003B1AC1" w:rsidP="003B1AC1">
      <w:pPr>
        <w:shd w:val="clear" w:color="auto" w:fill="FFFFFF"/>
        <w:spacing w:line="276" w:lineRule="auto"/>
        <w:ind w:hanging="330"/>
      </w:pPr>
      <w:r w:rsidRPr="00A95C6C">
        <w:t>Sommer, M., Hirsch, J. S., Nathanson, C., &amp; Parker, R. G. (2015). Comfortably, Safely, and Without Shame: Defining Menstrual Hygiene Management as a Public Health Issue. </w:t>
      </w:r>
      <w:r w:rsidRPr="00A95C6C">
        <w:rPr>
          <w:i/>
          <w:iCs/>
        </w:rPr>
        <w:t>American Journal of Public Health</w:t>
      </w:r>
      <w:r w:rsidRPr="00A95C6C">
        <w:t>, </w:t>
      </w:r>
      <w:r w:rsidRPr="00A95C6C">
        <w:rPr>
          <w:i/>
          <w:iCs/>
        </w:rPr>
        <w:t>105</w:t>
      </w:r>
      <w:r w:rsidRPr="00A95C6C">
        <w:t xml:space="preserve">(7), 1302–1311. </w:t>
      </w:r>
      <w:proofErr w:type="spellStart"/>
      <w:r w:rsidRPr="00A95C6C">
        <w:t>doi</w:t>
      </w:r>
      <w:proofErr w:type="spellEnd"/>
      <w:r w:rsidRPr="00A95C6C">
        <w:t>: 10.2105/ajph.2014.302525</w:t>
      </w:r>
    </w:p>
    <w:p w14:paraId="4A5148BD" w14:textId="77777777" w:rsidR="003B1AC1" w:rsidRPr="00A95C6C" w:rsidRDefault="003B1AC1" w:rsidP="003B1AC1">
      <w:pPr>
        <w:shd w:val="clear" w:color="auto" w:fill="FFFFFF"/>
        <w:spacing w:line="276" w:lineRule="auto"/>
        <w:ind w:hanging="330"/>
      </w:pPr>
    </w:p>
    <w:p w14:paraId="2B604584" w14:textId="77777777" w:rsidR="003B1AC1" w:rsidRDefault="003B1AC1" w:rsidP="003B1AC1">
      <w:pPr>
        <w:shd w:val="clear" w:color="auto" w:fill="FFFFFF"/>
        <w:spacing w:line="276" w:lineRule="auto"/>
        <w:ind w:hanging="330"/>
        <w:rPr>
          <w:rStyle w:val="Hyperlink"/>
        </w:rPr>
      </w:pPr>
      <w:r w:rsidRPr="00A95C6C">
        <w:t xml:space="preserve">True North Aid. (2020). MOON TIME SISTERS. Retrieved from </w:t>
      </w:r>
      <w:hyperlink r:id="rId57" w:history="1">
        <w:r w:rsidRPr="00A95C6C">
          <w:rPr>
            <w:rStyle w:val="Hyperlink"/>
          </w:rPr>
          <w:t>https://truenorthaid.ca/moon-time-sisters/</w:t>
        </w:r>
      </w:hyperlink>
    </w:p>
    <w:p w14:paraId="27579E0A" w14:textId="77777777" w:rsidR="003B1AC1" w:rsidRDefault="003B1AC1" w:rsidP="003B1AC1">
      <w:pPr>
        <w:shd w:val="clear" w:color="auto" w:fill="FFFFFF"/>
        <w:spacing w:line="276" w:lineRule="auto"/>
        <w:ind w:hanging="330"/>
        <w:rPr>
          <w:rStyle w:val="Hyperlink"/>
        </w:rPr>
      </w:pPr>
    </w:p>
    <w:p w14:paraId="6756AB3D" w14:textId="77777777" w:rsidR="003B1AC1" w:rsidRDefault="003B1AC1" w:rsidP="003B1AC1">
      <w:pPr>
        <w:shd w:val="clear" w:color="auto" w:fill="FFFFFF"/>
        <w:spacing w:line="276" w:lineRule="auto"/>
        <w:ind w:hanging="330"/>
        <w:rPr>
          <w:color w:val="323232"/>
        </w:rPr>
      </w:pPr>
      <w:r w:rsidRPr="00124280">
        <w:rPr>
          <w:color w:val="000000" w:themeColor="text1"/>
        </w:rPr>
        <w:t xml:space="preserve">Tuck, E., &amp; Yang, K. (2012). Decolonization Is Not a Metaphor. </w:t>
      </w:r>
      <w:r w:rsidRPr="00124280">
        <w:rPr>
          <w:i/>
          <w:iCs/>
          <w:color w:val="000000" w:themeColor="text1"/>
        </w:rPr>
        <w:t>Decolonization: Indigeneity, Education &amp; Society, 1</w:t>
      </w:r>
      <w:r w:rsidRPr="00124280">
        <w:rPr>
          <w:color w:val="000000" w:themeColor="text1"/>
        </w:rPr>
        <w:t>(1), 1-40.</w:t>
      </w:r>
      <w:r>
        <w:rPr>
          <w:color w:val="000000" w:themeColor="text1"/>
        </w:rPr>
        <w:t xml:space="preserve"> </w:t>
      </w:r>
      <w:proofErr w:type="spellStart"/>
      <w:r>
        <w:rPr>
          <w:color w:val="000000" w:themeColor="text1"/>
        </w:rPr>
        <w:t>Retreived</w:t>
      </w:r>
      <w:proofErr w:type="spellEnd"/>
      <w:r>
        <w:rPr>
          <w:color w:val="000000" w:themeColor="text1"/>
        </w:rPr>
        <w:t xml:space="preserve"> from </w:t>
      </w:r>
      <w:hyperlink r:id="rId58" w:history="1">
        <w:r w:rsidRPr="00124280">
          <w:rPr>
            <w:rStyle w:val="Hyperlink"/>
          </w:rPr>
          <w:t>https://clas.osu.edu/sites/clas.osu.edu/files/Tuck%20and%20Yang%202012%20Decolonization%20is%20not%20a%20metaphor.pdf</w:t>
        </w:r>
      </w:hyperlink>
    </w:p>
    <w:p w14:paraId="02F4398D" w14:textId="77777777" w:rsidR="003B1AC1" w:rsidRPr="00A95C6C" w:rsidRDefault="003B1AC1" w:rsidP="003B1AC1">
      <w:pPr>
        <w:shd w:val="clear" w:color="auto" w:fill="FFFFFF"/>
        <w:spacing w:line="276" w:lineRule="auto"/>
      </w:pPr>
    </w:p>
    <w:p w14:paraId="6E508965" w14:textId="77777777" w:rsidR="003B1AC1" w:rsidRPr="00A95C6C" w:rsidRDefault="003B1AC1" w:rsidP="003B1AC1">
      <w:pPr>
        <w:shd w:val="clear" w:color="auto" w:fill="FFFFFF"/>
        <w:spacing w:line="276" w:lineRule="auto"/>
        <w:ind w:hanging="330"/>
        <w:rPr>
          <w:rStyle w:val="Hyperlink"/>
          <w:shd w:val="clear" w:color="auto" w:fill="FFFFFF"/>
        </w:rPr>
      </w:pPr>
      <w:r w:rsidRPr="00A95C6C">
        <w:rPr>
          <w:color w:val="0D0D0D" w:themeColor="text1" w:themeTint="F2"/>
          <w:shd w:val="clear" w:color="auto" w:fill="FFFFFF"/>
        </w:rPr>
        <w:t xml:space="preserve">UNFPA. (2019). Menstruation and human rights - Frequently asked questions. Retrieved from </w:t>
      </w:r>
      <w:hyperlink r:id="rId59" w:anchor="Symptomsofdisrodersformenstruation" w:history="1">
        <w:r w:rsidRPr="00A95C6C">
          <w:rPr>
            <w:rStyle w:val="Hyperlink"/>
            <w:shd w:val="clear" w:color="auto" w:fill="FFFFFF"/>
          </w:rPr>
          <w:t>http://www.unfpa.org/menstruationfaq#Symptomsofdisrodersformenstruation</w:t>
        </w:r>
      </w:hyperlink>
    </w:p>
    <w:p w14:paraId="22B3EA39" w14:textId="77777777" w:rsidR="003B1AC1" w:rsidRPr="00A95C6C" w:rsidRDefault="003B1AC1" w:rsidP="003B1AC1">
      <w:pPr>
        <w:shd w:val="clear" w:color="auto" w:fill="FFFFFF"/>
        <w:spacing w:line="276" w:lineRule="auto"/>
        <w:ind w:hanging="330"/>
        <w:rPr>
          <w:rStyle w:val="Hyperlink"/>
          <w:shd w:val="clear" w:color="auto" w:fill="FFFFFF"/>
        </w:rPr>
      </w:pPr>
    </w:p>
    <w:p w14:paraId="6B2D40EE" w14:textId="77777777" w:rsidR="003B1AC1" w:rsidRPr="00A95C6C" w:rsidRDefault="003B1AC1" w:rsidP="003B1AC1">
      <w:pPr>
        <w:shd w:val="clear" w:color="auto" w:fill="FFFFFF"/>
        <w:spacing w:line="276" w:lineRule="auto"/>
        <w:ind w:hanging="330"/>
        <w:rPr>
          <w:color w:val="0000FF"/>
          <w:u w:val="single"/>
          <w:shd w:val="clear" w:color="auto" w:fill="FFFFFF"/>
        </w:rPr>
      </w:pPr>
      <w:r w:rsidRPr="00A95C6C">
        <w:rPr>
          <w:color w:val="000000" w:themeColor="text1"/>
          <w:shd w:val="clear" w:color="auto" w:fill="FFFFFF"/>
        </w:rPr>
        <w:t>United Nations. (</w:t>
      </w:r>
      <w:proofErr w:type="spellStart"/>
      <w:r w:rsidRPr="00A95C6C">
        <w:rPr>
          <w:color w:val="000000" w:themeColor="text1"/>
          <w:shd w:val="clear" w:color="auto" w:fill="FFFFFF"/>
        </w:rPr>
        <w:t>n.d.a</w:t>
      </w:r>
      <w:proofErr w:type="spellEnd"/>
      <w:r w:rsidRPr="00A95C6C">
        <w:rPr>
          <w:color w:val="000000" w:themeColor="text1"/>
          <w:shd w:val="clear" w:color="auto" w:fill="FFFFFF"/>
        </w:rPr>
        <w:t xml:space="preserve">). Convention on the Elimination of All Forms of Discrimination against Women. Retrieved from </w:t>
      </w:r>
      <w:hyperlink r:id="rId60" w:history="1">
        <w:r w:rsidRPr="00A95C6C">
          <w:rPr>
            <w:rStyle w:val="Hyperlink"/>
            <w:shd w:val="clear" w:color="auto" w:fill="FFFFFF"/>
          </w:rPr>
          <w:t>https://www.un.org/womenwatch/daw/cedaw/</w:t>
        </w:r>
      </w:hyperlink>
    </w:p>
    <w:p w14:paraId="4220DB74" w14:textId="77777777" w:rsidR="003B1AC1" w:rsidRPr="00A95C6C" w:rsidRDefault="003B1AC1" w:rsidP="003B1AC1">
      <w:pPr>
        <w:shd w:val="clear" w:color="auto" w:fill="FFFFFF"/>
        <w:spacing w:line="276" w:lineRule="auto"/>
        <w:ind w:hanging="330"/>
        <w:rPr>
          <w:color w:val="0000FF"/>
          <w:u w:val="single"/>
          <w:shd w:val="clear" w:color="auto" w:fill="FFFFFF"/>
        </w:rPr>
      </w:pPr>
    </w:p>
    <w:p w14:paraId="018FC7B0" w14:textId="77777777" w:rsidR="003B1AC1" w:rsidRPr="00A95C6C" w:rsidRDefault="003B1AC1" w:rsidP="003B1AC1">
      <w:pPr>
        <w:shd w:val="clear" w:color="auto" w:fill="FFFFFF"/>
        <w:spacing w:line="276" w:lineRule="auto"/>
        <w:ind w:hanging="330"/>
        <w:rPr>
          <w:color w:val="0000FF"/>
          <w:u w:val="single"/>
          <w:shd w:val="clear" w:color="auto" w:fill="FFFFFF"/>
        </w:rPr>
      </w:pPr>
      <w:r w:rsidRPr="00A95C6C">
        <w:rPr>
          <w:color w:val="0D0D0D" w:themeColor="text1" w:themeTint="F2"/>
        </w:rPr>
        <w:t>United Nations. (</w:t>
      </w:r>
      <w:proofErr w:type="spellStart"/>
      <w:r w:rsidRPr="00A95C6C">
        <w:rPr>
          <w:color w:val="0D0D0D" w:themeColor="text1" w:themeTint="F2"/>
        </w:rPr>
        <w:t>n.d.b</w:t>
      </w:r>
      <w:proofErr w:type="spellEnd"/>
      <w:r w:rsidRPr="00A95C6C">
        <w:rPr>
          <w:color w:val="0D0D0D" w:themeColor="text1" w:themeTint="F2"/>
        </w:rPr>
        <w:t xml:space="preserve">). Sexual and reproductive health and rights. Retrieved from </w:t>
      </w:r>
      <w:hyperlink r:id="rId61" w:history="1">
        <w:r w:rsidRPr="00A95C6C">
          <w:rPr>
            <w:rStyle w:val="Hyperlink"/>
          </w:rPr>
          <w:t>https://www.ohchr.org/en/issues/women/wrgs/pages/healthrights.aspx</w:t>
        </w:r>
      </w:hyperlink>
    </w:p>
    <w:p w14:paraId="03EC568D" w14:textId="77777777" w:rsidR="003B1AC1" w:rsidRPr="00A95C6C" w:rsidRDefault="003B1AC1" w:rsidP="003B1AC1">
      <w:pPr>
        <w:shd w:val="clear" w:color="auto" w:fill="FFFFFF"/>
        <w:ind w:hanging="330"/>
        <w:rPr>
          <w:rStyle w:val="Hyperlink"/>
          <w:color w:val="323232"/>
        </w:rPr>
      </w:pPr>
    </w:p>
    <w:p w14:paraId="1CC107C3" w14:textId="77777777" w:rsidR="003B1AC1" w:rsidRPr="00A95C6C" w:rsidRDefault="003B1AC1" w:rsidP="003B1AC1">
      <w:pPr>
        <w:shd w:val="clear" w:color="auto" w:fill="FFFFFF"/>
        <w:ind w:hanging="330"/>
        <w:rPr>
          <w:color w:val="323232"/>
        </w:rPr>
      </w:pPr>
      <w:r w:rsidRPr="00A95C6C">
        <w:rPr>
          <w:color w:val="0D0D0D" w:themeColor="text1" w:themeTint="F2"/>
        </w:rPr>
        <w:t>United Nations. (</w:t>
      </w:r>
      <w:proofErr w:type="spellStart"/>
      <w:r w:rsidRPr="00A95C6C">
        <w:rPr>
          <w:color w:val="0D0D0D" w:themeColor="text1" w:themeTint="F2"/>
        </w:rPr>
        <w:t>n.d.c</w:t>
      </w:r>
      <w:proofErr w:type="spellEnd"/>
      <w:r w:rsidRPr="00A95C6C">
        <w:rPr>
          <w:color w:val="0D0D0D" w:themeColor="text1" w:themeTint="F2"/>
        </w:rPr>
        <w:t xml:space="preserve">). Short History of CEDAW Convention. Retrieved from </w:t>
      </w:r>
      <w:hyperlink r:id="rId62" w:history="1">
        <w:r w:rsidRPr="00A95C6C">
          <w:rPr>
            <w:rStyle w:val="Hyperlink"/>
          </w:rPr>
          <w:t>https://www.un.org/womenwatch/daw/cedaw/history.htm</w:t>
        </w:r>
      </w:hyperlink>
    </w:p>
    <w:p w14:paraId="34538D14" w14:textId="77777777" w:rsidR="003B1AC1" w:rsidRPr="00A95C6C" w:rsidRDefault="003B1AC1" w:rsidP="003B1AC1">
      <w:pPr>
        <w:shd w:val="clear" w:color="auto" w:fill="FFFFFF"/>
        <w:ind w:hanging="330"/>
        <w:rPr>
          <w:color w:val="323232"/>
        </w:rPr>
      </w:pPr>
    </w:p>
    <w:p w14:paraId="04580C87" w14:textId="77777777" w:rsidR="003B1AC1" w:rsidRPr="00A95C6C" w:rsidRDefault="003B1AC1" w:rsidP="003B1AC1">
      <w:pPr>
        <w:shd w:val="clear" w:color="auto" w:fill="FFFFFF"/>
        <w:ind w:hanging="330"/>
        <w:rPr>
          <w:color w:val="323232"/>
        </w:rPr>
      </w:pPr>
      <w:r w:rsidRPr="00A95C6C">
        <w:rPr>
          <w:color w:val="0D0D0D" w:themeColor="text1" w:themeTint="F2"/>
        </w:rPr>
        <w:t>United Nations. (</w:t>
      </w:r>
      <w:proofErr w:type="spellStart"/>
      <w:r w:rsidRPr="00A95C6C">
        <w:rPr>
          <w:color w:val="0D0D0D" w:themeColor="text1" w:themeTint="F2"/>
        </w:rPr>
        <w:t>n.d.d</w:t>
      </w:r>
      <w:proofErr w:type="spellEnd"/>
      <w:r w:rsidRPr="00A95C6C">
        <w:rPr>
          <w:color w:val="0D0D0D" w:themeColor="text1" w:themeTint="F2"/>
        </w:rPr>
        <w:t xml:space="preserve">). Sustainable Development Goals and Human Rights. Retrieved from </w:t>
      </w:r>
      <w:hyperlink r:id="rId63" w:history="1">
        <w:r w:rsidRPr="00A95C6C">
          <w:rPr>
            <w:rStyle w:val="Hyperlink"/>
          </w:rPr>
          <w:t>https://www.ohchr.org/en/issues/SDGS/pages/the2030agenda.aspx</w:t>
        </w:r>
      </w:hyperlink>
    </w:p>
    <w:p w14:paraId="40E5411E" w14:textId="77777777" w:rsidR="003B1AC1" w:rsidRPr="00A95C6C" w:rsidRDefault="003B1AC1" w:rsidP="003B1AC1">
      <w:pPr>
        <w:shd w:val="clear" w:color="auto" w:fill="FFFFFF"/>
        <w:ind w:hanging="330"/>
        <w:rPr>
          <w:color w:val="0D0D0D" w:themeColor="text1" w:themeTint="F2"/>
        </w:rPr>
      </w:pPr>
    </w:p>
    <w:p w14:paraId="35FFE238" w14:textId="77777777" w:rsidR="003B1AC1" w:rsidRPr="00A95C6C" w:rsidRDefault="003B1AC1" w:rsidP="003B1AC1">
      <w:pPr>
        <w:shd w:val="clear" w:color="auto" w:fill="FFFFFF"/>
        <w:ind w:hanging="330"/>
        <w:rPr>
          <w:color w:val="323232"/>
        </w:rPr>
      </w:pPr>
      <w:r w:rsidRPr="00A95C6C">
        <w:rPr>
          <w:color w:val="0D0D0D" w:themeColor="text1" w:themeTint="F2"/>
        </w:rPr>
        <w:t>United Nations. (</w:t>
      </w:r>
      <w:proofErr w:type="spellStart"/>
      <w:r w:rsidRPr="00A95C6C">
        <w:rPr>
          <w:color w:val="0D0D0D" w:themeColor="text1" w:themeTint="F2"/>
        </w:rPr>
        <w:t>n.d.e</w:t>
      </w:r>
      <w:proofErr w:type="spellEnd"/>
      <w:r w:rsidRPr="00A95C6C">
        <w:rPr>
          <w:color w:val="0D0D0D" w:themeColor="text1" w:themeTint="F2"/>
        </w:rPr>
        <w:t xml:space="preserve">). Universal Declaration of Human Rights. Retrieved from </w:t>
      </w:r>
      <w:hyperlink r:id="rId64" w:history="1">
        <w:r w:rsidRPr="00A95C6C">
          <w:rPr>
            <w:rStyle w:val="Hyperlink"/>
          </w:rPr>
          <w:t>https://www.un.org/en/about-us/universal-declaration-of-human-rights</w:t>
        </w:r>
      </w:hyperlink>
    </w:p>
    <w:p w14:paraId="3496570F" w14:textId="77777777" w:rsidR="003B1AC1" w:rsidRPr="00A95C6C" w:rsidRDefault="003B1AC1" w:rsidP="003B1AC1">
      <w:pPr>
        <w:shd w:val="clear" w:color="auto" w:fill="FFFFFF"/>
        <w:spacing w:line="276" w:lineRule="auto"/>
        <w:rPr>
          <w:rStyle w:val="Hyperlink"/>
          <w:shd w:val="clear" w:color="auto" w:fill="FFFFFF"/>
        </w:rPr>
      </w:pPr>
    </w:p>
    <w:p w14:paraId="0696B6B1" w14:textId="77777777" w:rsidR="003B1AC1" w:rsidRPr="00A95C6C" w:rsidRDefault="003B1AC1" w:rsidP="003B1AC1">
      <w:pPr>
        <w:shd w:val="clear" w:color="auto" w:fill="FFFFFF"/>
        <w:spacing w:line="276" w:lineRule="auto"/>
        <w:ind w:hanging="330"/>
        <w:rPr>
          <w:rStyle w:val="Hyperlink"/>
        </w:rPr>
      </w:pPr>
      <w:r w:rsidRPr="00A95C6C">
        <w:t xml:space="preserve">Viera, J. (2019, September 10). The heartbreaking realities of period poverty. Retrieved from </w:t>
      </w:r>
      <w:hyperlink r:id="rId65" w:history="1">
        <w:r w:rsidRPr="00A95C6C">
          <w:rPr>
            <w:rStyle w:val="Hyperlink"/>
          </w:rPr>
          <w:t>https://www.thespec.com/living-story/9587088-the-heartbreaking-realities-of-period-poverty/</w:t>
        </w:r>
      </w:hyperlink>
    </w:p>
    <w:p w14:paraId="2E809789" w14:textId="77777777" w:rsidR="003B1AC1" w:rsidRPr="00A95C6C" w:rsidRDefault="003B1AC1" w:rsidP="00BA12AE">
      <w:pPr>
        <w:shd w:val="clear" w:color="auto" w:fill="FFFFFF"/>
        <w:rPr>
          <w:shd w:val="clear" w:color="auto" w:fill="FFFFFF"/>
        </w:rPr>
      </w:pPr>
    </w:p>
    <w:p w14:paraId="164230ED" w14:textId="77777777" w:rsidR="003B1AC1" w:rsidRPr="00A95C6C" w:rsidRDefault="003B1AC1" w:rsidP="003B1AC1">
      <w:pPr>
        <w:shd w:val="clear" w:color="auto" w:fill="FFFFFF"/>
        <w:ind w:hanging="330"/>
        <w:rPr>
          <w:color w:val="0D0D0D" w:themeColor="text1" w:themeTint="F2"/>
        </w:rPr>
      </w:pPr>
      <w:r w:rsidRPr="00A95C6C">
        <w:rPr>
          <w:color w:val="0D0D0D" w:themeColor="text1" w:themeTint="F2"/>
        </w:rPr>
        <w:t xml:space="preserve">White, L. R. (2012). The Function of Ethnicity, Income Level, and Menstrual Taboos in </w:t>
      </w:r>
      <w:proofErr w:type="spellStart"/>
      <w:r w:rsidRPr="00A95C6C">
        <w:rPr>
          <w:color w:val="0D0D0D" w:themeColor="text1" w:themeTint="F2"/>
        </w:rPr>
        <w:t>Postmenarcheal</w:t>
      </w:r>
      <w:proofErr w:type="spellEnd"/>
      <w:r w:rsidRPr="00A95C6C">
        <w:rPr>
          <w:color w:val="0D0D0D" w:themeColor="text1" w:themeTint="F2"/>
        </w:rPr>
        <w:t xml:space="preserve"> Adolescents’ Understanding of Menarche and Menstruation. </w:t>
      </w:r>
      <w:r w:rsidRPr="00A95C6C">
        <w:rPr>
          <w:i/>
          <w:iCs/>
          <w:color w:val="0D0D0D" w:themeColor="text1" w:themeTint="F2"/>
        </w:rPr>
        <w:t>Sex Roles,68</w:t>
      </w:r>
      <w:r w:rsidRPr="00A95C6C">
        <w:rPr>
          <w:color w:val="0D0D0D" w:themeColor="text1" w:themeTint="F2"/>
        </w:rPr>
        <w:t>(1-2), 65-76. doi:10.1007/s11199-012-0166-y</w:t>
      </w:r>
    </w:p>
    <w:p w14:paraId="045BA987" w14:textId="77777777" w:rsidR="003B1AC1" w:rsidRPr="00A95C6C" w:rsidRDefault="003B1AC1" w:rsidP="003B1AC1">
      <w:pPr>
        <w:shd w:val="clear" w:color="auto" w:fill="FFFFFF"/>
        <w:spacing w:line="276" w:lineRule="auto"/>
        <w:rPr>
          <w:shd w:val="clear" w:color="auto" w:fill="FFFFFF"/>
        </w:rPr>
      </w:pPr>
    </w:p>
    <w:p w14:paraId="4B8340B6" w14:textId="77777777" w:rsidR="003B1AC1" w:rsidRPr="00A95C6C" w:rsidRDefault="003B1AC1" w:rsidP="003B1AC1">
      <w:pPr>
        <w:shd w:val="clear" w:color="auto" w:fill="FFFFFF"/>
        <w:ind w:hanging="330"/>
        <w:rPr>
          <w:rStyle w:val="Hyperlink"/>
          <w:color w:val="0D0D0D" w:themeColor="text1" w:themeTint="F2"/>
        </w:rPr>
      </w:pPr>
      <w:r w:rsidRPr="00A95C6C">
        <w:rPr>
          <w:color w:val="0D0D0D" w:themeColor="text1" w:themeTint="F2"/>
        </w:rPr>
        <w:t>WHO. (2015). </w:t>
      </w:r>
      <w:r w:rsidRPr="00A95C6C">
        <w:rPr>
          <w:i/>
          <w:iCs/>
          <w:color w:val="0D0D0D" w:themeColor="text1" w:themeTint="F2"/>
        </w:rPr>
        <w:t>Sexual health, human rights and the law</w:t>
      </w:r>
      <w:r w:rsidRPr="00A95C6C">
        <w:rPr>
          <w:color w:val="0D0D0D" w:themeColor="text1" w:themeTint="F2"/>
        </w:rPr>
        <w:t>. Geneva: World Health Organization.</w:t>
      </w:r>
    </w:p>
    <w:p w14:paraId="05566774" w14:textId="77777777" w:rsidR="003B1AC1" w:rsidRPr="00A95C6C" w:rsidRDefault="003B1AC1" w:rsidP="003B1AC1">
      <w:pPr>
        <w:shd w:val="clear" w:color="auto" w:fill="FFFFFF"/>
        <w:spacing w:line="276" w:lineRule="auto"/>
        <w:ind w:hanging="330"/>
        <w:rPr>
          <w:rStyle w:val="Hyperlink"/>
        </w:rPr>
      </w:pPr>
    </w:p>
    <w:p w14:paraId="5ECB7EBE" w14:textId="77777777" w:rsidR="003B1AC1" w:rsidRDefault="003B1AC1" w:rsidP="003B1AC1">
      <w:pPr>
        <w:shd w:val="clear" w:color="auto" w:fill="FFFFFF"/>
        <w:spacing w:line="276" w:lineRule="auto"/>
        <w:ind w:hanging="330"/>
        <w:rPr>
          <w:shd w:val="clear" w:color="auto" w:fill="FFFFFF"/>
        </w:rPr>
      </w:pPr>
      <w:r w:rsidRPr="00A95C6C">
        <w:t xml:space="preserve">Wilbur, J., Hameed, S., &amp; </w:t>
      </w:r>
      <w:proofErr w:type="spellStart"/>
      <w:r w:rsidRPr="00A95C6C">
        <w:t>Kuper</w:t>
      </w:r>
      <w:proofErr w:type="spellEnd"/>
      <w:r w:rsidRPr="00A95C6C">
        <w:t xml:space="preserve">, H. (2019). Systematic review of menstrual hygiene management requirements, its barriers and strategies for disabled people. </w:t>
      </w:r>
      <w:proofErr w:type="spellStart"/>
      <w:r w:rsidRPr="00A95C6C">
        <w:rPr>
          <w:i/>
          <w:iCs/>
        </w:rPr>
        <w:t>PLoS</w:t>
      </w:r>
      <w:proofErr w:type="spellEnd"/>
      <w:r w:rsidRPr="00A95C6C">
        <w:rPr>
          <w:i/>
          <w:iCs/>
        </w:rPr>
        <w:t xml:space="preserve"> One, </w:t>
      </w:r>
      <w:r w:rsidRPr="00A95C6C">
        <w:t xml:space="preserve">14(2) </w:t>
      </w:r>
      <w:r w:rsidRPr="00A95C6C">
        <w:rPr>
          <w:shd w:val="clear" w:color="auto" w:fill="FFFFFF"/>
        </w:rPr>
        <w:t>doi:http://dx.doi.org.ezproxy.library.ubc.ca/10.1371/journal.pone.0210974</w:t>
      </w:r>
    </w:p>
    <w:p w14:paraId="3FCA224E" w14:textId="77777777" w:rsidR="003B1AC1" w:rsidRDefault="003B1AC1" w:rsidP="003B1AC1">
      <w:pPr>
        <w:shd w:val="clear" w:color="auto" w:fill="FFFFFF"/>
        <w:spacing w:line="276" w:lineRule="auto"/>
        <w:ind w:hanging="330"/>
        <w:rPr>
          <w:shd w:val="clear" w:color="auto" w:fill="FFFFFF"/>
        </w:rPr>
      </w:pPr>
    </w:p>
    <w:p w14:paraId="4892D7A9" w14:textId="77777777" w:rsidR="003B1AC1" w:rsidRDefault="003B1AC1" w:rsidP="003B1AC1">
      <w:pPr>
        <w:shd w:val="clear" w:color="auto" w:fill="FFFFFF"/>
        <w:spacing w:line="276" w:lineRule="auto"/>
        <w:ind w:hanging="330"/>
        <w:rPr>
          <w:shd w:val="clear" w:color="auto" w:fill="FFFFFF"/>
        </w:rPr>
      </w:pPr>
      <w:r w:rsidRPr="00124280">
        <w:rPr>
          <w:color w:val="000000" w:themeColor="text1"/>
          <w:shd w:val="clear" w:color="auto" w:fill="FFFFFF"/>
        </w:rPr>
        <w:t xml:space="preserve">Williams, M. (2018). For women of colour, there's a gap within the pay gap. Retrieved from </w:t>
      </w:r>
      <w:hyperlink r:id="rId66" w:history="1">
        <w:r w:rsidRPr="00E250F9">
          <w:rPr>
            <w:rStyle w:val="Hyperlink"/>
            <w:shd w:val="clear" w:color="auto" w:fill="FFFFFF"/>
          </w:rPr>
          <w:t>https://www.macleans.ca/opinion/for-women-of-colour-theres-a-gap-within-the-pay-gap/</w:t>
        </w:r>
      </w:hyperlink>
    </w:p>
    <w:p w14:paraId="4468599E" w14:textId="77777777" w:rsidR="003B1AC1" w:rsidRPr="00A95C6C" w:rsidRDefault="003B1AC1" w:rsidP="003B1AC1">
      <w:pPr>
        <w:shd w:val="clear" w:color="auto" w:fill="FFFFFF"/>
        <w:spacing w:line="276" w:lineRule="auto"/>
        <w:rPr>
          <w:shd w:val="clear" w:color="auto" w:fill="FFFFFF"/>
        </w:rPr>
      </w:pPr>
    </w:p>
    <w:p w14:paraId="7242D976" w14:textId="77777777" w:rsidR="003B1AC1" w:rsidRPr="00A95C6C" w:rsidRDefault="003B1AC1" w:rsidP="003B1AC1">
      <w:pPr>
        <w:shd w:val="clear" w:color="auto" w:fill="FFFFFF"/>
        <w:spacing w:line="276" w:lineRule="auto"/>
        <w:ind w:hanging="330"/>
        <w:rPr>
          <w:shd w:val="clear" w:color="auto" w:fill="FFFFFF"/>
        </w:rPr>
      </w:pPr>
      <w:r w:rsidRPr="00A95C6C">
        <w:t xml:space="preserve">Winkler, Inga. (2019). Human Rights Shine a Light on Unmet Menstrual Health Needs and Menstruation at the Margins. Obstetrics &amp; Gynecology, 133, 235-237. </w:t>
      </w:r>
      <w:hyperlink r:id="rId67" w:history="1">
        <w:r w:rsidRPr="00A95C6C">
          <w:rPr>
            <w:rStyle w:val="Hyperlink"/>
          </w:rPr>
          <w:t>https://doi.org/10.1097/AOG.0000000000003098</w:t>
        </w:r>
      </w:hyperlink>
    </w:p>
    <w:p w14:paraId="099D869F" w14:textId="77777777" w:rsidR="003B1AC1" w:rsidRPr="00A95C6C" w:rsidRDefault="003B1AC1" w:rsidP="003B1AC1">
      <w:pPr>
        <w:shd w:val="clear" w:color="auto" w:fill="FFFFFF"/>
        <w:spacing w:line="276" w:lineRule="auto"/>
        <w:rPr>
          <w:rStyle w:val="Hyperlink"/>
          <w:shd w:val="clear" w:color="auto" w:fill="FFFFFF"/>
        </w:rPr>
      </w:pPr>
    </w:p>
    <w:p w14:paraId="7B4233E3" w14:textId="77777777" w:rsidR="003B1AC1" w:rsidRPr="00A95C6C" w:rsidRDefault="003B1AC1" w:rsidP="003B1AC1">
      <w:pPr>
        <w:shd w:val="clear" w:color="auto" w:fill="FFFFFF"/>
        <w:spacing w:line="276" w:lineRule="auto"/>
        <w:ind w:hanging="330"/>
        <w:rPr>
          <w:i/>
          <w:iCs/>
          <w:shd w:val="clear" w:color="auto" w:fill="FFFFFF"/>
        </w:rPr>
      </w:pPr>
      <w:r w:rsidRPr="00A95C6C">
        <w:rPr>
          <w:shd w:val="clear" w:color="auto" w:fill="FFFFFF"/>
        </w:rPr>
        <w:t xml:space="preserve">Wood. E.M. (2009). Capitalism and social rights. </w:t>
      </w:r>
      <w:r w:rsidRPr="00A95C6C">
        <w:rPr>
          <w:i/>
          <w:iCs/>
          <w:shd w:val="clear" w:color="auto" w:fill="FFFFFF"/>
        </w:rPr>
        <w:t xml:space="preserve">Solidarity. </w:t>
      </w:r>
    </w:p>
    <w:p w14:paraId="2E05563D" w14:textId="77777777" w:rsidR="003B1AC1" w:rsidRPr="00A95C6C" w:rsidRDefault="003B1AC1" w:rsidP="00BA12AE">
      <w:pPr>
        <w:shd w:val="clear" w:color="auto" w:fill="FFFFFF"/>
        <w:spacing w:line="276" w:lineRule="auto"/>
        <w:rPr>
          <w:shd w:val="clear" w:color="auto" w:fill="FFFFFF"/>
        </w:rPr>
      </w:pPr>
    </w:p>
    <w:p w14:paraId="1DCA285F" w14:textId="77777777" w:rsidR="003B1AC1" w:rsidRPr="00A95C6C" w:rsidRDefault="003B1AC1" w:rsidP="003B1AC1">
      <w:pPr>
        <w:shd w:val="clear" w:color="auto" w:fill="FFFFFF"/>
        <w:ind w:hanging="330"/>
        <w:rPr>
          <w:color w:val="323232"/>
        </w:rPr>
      </w:pPr>
      <w:r w:rsidRPr="00A95C6C">
        <w:rPr>
          <w:color w:val="000000" w:themeColor="text1"/>
        </w:rPr>
        <w:t xml:space="preserve">Yan, H. (2015). Donald Trump's 'blood' comment about Megyn Kelly draws outrage - CNN Politics. Retrieved from </w:t>
      </w:r>
      <w:hyperlink r:id="rId68" w:history="1">
        <w:r w:rsidRPr="00A95C6C">
          <w:rPr>
            <w:rStyle w:val="Hyperlink"/>
          </w:rPr>
          <w:t>https://www.cnn.com/2015/08/08/politics/donald-trump-cnn-megyn-kelly-comment/index.html</w:t>
        </w:r>
      </w:hyperlink>
    </w:p>
    <w:p w14:paraId="6F7B7F8D" w14:textId="77777777" w:rsidR="003B1AC1" w:rsidRPr="00A95C6C" w:rsidRDefault="003B1AC1" w:rsidP="003B1AC1">
      <w:pPr>
        <w:shd w:val="clear" w:color="auto" w:fill="FFFFFF"/>
        <w:ind w:hanging="330"/>
        <w:rPr>
          <w:color w:val="323232"/>
        </w:rPr>
      </w:pPr>
    </w:p>
    <w:p w14:paraId="6FD94984" w14:textId="77777777" w:rsidR="003B1AC1" w:rsidRDefault="003B1AC1" w:rsidP="003B1AC1">
      <w:pPr>
        <w:shd w:val="clear" w:color="auto" w:fill="FFFFFF"/>
        <w:ind w:hanging="330"/>
        <w:rPr>
          <w:shd w:val="clear" w:color="auto" w:fill="FFFFFF"/>
        </w:rPr>
      </w:pPr>
      <w:proofErr w:type="spellStart"/>
      <w:r w:rsidRPr="00A95C6C">
        <w:rPr>
          <w:shd w:val="clear" w:color="auto" w:fill="FFFFFF"/>
        </w:rPr>
        <w:t>Yazıcıoğlu</w:t>
      </w:r>
      <w:proofErr w:type="spellEnd"/>
      <w:r w:rsidRPr="00A95C6C">
        <w:rPr>
          <w:shd w:val="clear" w:color="auto" w:fill="FFFFFF"/>
        </w:rPr>
        <w:t>, A. E. (2018). Understanding the term ‘pink tax.’ </w:t>
      </w:r>
      <w:r w:rsidRPr="00A95C6C">
        <w:rPr>
          <w:i/>
          <w:iCs/>
          <w:shd w:val="clear" w:color="auto" w:fill="FFFFFF"/>
        </w:rPr>
        <w:t>Pink Tax and the Law</w:t>
      </w:r>
      <w:r w:rsidRPr="00A95C6C">
        <w:rPr>
          <w:shd w:val="clear" w:color="auto" w:fill="FFFFFF"/>
        </w:rPr>
        <w:t xml:space="preserve">, 7–14. </w:t>
      </w:r>
      <w:proofErr w:type="spellStart"/>
      <w:r w:rsidRPr="00A95C6C">
        <w:rPr>
          <w:shd w:val="clear" w:color="auto" w:fill="FFFFFF"/>
        </w:rPr>
        <w:t>doi</w:t>
      </w:r>
      <w:proofErr w:type="spellEnd"/>
      <w:r w:rsidRPr="00A95C6C">
        <w:rPr>
          <w:shd w:val="clear" w:color="auto" w:fill="FFFFFF"/>
        </w:rPr>
        <w:t>: 10.4324/9780429486975-3</w:t>
      </w:r>
    </w:p>
    <w:p w14:paraId="7DE6528C" w14:textId="77777777" w:rsidR="003B1AC1" w:rsidRPr="00A95C6C" w:rsidRDefault="003B1AC1" w:rsidP="003B1AC1">
      <w:pPr>
        <w:shd w:val="clear" w:color="auto" w:fill="FFFFFF"/>
        <w:rPr>
          <w:color w:val="323232"/>
        </w:rPr>
      </w:pPr>
    </w:p>
    <w:p w14:paraId="07F9BFF8" w14:textId="77777777" w:rsidR="003B1AC1" w:rsidRPr="00A95C6C" w:rsidRDefault="003B1AC1" w:rsidP="003B1AC1">
      <w:pPr>
        <w:shd w:val="clear" w:color="auto" w:fill="FFFFFF"/>
        <w:ind w:hanging="330"/>
        <w:rPr>
          <w:color w:val="323232"/>
        </w:rPr>
      </w:pPr>
      <w:proofErr w:type="spellStart"/>
      <w:r w:rsidRPr="00A95C6C">
        <w:rPr>
          <w:shd w:val="clear" w:color="auto" w:fill="FFFFFF"/>
        </w:rPr>
        <w:t>Zivi</w:t>
      </w:r>
      <w:proofErr w:type="spellEnd"/>
      <w:r w:rsidRPr="00A95C6C">
        <w:rPr>
          <w:shd w:val="clear" w:color="auto" w:fill="FFFFFF"/>
        </w:rPr>
        <w:t>, K. (2020). Hiding in Public or Going with the Flow: Human Rights, Human Dignity, and the Movement for Menstrual Equity. </w:t>
      </w:r>
      <w:r w:rsidRPr="00A95C6C">
        <w:rPr>
          <w:i/>
          <w:iCs/>
          <w:shd w:val="clear" w:color="auto" w:fill="FFFFFF"/>
        </w:rPr>
        <w:t>Human Rights Quarterly</w:t>
      </w:r>
      <w:r w:rsidRPr="00A95C6C">
        <w:rPr>
          <w:shd w:val="clear" w:color="auto" w:fill="FFFFFF"/>
        </w:rPr>
        <w:t>, </w:t>
      </w:r>
      <w:r w:rsidRPr="00A95C6C">
        <w:rPr>
          <w:i/>
          <w:iCs/>
          <w:shd w:val="clear" w:color="auto" w:fill="FFFFFF"/>
        </w:rPr>
        <w:t>42</w:t>
      </w:r>
      <w:r w:rsidRPr="00A95C6C">
        <w:rPr>
          <w:shd w:val="clear" w:color="auto" w:fill="FFFFFF"/>
        </w:rPr>
        <w:t xml:space="preserve">(1), 119–144. </w:t>
      </w:r>
      <w:proofErr w:type="spellStart"/>
      <w:r w:rsidRPr="00A95C6C">
        <w:rPr>
          <w:shd w:val="clear" w:color="auto" w:fill="FFFFFF"/>
        </w:rPr>
        <w:t>doi</w:t>
      </w:r>
      <w:proofErr w:type="spellEnd"/>
      <w:r w:rsidRPr="00A95C6C">
        <w:rPr>
          <w:shd w:val="clear" w:color="auto" w:fill="FFFFFF"/>
        </w:rPr>
        <w:t>: 10.1353/hrq.2020.0003</w:t>
      </w:r>
    </w:p>
    <w:p w14:paraId="1346515B" w14:textId="77777777" w:rsidR="003B1AC1" w:rsidRPr="00305928" w:rsidRDefault="003B1AC1" w:rsidP="003B1AC1">
      <w:pPr>
        <w:shd w:val="clear" w:color="auto" w:fill="FFFFFF"/>
        <w:ind w:hanging="330"/>
        <w:rPr>
          <w:shd w:val="clear" w:color="auto" w:fill="FFFFFF"/>
        </w:rPr>
      </w:pPr>
    </w:p>
    <w:p w14:paraId="0BABD5BF" w14:textId="77777777" w:rsidR="003B1AC1" w:rsidRDefault="003B1AC1" w:rsidP="003B1AC1"/>
    <w:p w14:paraId="3DD9D31D" w14:textId="77777777" w:rsidR="003B1AC1" w:rsidRDefault="003B1AC1" w:rsidP="00F53219">
      <w:pPr>
        <w:spacing w:line="480" w:lineRule="auto"/>
        <w:ind w:firstLine="720"/>
      </w:pPr>
    </w:p>
    <w:sectPr w:rsidR="003B1AC1" w:rsidSect="002F1610">
      <w:footerReference w:type="even" r:id="rId69"/>
      <w:footerReference w:type="default" r:id="rId70"/>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87F9E7" w14:textId="77777777" w:rsidR="0089245F" w:rsidRDefault="0089245F" w:rsidP="00F53219">
      <w:r>
        <w:separator/>
      </w:r>
    </w:p>
  </w:endnote>
  <w:endnote w:type="continuationSeparator" w:id="0">
    <w:p w14:paraId="0148E99C" w14:textId="77777777" w:rsidR="0089245F" w:rsidRDefault="0089245F" w:rsidP="00F532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4724F4" w14:textId="77777777" w:rsidR="00AD6FB2" w:rsidRDefault="00AD6FB2" w:rsidP="001B4D4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0CC2BFDC" w14:textId="77777777" w:rsidR="00AD6FB2" w:rsidRDefault="00AD6FB2">
    <w:pPr>
      <w:pStyle w:val="Footer"/>
      <w:ind w:right="360"/>
      <w:pPrChange w:id="1" w:author="Anonyme" w:date="2021-05-06T11:21:00Z">
        <w:pPr>
          <w:pStyle w:val="Footer"/>
        </w:pPr>
      </w:pPrChan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9C80A1" w14:textId="77777777" w:rsidR="00AD6FB2" w:rsidRDefault="00AD6FB2" w:rsidP="001B4D4B">
    <w:pPr>
      <w:pStyle w:val="Foot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9E395B">
      <w:rPr>
        <w:rStyle w:val="PageNumber"/>
        <w:noProof/>
      </w:rPr>
      <w:t>55</w:t>
    </w:r>
    <w:r>
      <w:rPr>
        <w:rStyle w:val="PageNumber"/>
      </w:rPr>
      <w:fldChar w:fldCharType="end"/>
    </w:r>
  </w:p>
  <w:p w14:paraId="3E24AA0D" w14:textId="77777777" w:rsidR="00AD6FB2" w:rsidRDefault="00AD6FB2" w:rsidP="008A70AB">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683A67" w14:textId="77777777" w:rsidR="0089245F" w:rsidRDefault="0089245F" w:rsidP="00F53219">
      <w:r>
        <w:separator/>
      </w:r>
    </w:p>
  </w:footnote>
  <w:footnote w:type="continuationSeparator" w:id="0">
    <w:p w14:paraId="3DA4A9A3" w14:textId="77777777" w:rsidR="0089245F" w:rsidRDefault="0089245F" w:rsidP="00F53219">
      <w:r>
        <w:continuationSeparator/>
      </w:r>
    </w:p>
  </w:footnote>
  <w:footnote w:id="1">
    <w:p w14:paraId="510FC5B2" w14:textId="77777777" w:rsidR="00F53219" w:rsidRDefault="00F53219" w:rsidP="00F53219">
      <w:pPr>
        <w:pStyle w:val="FootnoteText"/>
      </w:pPr>
      <w:r>
        <w:rPr>
          <w:rStyle w:val="FootnoteReference"/>
        </w:rPr>
        <w:footnoteRef/>
      </w:r>
      <w:r>
        <w:t xml:space="preserve"> </w:t>
      </w:r>
      <w:r w:rsidRPr="00B85678">
        <w:rPr>
          <w:rFonts w:ascii="Times New Roman" w:hAnsi="Times New Roman" w:cs="Times New Roman"/>
        </w:rPr>
        <w:t>I recognize that most people who menstruate identify as women, but I try to use gender neutral language throughout the paper where possible (</w:t>
      </w:r>
      <w:proofErr w:type="spellStart"/>
      <w:r w:rsidRPr="00B85678">
        <w:rPr>
          <w:rFonts w:ascii="Times New Roman" w:hAnsi="Times New Roman" w:cs="Times New Roman"/>
        </w:rPr>
        <w:t>ie</w:t>
      </w:r>
      <w:proofErr w:type="spellEnd"/>
      <w:r w:rsidRPr="00B85678">
        <w:rPr>
          <w:rFonts w:ascii="Times New Roman" w:hAnsi="Times New Roman" w:cs="Times New Roman"/>
        </w:rPr>
        <w:t>. menstruators vs women/girls). Most people who menstruate use the word vagina to describe that part of the body, but some people who menstruate may use different words for it. Since trans menstruation is a relatively new discourse, most menstrual data collected specifically includes women and girls, so I maintain the gendered language. It is also important to note that the stigma surrounding menstruation is about femininity, so in some instances, I chose to keep gendered language to highlight the discrimination.</w:t>
      </w:r>
      <w:r>
        <w:t xml:space="preserve"> </w:t>
      </w:r>
    </w:p>
  </w:footnote>
  <w:footnote w:id="2">
    <w:p w14:paraId="67118DEF" w14:textId="77777777" w:rsidR="002C0CCD" w:rsidRDefault="002C0CCD" w:rsidP="002C0CCD">
      <w:pPr>
        <w:pStyle w:val="FootnoteText"/>
      </w:pPr>
      <w:r>
        <w:rPr>
          <w:rStyle w:val="FootnoteReference"/>
        </w:rPr>
        <w:footnoteRef/>
      </w:r>
      <w:r>
        <w:t xml:space="preserve"> </w:t>
      </w:r>
      <w:r w:rsidRPr="005B6F71">
        <w:rPr>
          <w:rFonts w:ascii="Times New Roman" w:hAnsi="Times New Roman" w:cs="Times New Roman"/>
        </w:rPr>
        <w:t>In departure from a women-centered lens, radical period poverty transformation is refusing to speak of men</w:t>
      </w:r>
      <w:r>
        <w:rPr>
          <w:rFonts w:ascii="Times New Roman" w:hAnsi="Times New Roman" w:cs="Times New Roman"/>
        </w:rPr>
        <w:t>struation uniquely as a cis woma</w:t>
      </w:r>
      <w:r w:rsidRPr="005B6F71">
        <w:rPr>
          <w:rFonts w:ascii="Times New Roman" w:hAnsi="Times New Roman" w:cs="Times New Roman"/>
        </w:rPr>
        <w:t xml:space="preserve">n’s experience. It is seeking to challenge the gender binary by exemplifying that </w:t>
      </w:r>
      <w:r w:rsidRPr="005B6F71">
        <w:rPr>
          <w:rFonts w:ascii="Times New Roman" w:hAnsi="Times New Roman" w:cs="Times New Roman"/>
          <w:color w:val="000000" w:themeColor="text1"/>
        </w:rPr>
        <w:t xml:space="preserve">not all women menstruate and not all people who menstruate are women. As much as stigma affects girls and women for menstruating, there is mistreatment towards trans women for not having a period and disparaging them as “not real women.” </w:t>
      </w:r>
      <w:r>
        <w:rPr>
          <w:rFonts w:ascii="Times New Roman" w:hAnsi="Times New Roman" w:cs="Times New Roman"/>
          <w:color w:val="000000" w:themeColor="text1"/>
        </w:rPr>
        <w:t>Similarly, menstruation causes many different forms of challenge for</w:t>
      </w:r>
      <w:r w:rsidRPr="005B6F71">
        <w:rPr>
          <w:rFonts w:ascii="Times New Roman" w:hAnsi="Times New Roman" w:cs="Times New Roman"/>
          <w:color w:val="000000" w:themeColor="text1"/>
        </w:rPr>
        <w:t xml:space="preserve"> trans men </w:t>
      </w:r>
      <w:r>
        <w:rPr>
          <w:rFonts w:ascii="Times New Roman" w:hAnsi="Times New Roman" w:cs="Times New Roman"/>
          <w:color w:val="000000" w:themeColor="text1"/>
        </w:rPr>
        <w:t xml:space="preserve">and non-binary people.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B000837"/>
    <w:multiLevelType w:val="hybridMultilevel"/>
    <w:tmpl w:val="86C820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6"/>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3219"/>
    <w:rsid w:val="000B40E6"/>
    <w:rsid w:val="000C0056"/>
    <w:rsid w:val="0021000A"/>
    <w:rsid w:val="00210042"/>
    <w:rsid w:val="002A2CA5"/>
    <w:rsid w:val="002B6772"/>
    <w:rsid w:val="002C0CCD"/>
    <w:rsid w:val="002D2915"/>
    <w:rsid w:val="002E692A"/>
    <w:rsid w:val="002F1610"/>
    <w:rsid w:val="00300C6F"/>
    <w:rsid w:val="00312312"/>
    <w:rsid w:val="00347279"/>
    <w:rsid w:val="003B1AC1"/>
    <w:rsid w:val="003C367D"/>
    <w:rsid w:val="003C3CEC"/>
    <w:rsid w:val="00405911"/>
    <w:rsid w:val="004B6753"/>
    <w:rsid w:val="00510A5E"/>
    <w:rsid w:val="005E7068"/>
    <w:rsid w:val="006822C1"/>
    <w:rsid w:val="00692EEA"/>
    <w:rsid w:val="00744FF2"/>
    <w:rsid w:val="0075256E"/>
    <w:rsid w:val="00824B03"/>
    <w:rsid w:val="0089245F"/>
    <w:rsid w:val="008A70AB"/>
    <w:rsid w:val="009E395B"/>
    <w:rsid w:val="00A028A1"/>
    <w:rsid w:val="00AD6FB2"/>
    <w:rsid w:val="00BA12AE"/>
    <w:rsid w:val="00BA606E"/>
    <w:rsid w:val="00BC500D"/>
    <w:rsid w:val="00BD7E82"/>
    <w:rsid w:val="00BE39EE"/>
    <w:rsid w:val="00C15EFC"/>
    <w:rsid w:val="00C63D94"/>
    <w:rsid w:val="00DE57D9"/>
    <w:rsid w:val="00DF1D66"/>
    <w:rsid w:val="00E02F9F"/>
    <w:rsid w:val="00EA1E10"/>
    <w:rsid w:val="00EC066A"/>
    <w:rsid w:val="00F53219"/>
    <w:rsid w:val="00F730B7"/>
    <w:rsid w:val="00FB4D3B"/>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1AC2FC91"/>
  <w15:chartTrackingRefBased/>
  <w15:docId w15:val="{11D47B4F-271B-6A41-AE41-76C0CD308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53219"/>
    <w:rPr>
      <w:rFonts w:ascii="Times New Roman" w:eastAsia="Times New Roman" w:hAnsi="Times New Roman"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F53219"/>
    <w:rPr>
      <w:sz w:val="16"/>
      <w:szCs w:val="16"/>
    </w:rPr>
  </w:style>
  <w:style w:type="paragraph" w:styleId="ListParagraph">
    <w:name w:val="List Paragraph"/>
    <w:basedOn w:val="Normal"/>
    <w:uiPriority w:val="34"/>
    <w:qFormat/>
    <w:rsid w:val="00F53219"/>
    <w:pPr>
      <w:ind w:left="720"/>
      <w:contextualSpacing/>
    </w:pPr>
    <w:rPr>
      <w:rFonts w:asciiTheme="minorHAnsi" w:eastAsiaTheme="minorHAnsi" w:hAnsiTheme="minorHAnsi" w:cstheme="minorBidi"/>
    </w:rPr>
  </w:style>
  <w:style w:type="character" w:customStyle="1" w:styleId="apple-converted-space">
    <w:name w:val="apple-converted-space"/>
    <w:basedOn w:val="DefaultParagraphFont"/>
    <w:rsid w:val="00F53219"/>
  </w:style>
  <w:style w:type="paragraph" w:styleId="FootnoteText">
    <w:name w:val="footnote text"/>
    <w:basedOn w:val="Normal"/>
    <w:link w:val="FootnoteTextChar"/>
    <w:uiPriority w:val="99"/>
    <w:semiHidden/>
    <w:unhideWhenUsed/>
    <w:rsid w:val="00F53219"/>
    <w:rPr>
      <w:rFonts w:asciiTheme="minorHAnsi" w:eastAsia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F53219"/>
    <w:rPr>
      <w:sz w:val="20"/>
      <w:szCs w:val="20"/>
    </w:rPr>
  </w:style>
  <w:style w:type="character" w:styleId="FootnoteReference">
    <w:name w:val="footnote reference"/>
    <w:basedOn w:val="DefaultParagraphFont"/>
    <w:uiPriority w:val="99"/>
    <w:semiHidden/>
    <w:unhideWhenUsed/>
    <w:rsid w:val="00F53219"/>
    <w:rPr>
      <w:vertAlign w:val="superscript"/>
    </w:rPr>
  </w:style>
  <w:style w:type="character" w:styleId="Hyperlink">
    <w:name w:val="Hyperlink"/>
    <w:basedOn w:val="DefaultParagraphFont"/>
    <w:uiPriority w:val="99"/>
    <w:unhideWhenUsed/>
    <w:rsid w:val="003B1AC1"/>
    <w:rPr>
      <w:color w:val="0000FF"/>
      <w:u w:val="single"/>
    </w:rPr>
  </w:style>
  <w:style w:type="character" w:styleId="FollowedHyperlink">
    <w:name w:val="FollowedHyperlink"/>
    <w:basedOn w:val="DefaultParagraphFont"/>
    <w:uiPriority w:val="99"/>
    <w:semiHidden/>
    <w:unhideWhenUsed/>
    <w:rsid w:val="00300C6F"/>
    <w:rPr>
      <w:color w:val="954F72" w:themeColor="followedHyperlink"/>
      <w:u w:val="single"/>
    </w:rPr>
  </w:style>
  <w:style w:type="character" w:customStyle="1" w:styleId="UnresolvedMention1">
    <w:name w:val="Unresolved Mention1"/>
    <w:basedOn w:val="DefaultParagraphFont"/>
    <w:uiPriority w:val="99"/>
    <w:semiHidden/>
    <w:unhideWhenUsed/>
    <w:rsid w:val="00300C6F"/>
    <w:rPr>
      <w:color w:val="605E5C"/>
      <w:shd w:val="clear" w:color="auto" w:fill="E1DFDD"/>
    </w:rPr>
  </w:style>
  <w:style w:type="paragraph" w:styleId="CommentText">
    <w:name w:val="annotation text"/>
    <w:basedOn w:val="Normal"/>
    <w:link w:val="CommentTextChar"/>
    <w:uiPriority w:val="99"/>
    <w:semiHidden/>
    <w:unhideWhenUsed/>
    <w:rsid w:val="005E7068"/>
  </w:style>
  <w:style w:type="character" w:customStyle="1" w:styleId="CommentTextChar">
    <w:name w:val="Comment Text Char"/>
    <w:basedOn w:val="DefaultParagraphFont"/>
    <w:link w:val="CommentText"/>
    <w:uiPriority w:val="99"/>
    <w:semiHidden/>
    <w:rsid w:val="005E7068"/>
    <w:rPr>
      <w:rFonts w:ascii="Times New Roman" w:eastAsia="Times New Roman" w:hAnsi="Times New Roman" w:cs="Times New Roman"/>
    </w:rPr>
  </w:style>
  <w:style w:type="paragraph" w:styleId="CommentSubject">
    <w:name w:val="annotation subject"/>
    <w:basedOn w:val="CommentText"/>
    <w:next w:val="CommentText"/>
    <w:link w:val="CommentSubjectChar"/>
    <w:uiPriority w:val="99"/>
    <w:semiHidden/>
    <w:unhideWhenUsed/>
    <w:rsid w:val="005E7068"/>
    <w:rPr>
      <w:b/>
      <w:bCs/>
      <w:sz w:val="20"/>
      <w:szCs w:val="20"/>
    </w:rPr>
  </w:style>
  <w:style w:type="character" w:customStyle="1" w:styleId="CommentSubjectChar">
    <w:name w:val="Comment Subject Char"/>
    <w:basedOn w:val="CommentTextChar"/>
    <w:link w:val="CommentSubject"/>
    <w:uiPriority w:val="99"/>
    <w:semiHidden/>
    <w:rsid w:val="005E7068"/>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5E7068"/>
    <w:rPr>
      <w:sz w:val="18"/>
      <w:szCs w:val="18"/>
    </w:rPr>
  </w:style>
  <w:style w:type="character" w:customStyle="1" w:styleId="BalloonTextChar">
    <w:name w:val="Balloon Text Char"/>
    <w:basedOn w:val="DefaultParagraphFont"/>
    <w:link w:val="BalloonText"/>
    <w:uiPriority w:val="99"/>
    <w:semiHidden/>
    <w:rsid w:val="005E7068"/>
    <w:rPr>
      <w:rFonts w:ascii="Times New Roman" w:eastAsia="Times New Roman" w:hAnsi="Times New Roman" w:cs="Times New Roman"/>
      <w:sz w:val="18"/>
      <w:szCs w:val="18"/>
    </w:rPr>
  </w:style>
  <w:style w:type="paragraph" w:styleId="Footer">
    <w:name w:val="footer"/>
    <w:basedOn w:val="Normal"/>
    <w:link w:val="FooterChar"/>
    <w:uiPriority w:val="99"/>
    <w:unhideWhenUsed/>
    <w:rsid w:val="00AD6FB2"/>
    <w:pPr>
      <w:tabs>
        <w:tab w:val="center" w:pos="4680"/>
        <w:tab w:val="right" w:pos="9360"/>
      </w:tabs>
    </w:pPr>
  </w:style>
  <w:style w:type="character" w:customStyle="1" w:styleId="FooterChar">
    <w:name w:val="Footer Char"/>
    <w:basedOn w:val="DefaultParagraphFont"/>
    <w:link w:val="Footer"/>
    <w:uiPriority w:val="99"/>
    <w:rsid w:val="00AD6FB2"/>
    <w:rPr>
      <w:rFonts w:ascii="Times New Roman" w:eastAsia="Times New Roman" w:hAnsi="Times New Roman" w:cs="Times New Roman"/>
    </w:rPr>
  </w:style>
  <w:style w:type="character" w:styleId="PageNumber">
    <w:name w:val="page number"/>
    <w:basedOn w:val="DefaultParagraphFont"/>
    <w:uiPriority w:val="99"/>
    <w:semiHidden/>
    <w:unhideWhenUsed/>
    <w:rsid w:val="00AD6FB2"/>
  </w:style>
  <w:style w:type="paragraph" w:styleId="Revision">
    <w:name w:val="Revision"/>
    <w:hidden/>
    <w:uiPriority w:val="99"/>
    <w:semiHidden/>
    <w:rsid w:val="002E692A"/>
    <w:rPr>
      <w:rFonts w:ascii="Times New Roman" w:eastAsia="Times New Roman" w:hAnsi="Times New Roman" w:cs="Times New Roman"/>
    </w:rPr>
  </w:style>
  <w:style w:type="paragraph" w:styleId="Header">
    <w:name w:val="header"/>
    <w:basedOn w:val="Normal"/>
    <w:link w:val="HeaderChar"/>
    <w:uiPriority w:val="99"/>
    <w:unhideWhenUsed/>
    <w:rsid w:val="002E692A"/>
    <w:pPr>
      <w:tabs>
        <w:tab w:val="center" w:pos="4680"/>
        <w:tab w:val="right" w:pos="9360"/>
      </w:tabs>
    </w:pPr>
  </w:style>
  <w:style w:type="character" w:customStyle="1" w:styleId="HeaderChar">
    <w:name w:val="Header Char"/>
    <w:basedOn w:val="DefaultParagraphFont"/>
    <w:link w:val="Header"/>
    <w:uiPriority w:val="99"/>
    <w:rsid w:val="002E692A"/>
    <w:rPr>
      <w:rFonts w:ascii="Times New Roman" w:eastAsia="Times New Roman" w:hAnsi="Times New Roman" w:cs="Times New Roman"/>
    </w:rPr>
  </w:style>
  <w:style w:type="character" w:styleId="UnresolvedMention">
    <w:name w:val="Unresolved Mention"/>
    <w:basedOn w:val="DefaultParagraphFont"/>
    <w:uiPriority w:val="99"/>
    <w:rsid w:val="008A70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38290618">
      <w:bodyDiv w:val="1"/>
      <w:marLeft w:val="0"/>
      <w:marRight w:val="0"/>
      <w:marTop w:val="0"/>
      <w:marBottom w:val="0"/>
      <w:divBdr>
        <w:top w:val="none" w:sz="0" w:space="0" w:color="auto"/>
        <w:left w:val="none" w:sz="0" w:space="0" w:color="auto"/>
        <w:bottom w:val="none" w:sz="0" w:space="0" w:color="auto"/>
        <w:right w:val="none" w:sz="0" w:space="0" w:color="auto"/>
      </w:divBdr>
    </w:div>
    <w:div w:id="807556225">
      <w:bodyDiv w:val="1"/>
      <w:marLeft w:val="0"/>
      <w:marRight w:val="0"/>
      <w:marTop w:val="0"/>
      <w:marBottom w:val="0"/>
      <w:divBdr>
        <w:top w:val="none" w:sz="0" w:space="0" w:color="auto"/>
        <w:left w:val="none" w:sz="0" w:space="0" w:color="auto"/>
        <w:bottom w:val="none" w:sz="0" w:space="0" w:color="auto"/>
        <w:right w:val="none" w:sz="0" w:space="0" w:color="auto"/>
      </w:divBdr>
    </w:div>
    <w:div w:id="14900987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150.statcan.gc.ca/n1/pub/11-402-x/2011000/chap/gov-gouv/gov-gouv-eng.htm" TargetMode="External"/><Relationship Id="rId21" Type="http://schemas.openxmlformats.org/officeDocument/2006/relationships/hyperlink" Target="https://globalnews.ca/news/4239800/canada-cost-of-menstrual-products/" TargetMode="External"/><Relationship Id="rId42" Type="http://schemas.openxmlformats.org/officeDocument/2006/relationships/hyperlink" Target="http://wtf.tw/ref/nussbaum.pdf" TargetMode="External"/><Relationship Id="rId47" Type="http://schemas.openxmlformats.org/officeDocument/2006/relationships/hyperlink" Target="https://www.schulich.uwo.ca/rapport/2020/topical/period_poverty.html" TargetMode="External"/><Relationship Id="rId63" Type="http://schemas.openxmlformats.org/officeDocument/2006/relationships/hyperlink" Target="https://www.ohchr.org/en/issues/SDGS/pages/the2030agenda.aspx" TargetMode="External"/><Relationship Id="rId68" Type="http://schemas.openxmlformats.org/officeDocument/2006/relationships/hyperlink" Target="https://www.cnn.com/2015/08/08/politics/donald-trump-cnn-megyn-kelly-comment/index.html" TargetMode="External"/><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snews.com/entertainment/film/pandora-s-box-documents-the-global-stigma-attached-to-menstruation-1.24029598" TargetMode="External"/><Relationship Id="rId29" Type="http://schemas.openxmlformats.org/officeDocument/2006/relationships/hyperlink" Target="https://www.washingtonpost.com/news/post-politics/wp/2015/12/21/donald-trump-calls-hillary-clinton-disgusting-for-using-the-restroom-during-a-debate/" TargetMode="External"/><Relationship Id="rId11" Type="http://schemas.openxmlformats.org/officeDocument/2006/relationships/hyperlink" Target="http://www.canadianmenstruators.ca/" TargetMode="External"/><Relationship Id="rId24" Type="http://schemas.openxmlformats.org/officeDocument/2006/relationships/hyperlink" Target="https://www.globalgoals.org/5-gender-equality" TargetMode="External"/><Relationship Id="rId32" Type="http://schemas.openxmlformats.org/officeDocument/2006/relationships/hyperlink" Target="http://theconversation.com/does-gender-equality-suffer-when-women-get-menstrual-leave-55710" TargetMode="External"/><Relationship Id="rId37" Type="http://schemas.openxmlformats.org/officeDocument/2006/relationships/hyperlink" Target="https://www.vice.com/en_ca/article/ez8g87/the-women-trying-to-make-periods-more-affordable-in-northern-indigenous-communities" TargetMode="External"/><Relationship Id="rId40" Type="http://schemas.openxmlformats.org/officeDocument/2006/relationships/hyperlink" Target="https://broadview.org/period-poverty-is-a-serious-issue-in-canada/" TargetMode="External"/><Relationship Id="rId45" Type="http://schemas.openxmlformats.org/officeDocument/2006/relationships/hyperlink" Target="https://www.bbc.com/news/world-asia-india-51504992" TargetMode="External"/><Relationship Id="rId53" Type="http://schemas.openxmlformats.org/officeDocument/2006/relationships/hyperlink" Target="https://www.girlsglobe.org/2020/01/15/the-global-movement-against-the-tampon-tax/" TargetMode="External"/><Relationship Id="rId58" Type="http://schemas.openxmlformats.org/officeDocument/2006/relationships/hyperlink" Target="https://clas.osu.edu/sites/clas.osu.edu/files/Tuck%20and%20Yang%202012%20Decolonization%20is%20not%20a%20metaphor.pdf" TargetMode="External"/><Relationship Id="rId66" Type="http://schemas.openxmlformats.org/officeDocument/2006/relationships/hyperlink" Target="https://www.macleans.ca/opinion/for-women-of-colour-theres-a-gap-within-the-pay-gap/" TargetMode="External"/><Relationship Id="rId5" Type="http://schemas.openxmlformats.org/officeDocument/2006/relationships/webSettings" Target="webSettings.xml"/><Relationship Id="rId61" Type="http://schemas.openxmlformats.org/officeDocument/2006/relationships/hyperlink" Target="https://www.ohchr.org/en/issues/women/wrgs/pages/healthrights.aspx" TargetMode="External"/><Relationship Id="rId19" Type="http://schemas.openxmlformats.org/officeDocument/2006/relationships/hyperlink" Target="https://www.learningforjustice.org/magazine/spring-2019/equity-period" TargetMode="External"/><Relationship Id="rId14" Type="http://schemas.openxmlformats.org/officeDocument/2006/relationships/hyperlink" Target="https://borgenproject.org/tag/period-poverty/" TargetMode="External"/><Relationship Id="rId22" Type="http://schemas.openxmlformats.org/officeDocument/2006/relationships/hyperlink" Target="https://www.listenmoneymatters.com/the-pink-tax/" TargetMode="External"/><Relationship Id="rId27" Type="http://schemas.openxmlformats.org/officeDocument/2006/relationships/hyperlink" Target="https://theconversation.com/indigenous-girls-missing-school-during-their-periods-the-state-of-hygiene-in-remote-australia-79348" TargetMode="External"/><Relationship Id="rId30" Type="http://schemas.openxmlformats.org/officeDocument/2006/relationships/hyperlink" Target="https://sites.uab.edu/humanrights/2019/11/11/examining-period-poverty/" TargetMode="External"/><Relationship Id="rId35" Type="http://schemas.openxmlformats.org/officeDocument/2006/relationships/hyperlink" Target="https://nationalhumanitiescenter.org/on-the-human/2011/03/are-women-human/" TargetMode="External"/><Relationship Id="rId43" Type="http://schemas.openxmlformats.org/officeDocument/2006/relationships/hyperlink" Target="https://www1.nyc.gov/site/dca/partners/gender-pricing-study.page" TargetMode="External"/><Relationship Id="rId48" Type="http://schemas.openxmlformats.org/officeDocument/2006/relationships/hyperlink" Target="https://rewire.news/article/2019/02/20/monthly-moons-menstruation-rituals-indigenous-women/" TargetMode="External"/><Relationship Id="rId56" Type="http://schemas.openxmlformats.org/officeDocument/2006/relationships/hyperlink" Target="https://www.canada.ca/en/employment-social-development/news/2019/05/government-proposes-free-menstrual-products-to-support-equality-in-the-workplace.html" TargetMode="External"/><Relationship Id="rId64" Type="http://schemas.openxmlformats.org/officeDocument/2006/relationships/hyperlink" Target="https://www.un.org/en/about-us/universal-declaration-of-human-rights" TargetMode="External"/><Relationship Id="rId69" Type="http://schemas.openxmlformats.org/officeDocument/2006/relationships/footer" Target="footer1.xml"/><Relationship Id="rId8" Type="http://schemas.openxmlformats.org/officeDocument/2006/relationships/hyperlink" Target="https://news.trust.org/item/20200717111512-hkjot/" TargetMode="External"/><Relationship Id="rId51" Type="http://schemas.openxmlformats.org/officeDocument/2006/relationships/hyperlink" Target="https://borgenproject.org/tag/period-poverty/" TargetMode="External"/><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cbsnews.com/news/what-is-period-poverty/" TargetMode="External"/><Relationship Id="rId17" Type="http://schemas.openxmlformats.org/officeDocument/2006/relationships/hyperlink" Target="http://www.scopus.com" TargetMode="External"/><Relationship Id="rId25" Type="http://schemas.openxmlformats.org/officeDocument/2006/relationships/hyperlink" Target="https://www.globalgoals.org/3-good-health-and-well-being" TargetMode="External"/><Relationship Id="rId33" Type="http://schemas.openxmlformats.org/officeDocument/2006/relationships/hyperlink" Target="http://www.jstor.org/stable/43669925" TargetMode="External"/><Relationship Id="rId38" Type="http://schemas.openxmlformats.org/officeDocument/2006/relationships/hyperlink" Target="https://www.globalcitizen.org/en/content/free-period-products-canada/" TargetMode="External"/><Relationship Id="rId46" Type="http://schemas.openxmlformats.org/officeDocument/2006/relationships/hyperlink" Target="https://www.rubylove.com/post/2017/03/24/nepalese-women-exiled-to-menstrualhuts?gclid=CjwKCAjw3bzBRBhEiwAgnnLCs8tVsy84iH8n8bju0BgXZAUA4fl6_IeU3cLOKMg3uPLJmg1rTIykRoCiy0QAvD_BwE" TargetMode="External"/><Relationship Id="rId59" Type="http://schemas.openxmlformats.org/officeDocument/2006/relationships/hyperlink" Target="http://www.unfpa.org/menstruationfaq" TargetMode="External"/><Relationship Id="rId67" Type="http://schemas.openxmlformats.org/officeDocument/2006/relationships/hyperlink" Target="https://doi.org/10.1097/AOG.0000000000003098" TargetMode="External"/><Relationship Id="rId20" Type="http://schemas.openxmlformats.org/officeDocument/2006/relationships/hyperlink" Target="https://www.goodhousekeeping.com/life/money/a27409442/what-is-pink-tax/" TargetMode="External"/><Relationship Id="rId41" Type="http://schemas.openxmlformats.org/officeDocument/2006/relationships/hyperlink" Target="https://www.wbur.org/cognoscenti/2014/06/25/human-rights-gang-rape-sharmila-l-murthy" TargetMode="External"/><Relationship Id="rId54" Type="http://schemas.openxmlformats.org/officeDocument/2006/relationships/hyperlink" Target="http://ezproxy.library.ubc.ca/login?url=https://search-proquest-com.ezproxy.library.ubc.ca/docview/2205488187?accountid=14656" TargetMode="External"/><Relationship Id="rId62" Type="http://schemas.openxmlformats.org/officeDocument/2006/relationships/hyperlink" Target="https://www.un.org/womenwatch/daw/cedaw/history.htm" TargetMode="External"/><Relationship Id="rId7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refinery29.com/en-us/2016/11/129111/its-not-my-period-shaming-women-hormones-kotex" TargetMode="External"/><Relationship Id="rId23" Type="http://schemas.openxmlformats.org/officeDocument/2006/relationships/hyperlink" Target="https://www.theguardian.com/commentisfree/2019/may/28/stigma-periods-boys-young-women-bullying-menstruation" TargetMode="External"/><Relationship Id="rId28" Type="http://schemas.openxmlformats.org/officeDocument/2006/relationships/hyperlink" Target="https://www.sfu.ca/~aheard/intro.html" TargetMode="External"/><Relationship Id="rId36" Type="http://schemas.openxmlformats.org/officeDocument/2006/relationships/hyperlink" Target="https://www.hrw.org/report/2016/06/07/make-it-safe/canadas-obligation-end-first-nations-water-crisis" TargetMode="External"/><Relationship Id="rId49" Type="http://schemas.openxmlformats.org/officeDocument/2006/relationships/hyperlink" Target="https://www.mcgill.ca/msr/volume3/article5" TargetMode="External"/><Relationship Id="rId57" Type="http://schemas.openxmlformats.org/officeDocument/2006/relationships/hyperlink" Target="https://truenorthaid.ca/moon-time-sisters/" TargetMode="External"/><Relationship Id="rId10" Type="http://schemas.openxmlformats.org/officeDocument/2006/relationships/hyperlink" Target="https://www.unhcr.org/innovation/grassroots-organizations-are-just-as-important-as-seed-money-for-innovation/" TargetMode="External"/><Relationship Id="rId31" Type="http://schemas.openxmlformats.org/officeDocument/2006/relationships/hyperlink" Target="https://www-deslibris-ca.ezproxy.library.ubc.ca/ID/10049238" TargetMode="External"/><Relationship Id="rId44" Type="http://schemas.openxmlformats.org/officeDocument/2006/relationships/hyperlink" Target="https://www.cnn.com/2019/10/21/perspectives/period-poverty-menstrual-products/index.html" TargetMode="External"/><Relationship Id="rId52" Type="http://schemas.openxmlformats.org/officeDocument/2006/relationships/hyperlink" Target="https://torontosun.com/life/relationships/period-poverty-1-in-7-canadian-girls-have-missed-school-due-to-lack-of-products" TargetMode="External"/><Relationship Id="rId60" Type="http://schemas.openxmlformats.org/officeDocument/2006/relationships/hyperlink" Target="https://www.un.org/womenwatch/daw/cedaw/" TargetMode="External"/><Relationship Id="rId65" Type="http://schemas.openxmlformats.org/officeDocument/2006/relationships/hyperlink" Target="https://www.thespec.com/living-story/9587088-the-heartbreaking-realities-of-period-poverty/" TargetMode="External"/><Relationship Id="rId4" Type="http://schemas.openxmlformats.org/officeDocument/2006/relationships/settings" Target="settings.xml"/><Relationship Id="rId9" Type="http://schemas.openxmlformats.org/officeDocument/2006/relationships/hyperlink" Target="https://www.narcity.com/news/ca/bc/bc-free-menstrual-products-officially-launched-and-there-was-a-live-band" TargetMode="External"/><Relationship Id="rId13" Type="http://schemas.openxmlformats.org/officeDocument/2006/relationships/hyperlink" Target="https://www.ryerson.ca/chair-indigenous-governance/research-projects/ongoing/first-nations-poverty-in-canada/" TargetMode="External"/><Relationship Id="rId18" Type="http://schemas.openxmlformats.org/officeDocument/2006/relationships/hyperlink" Target="https://thehill.com/policy/international/europe/484693-scotland-to-make-sanitary-products-free-for-all-women" TargetMode="External"/><Relationship Id="rId39" Type="http://schemas.openxmlformats.org/officeDocument/2006/relationships/hyperlink" Target="https://news.trust.org/item/20200528061741-osdg3" TargetMode="External"/><Relationship Id="rId34" Type="http://schemas.openxmlformats.org/officeDocument/2006/relationships/hyperlink" Target="https://www.huffingtonpost.ca/entry/canada-free-menstrual-products_ca_5fb41defc5b6d878180b9e14?guccounter=1&amp;guce_referrer=aHR0cHM6Ly93d3cuZ29vZ2xlLmNvbS8&amp;guce_referrer_sig=AQAAAHLd6ukfE_Z7N_KCdrLajg973sBLt7OImG4j-lVcehKkaVdD2V9ipmRaKmEPxylL6stDzhq31l2KK3t8dgdb2qVuhUc5lgQtjGxo9EJqjlAjalDnV7b7ojSUWd_PBQ1RBOMyaFq7bZV-_4xe06xb5ewEeyFL7DDvhWxBGI8aEQyu" TargetMode="External"/><Relationship Id="rId50" Type="http://schemas.openxmlformats.org/officeDocument/2006/relationships/hyperlink" Target="https://www.newswire.ca/news-releases/face-masks-and-period-pads-why-both-must-be-considered-necessities-in-a-pandemic-897601204.html" TargetMode="External"/><Relationship Id="rId55" Type="http://schemas.openxmlformats.org/officeDocument/2006/relationships/hyperlink" Target="https://canadiandimension.com/articles/view/period-equity-now-canadians-need-universal-access-to-menstrual-supplies-at-wor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1F2D3ED-CF27-024A-B74C-DE840A7F52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58</Pages>
  <Words>18014</Words>
  <Characters>102682</Characters>
  <Application>Microsoft Office Word</Application>
  <DocSecurity>0</DocSecurity>
  <Lines>855</Lines>
  <Paragraphs>240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120456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Lindsey Hollemeyer</dc:creator>
  <cp:keywords/>
  <dc:description/>
  <cp:lastModifiedBy>Lindsey Hollemeyer</cp:lastModifiedBy>
  <cp:revision>10</cp:revision>
  <dcterms:created xsi:type="dcterms:W3CDTF">2021-05-16T16:28:00Z</dcterms:created>
  <dcterms:modified xsi:type="dcterms:W3CDTF">2021-05-16T17:36:00Z</dcterms:modified>
</cp:coreProperties>
</file>