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B920C8" w14:textId="16D403DB" w:rsidR="008A32FD" w:rsidRPr="00A556CC" w:rsidRDefault="00B44603" w:rsidP="004E75D7">
      <w:pPr>
        <w:spacing w:after="0" w:line="240" w:lineRule="auto"/>
        <w:contextualSpacing/>
        <w:rPr>
          <w:rFonts w:ascii="Times New Roman" w:hAnsi="Times New Roman" w:cs="Times New Roman"/>
          <w:b/>
          <w:color w:val="000000" w:themeColor="text1"/>
          <w:sz w:val="24"/>
          <w:szCs w:val="24"/>
        </w:rPr>
      </w:pPr>
      <w:r w:rsidRPr="00A556CC">
        <w:rPr>
          <w:rFonts w:ascii="Times New Roman" w:hAnsi="Times New Roman" w:cs="Times New Roman"/>
          <w:b/>
          <w:color w:val="000000" w:themeColor="text1"/>
          <w:sz w:val="24"/>
          <w:szCs w:val="24"/>
        </w:rPr>
        <w:t xml:space="preserve">Measuring </w:t>
      </w:r>
      <w:r w:rsidR="00C30F2B" w:rsidRPr="00A556CC">
        <w:rPr>
          <w:rFonts w:ascii="Times New Roman" w:hAnsi="Times New Roman" w:cs="Times New Roman"/>
          <w:b/>
          <w:color w:val="000000" w:themeColor="text1"/>
          <w:sz w:val="24"/>
          <w:szCs w:val="24"/>
        </w:rPr>
        <w:t>non-technical skills</w:t>
      </w:r>
      <w:r w:rsidR="00821A02" w:rsidRPr="00A556CC">
        <w:rPr>
          <w:rFonts w:ascii="Times New Roman" w:hAnsi="Times New Roman" w:cs="Times New Roman"/>
          <w:b/>
          <w:color w:val="000000" w:themeColor="text1"/>
          <w:sz w:val="24"/>
          <w:szCs w:val="24"/>
        </w:rPr>
        <w:t xml:space="preserve"> of anesthesiologists</w:t>
      </w:r>
      <w:r w:rsidR="00C30F2B" w:rsidRPr="00A556CC">
        <w:rPr>
          <w:rFonts w:ascii="Times New Roman" w:hAnsi="Times New Roman" w:cs="Times New Roman"/>
          <w:b/>
          <w:color w:val="000000" w:themeColor="text1"/>
          <w:sz w:val="24"/>
          <w:szCs w:val="24"/>
        </w:rPr>
        <w:t xml:space="preserve"> in the operating room</w:t>
      </w:r>
      <w:r w:rsidR="008A32FD" w:rsidRPr="00A556CC">
        <w:rPr>
          <w:rFonts w:ascii="Times New Roman" w:hAnsi="Times New Roman" w:cs="Times New Roman"/>
          <w:b/>
          <w:color w:val="000000" w:themeColor="text1"/>
          <w:sz w:val="24"/>
          <w:szCs w:val="24"/>
        </w:rPr>
        <w:t>: A systematic review of assessment tools</w:t>
      </w:r>
      <w:r w:rsidR="00874AA9" w:rsidRPr="00A556CC">
        <w:rPr>
          <w:rFonts w:ascii="Times New Roman" w:hAnsi="Times New Roman" w:cs="Times New Roman"/>
          <w:b/>
          <w:color w:val="000000" w:themeColor="text1"/>
          <w:sz w:val="24"/>
          <w:szCs w:val="24"/>
        </w:rPr>
        <w:t xml:space="preserve"> and their </w:t>
      </w:r>
      <w:r w:rsidR="009E604D" w:rsidRPr="00A556CC">
        <w:rPr>
          <w:rFonts w:ascii="Times New Roman" w:hAnsi="Times New Roman" w:cs="Times New Roman"/>
          <w:b/>
          <w:color w:val="000000" w:themeColor="text1"/>
          <w:sz w:val="24"/>
          <w:szCs w:val="24"/>
        </w:rPr>
        <w:t>measurement</w:t>
      </w:r>
      <w:r w:rsidR="00874AA9" w:rsidRPr="00A556CC">
        <w:rPr>
          <w:rFonts w:ascii="Times New Roman" w:hAnsi="Times New Roman" w:cs="Times New Roman"/>
          <w:b/>
          <w:color w:val="000000" w:themeColor="text1"/>
          <w:sz w:val="24"/>
          <w:szCs w:val="24"/>
        </w:rPr>
        <w:t xml:space="preserve"> properties</w:t>
      </w:r>
    </w:p>
    <w:p w14:paraId="0FDD64F7" w14:textId="77777777" w:rsidR="008A32FD" w:rsidRPr="00B44716" w:rsidRDefault="008A32FD" w:rsidP="004E75D7">
      <w:pPr>
        <w:spacing w:after="0" w:line="240" w:lineRule="auto"/>
        <w:contextualSpacing/>
        <w:rPr>
          <w:rFonts w:ascii="Times New Roman" w:hAnsi="Times New Roman" w:cs="Times New Roman"/>
          <w:b/>
          <w:color w:val="000000" w:themeColor="text1"/>
          <w:sz w:val="24"/>
          <w:szCs w:val="24"/>
        </w:rPr>
      </w:pPr>
    </w:p>
    <w:p w14:paraId="3A25C3B9" w14:textId="74EAB61A" w:rsidR="00775426" w:rsidRDefault="00A556CC" w:rsidP="004E75D7">
      <w:pPr>
        <w:spacing w:after="0" w:line="240" w:lineRule="auto"/>
        <w:contextualSpacing/>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Start Date and Anticipated Completion Date</w:t>
      </w:r>
    </w:p>
    <w:p w14:paraId="31D9359E" w14:textId="4FF3B43A" w:rsidR="00A556CC" w:rsidRDefault="00A556CC" w:rsidP="004E75D7">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October 2017-June 2018</w:t>
      </w:r>
    </w:p>
    <w:p w14:paraId="6B58FD20" w14:textId="77777777" w:rsidR="00A556CC" w:rsidRDefault="00A556CC" w:rsidP="004E75D7">
      <w:pPr>
        <w:spacing w:after="0" w:line="240" w:lineRule="auto"/>
        <w:contextualSpacing/>
        <w:rPr>
          <w:rFonts w:ascii="Times New Roman" w:hAnsi="Times New Roman" w:cs="Times New Roman"/>
          <w:color w:val="000000" w:themeColor="text1"/>
          <w:sz w:val="24"/>
          <w:szCs w:val="24"/>
        </w:rPr>
      </w:pPr>
    </w:p>
    <w:p w14:paraId="5EA4AF70" w14:textId="5A4CCD63" w:rsidR="00A556CC" w:rsidRPr="00A556CC" w:rsidRDefault="00A556CC" w:rsidP="004E75D7">
      <w:pPr>
        <w:spacing w:after="0" w:line="240" w:lineRule="auto"/>
        <w:contextualSpacing/>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Principal Investigator/Guarantor of Review</w:t>
      </w:r>
    </w:p>
    <w:p w14:paraId="73EDF3E9" w14:textId="77777777" w:rsidR="00A556CC" w:rsidRDefault="00A556CC" w:rsidP="004E75D7">
      <w:pPr>
        <w:spacing w:after="0" w:line="240" w:lineRule="auto"/>
        <w:contextualSpacing/>
        <w:rPr>
          <w:rFonts w:ascii="Times New Roman" w:hAnsi="Times New Roman"/>
          <w:sz w:val="24"/>
          <w:szCs w:val="24"/>
        </w:rPr>
      </w:pPr>
      <w:r w:rsidRPr="00383FCC">
        <w:rPr>
          <w:rFonts w:ascii="Times New Roman" w:hAnsi="Times New Roman"/>
          <w:sz w:val="24"/>
          <w:szCs w:val="24"/>
        </w:rPr>
        <w:t>Sylvain Boet, MD, PhD, Department of An</w:t>
      </w:r>
      <w:r>
        <w:rPr>
          <w:rFonts w:ascii="Times New Roman" w:hAnsi="Times New Roman"/>
          <w:sz w:val="24"/>
          <w:szCs w:val="24"/>
        </w:rPr>
        <w:t>esthesiology and Pain Medicine</w:t>
      </w:r>
    </w:p>
    <w:p w14:paraId="0A3B969F" w14:textId="77777777" w:rsidR="00A556CC" w:rsidRDefault="00A556CC" w:rsidP="004E75D7">
      <w:pPr>
        <w:spacing w:after="0" w:line="240" w:lineRule="auto"/>
        <w:contextualSpacing/>
        <w:rPr>
          <w:rFonts w:ascii="Times New Roman" w:hAnsi="Times New Roman"/>
          <w:sz w:val="24"/>
          <w:szCs w:val="24"/>
        </w:rPr>
      </w:pPr>
      <w:r w:rsidRPr="00383FCC">
        <w:rPr>
          <w:rFonts w:ascii="Times New Roman" w:hAnsi="Times New Roman"/>
          <w:sz w:val="24"/>
          <w:szCs w:val="24"/>
        </w:rPr>
        <w:t>The O</w:t>
      </w:r>
      <w:r>
        <w:rPr>
          <w:rFonts w:ascii="Times New Roman" w:hAnsi="Times New Roman"/>
          <w:sz w:val="24"/>
          <w:szCs w:val="24"/>
        </w:rPr>
        <w:t>ttawa Hospital, General Campus</w:t>
      </w:r>
    </w:p>
    <w:p w14:paraId="1F117D3D" w14:textId="77777777" w:rsidR="00A556CC" w:rsidRDefault="00A556CC" w:rsidP="004E75D7">
      <w:pPr>
        <w:spacing w:after="0" w:line="240" w:lineRule="auto"/>
        <w:contextualSpacing/>
        <w:rPr>
          <w:rFonts w:ascii="Times New Roman" w:hAnsi="Times New Roman"/>
          <w:sz w:val="24"/>
          <w:szCs w:val="24"/>
        </w:rPr>
      </w:pPr>
      <w:r w:rsidRPr="00383FCC">
        <w:rPr>
          <w:rFonts w:ascii="Times New Roman" w:hAnsi="Times New Roman"/>
          <w:sz w:val="24"/>
          <w:szCs w:val="24"/>
        </w:rPr>
        <w:t>501 Smy</w:t>
      </w:r>
      <w:r>
        <w:rPr>
          <w:rFonts w:ascii="Times New Roman" w:hAnsi="Times New Roman"/>
          <w:sz w:val="24"/>
          <w:szCs w:val="24"/>
        </w:rPr>
        <w:t>th Rd, Critical Care Wing 1401</w:t>
      </w:r>
    </w:p>
    <w:p w14:paraId="642DFEC3" w14:textId="6605ACBF" w:rsidR="00A556CC" w:rsidRDefault="00A556CC" w:rsidP="004E75D7">
      <w:pPr>
        <w:spacing w:after="0" w:line="240" w:lineRule="auto"/>
        <w:contextualSpacing/>
        <w:rPr>
          <w:rFonts w:ascii="Times New Roman" w:hAnsi="Times New Roman"/>
          <w:sz w:val="24"/>
          <w:szCs w:val="24"/>
        </w:rPr>
      </w:pPr>
      <w:r>
        <w:rPr>
          <w:rFonts w:ascii="Times New Roman" w:hAnsi="Times New Roman"/>
          <w:sz w:val="24"/>
          <w:szCs w:val="24"/>
        </w:rPr>
        <w:t xml:space="preserve">Ottawa, Ontario </w:t>
      </w:r>
      <w:r w:rsidRPr="00383FCC">
        <w:rPr>
          <w:rFonts w:ascii="Times New Roman" w:hAnsi="Times New Roman"/>
          <w:sz w:val="24"/>
          <w:szCs w:val="24"/>
        </w:rPr>
        <w:t>K1H 8L6</w:t>
      </w:r>
    </w:p>
    <w:p w14:paraId="4F70329E" w14:textId="41C3DD13" w:rsidR="00A556CC" w:rsidRDefault="00A556CC" w:rsidP="004E75D7">
      <w:pPr>
        <w:spacing w:after="0" w:line="240" w:lineRule="auto"/>
        <w:contextualSpacing/>
        <w:rPr>
          <w:rFonts w:ascii="Times New Roman" w:hAnsi="Times New Roman"/>
          <w:sz w:val="24"/>
          <w:szCs w:val="24"/>
        </w:rPr>
      </w:pPr>
      <w:r w:rsidRPr="00A556CC">
        <w:rPr>
          <w:rFonts w:ascii="Times New Roman" w:hAnsi="Times New Roman"/>
          <w:sz w:val="24"/>
          <w:szCs w:val="24"/>
        </w:rPr>
        <w:t>sboet@toh.</w:t>
      </w:r>
      <w:r w:rsidRPr="00A556CC">
        <w:rPr>
          <w:rFonts w:ascii="Times New Roman" w:hAnsi="Times New Roman"/>
          <w:sz w:val="24"/>
          <w:szCs w:val="24"/>
        </w:rPr>
        <w:t>c</w:t>
      </w:r>
      <w:r w:rsidRPr="00A556CC">
        <w:rPr>
          <w:rFonts w:ascii="Times New Roman" w:hAnsi="Times New Roman"/>
          <w:sz w:val="24"/>
          <w:szCs w:val="24"/>
        </w:rPr>
        <w:t>a</w:t>
      </w:r>
    </w:p>
    <w:p w14:paraId="02C1112E" w14:textId="77777777" w:rsidR="00A556CC" w:rsidRDefault="00A556CC" w:rsidP="004E75D7">
      <w:pPr>
        <w:spacing w:after="0" w:line="240" w:lineRule="auto"/>
        <w:contextualSpacing/>
        <w:rPr>
          <w:rFonts w:ascii="Times New Roman" w:hAnsi="Times New Roman" w:cs="Times New Roman"/>
          <w:color w:val="000000" w:themeColor="text1"/>
          <w:sz w:val="24"/>
          <w:szCs w:val="24"/>
        </w:rPr>
      </w:pPr>
    </w:p>
    <w:p w14:paraId="1E52C792" w14:textId="04C2A2F3" w:rsidR="00A556CC" w:rsidRPr="00A556CC" w:rsidRDefault="00A556CC" w:rsidP="004E75D7">
      <w:pPr>
        <w:spacing w:after="0" w:line="240" w:lineRule="auto"/>
        <w:contextualSpacing/>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Review Team Members and Organizational Affiliations </w:t>
      </w:r>
    </w:p>
    <w:p w14:paraId="402D80AE" w14:textId="70AD7ED7" w:rsidR="00F63C27" w:rsidRDefault="00F63FB7" w:rsidP="004E75D7">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Sarah Larrigan, BSc (Candidate) – University of Ottawa </w:t>
      </w:r>
    </w:p>
    <w:p w14:paraId="7BBB83DB" w14:textId="0E87D94E" w:rsidR="006D6B74" w:rsidRDefault="00347654" w:rsidP="006D6B74">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Leonardo Calderon</w:t>
      </w:r>
      <w:r w:rsidR="004A3B3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MD Candidate</w:t>
      </w:r>
      <w:r w:rsidR="004A3B3D">
        <w:rPr>
          <w:rFonts w:ascii="Times New Roman" w:hAnsi="Times New Roman" w:cs="Times New Roman"/>
          <w:color w:val="000000" w:themeColor="text1"/>
          <w:sz w:val="24"/>
          <w:szCs w:val="24"/>
        </w:rPr>
        <w:t xml:space="preserve"> </w:t>
      </w:r>
      <w:r w:rsidR="00A556CC">
        <w:rPr>
          <w:rFonts w:ascii="Times New Roman" w:hAnsi="Times New Roman" w:cs="Times New Roman"/>
          <w:color w:val="000000" w:themeColor="text1"/>
          <w:sz w:val="24"/>
          <w:szCs w:val="24"/>
        </w:rPr>
        <w:t>–</w:t>
      </w:r>
      <w:r w:rsidR="004A3B3D">
        <w:rPr>
          <w:rFonts w:ascii="Times New Roman" w:hAnsi="Times New Roman" w:cs="Times New Roman"/>
          <w:color w:val="000000" w:themeColor="text1"/>
          <w:sz w:val="24"/>
          <w:szCs w:val="24"/>
        </w:rPr>
        <w:t xml:space="preserve"> </w:t>
      </w:r>
      <w:r w:rsidR="00A556CC">
        <w:rPr>
          <w:rFonts w:ascii="Times New Roman" w:hAnsi="Times New Roman" w:cs="Times New Roman"/>
          <w:color w:val="000000" w:themeColor="text1"/>
          <w:sz w:val="24"/>
          <w:szCs w:val="24"/>
        </w:rPr>
        <w:t>University of Ottawa</w:t>
      </w:r>
      <w:r w:rsidR="006D6B74">
        <w:rPr>
          <w:rFonts w:ascii="Times New Roman" w:hAnsi="Times New Roman" w:cs="Times New Roman"/>
          <w:color w:val="000000" w:themeColor="text1"/>
          <w:sz w:val="24"/>
          <w:szCs w:val="24"/>
        </w:rPr>
        <w:t xml:space="preserve"> </w:t>
      </w:r>
    </w:p>
    <w:p w14:paraId="48EA9235" w14:textId="46E8562E" w:rsidR="009E2E88" w:rsidRDefault="004A3B3D" w:rsidP="004E75D7">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Henry Liu, MD Candidate - University of Ottawa</w:t>
      </w:r>
    </w:p>
    <w:p w14:paraId="2A1A2EF9" w14:textId="39F1FFFF" w:rsidR="00350D1A" w:rsidRDefault="00350D1A" w:rsidP="00350D1A">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Katrina </w:t>
      </w:r>
      <w:r w:rsidR="00A62E83">
        <w:rPr>
          <w:rFonts w:ascii="Times New Roman" w:hAnsi="Times New Roman" w:cs="Times New Roman"/>
          <w:color w:val="000000" w:themeColor="text1"/>
          <w:sz w:val="24"/>
          <w:szCs w:val="24"/>
        </w:rPr>
        <w:t xml:space="preserve">J. </w:t>
      </w:r>
      <w:r>
        <w:rPr>
          <w:rFonts w:ascii="Times New Roman" w:hAnsi="Times New Roman" w:cs="Times New Roman"/>
          <w:color w:val="000000" w:themeColor="text1"/>
          <w:sz w:val="24"/>
          <w:szCs w:val="24"/>
        </w:rPr>
        <w:t xml:space="preserve">Sullivan, </w:t>
      </w:r>
      <w:r w:rsidR="00F63FB7">
        <w:rPr>
          <w:rFonts w:ascii="Times New Roman" w:hAnsi="Times New Roman" w:cs="Times New Roman"/>
          <w:color w:val="000000" w:themeColor="text1"/>
          <w:sz w:val="24"/>
          <w:szCs w:val="24"/>
        </w:rPr>
        <w:t>MSc</w:t>
      </w:r>
      <w:r>
        <w:rPr>
          <w:rFonts w:ascii="Times New Roman" w:hAnsi="Times New Roman" w:cs="Times New Roman"/>
          <w:color w:val="000000" w:themeColor="text1"/>
          <w:sz w:val="24"/>
          <w:szCs w:val="24"/>
        </w:rPr>
        <w:t xml:space="preserve"> – The Ottawa Hospital </w:t>
      </w:r>
      <w:r w:rsidR="00A556CC">
        <w:rPr>
          <w:rFonts w:ascii="Times New Roman" w:hAnsi="Times New Roman" w:cs="Times New Roman"/>
          <w:color w:val="000000" w:themeColor="text1"/>
          <w:sz w:val="24"/>
          <w:szCs w:val="24"/>
        </w:rPr>
        <w:t>Research Institute</w:t>
      </w:r>
    </w:p>
    <w:p w14:paraId="14DF14E6" w14:textId="13F6AA90" w:rsidR="0050399D" w:rsidRPr="00B44716" w:rsidRDefault="0050399D" w:rsidP="0050399D">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Nicole Etherington, PhD – The Ottawa Hospital </w:t>
      </w:r>
      <w:r w:rsidR="00A556CC">
        <w:rPr>
          <w:rFonts w:ascii="Times New Roman" w:hAnsi="Times New Roman" w:cs="Times New Roman"/>
          <w:color w:val="000000" w:themeColor="text1"/>
          <w:sz w:val="24"/>
          <w:szCs w:val="24"/>
        </w:rPr>
        <w:t>Research Institute</w:t>
      </w:r>
    </w:p>
    <w:p w14:paraId="6A523B9E" w14:textId="77777777" w:rsidR="008A32FD" w:rsidRPr="00B44716" w:rsidRDefault="008A32FD" w:rsidP="004E75D7">
      <w:pPr>
        <w:spacing w:after="0" w:line="240" w:lineRule="auto"/>
        <w:contextualSpacing/>
        <w:rPr>
          <w:rFonts w:ascii="Times New Roman" w:hAnsi="Times New Roman" w:cs="Times New Roman"/>
          <w:color w:val="000000" w:themeColor="text1"/>
          <w:sz w:val="24"/>
          <w:szCs w:val="24"/>
        </w:rPr>
      </w:pPr>
    </w:p>
    <w:p w14:paraId="630F9F5C" w14:textId="77777777" w:rsidR="008A32FD" w:rsidRPr="00B44716" w:rsidRDefault="008A32FD" w:rsidP="004E75D7">
      <w:pPr>
        <w:spacing w:after="0" w:line="240" w:lineRule="auto"/>
        <w:contextualSpacing/>
        <w:rPr>
          <w:rFonts w:ascii="Times New Roman" w:hAnsi="Times New Roman" w:cs="Times New Roman"/>
          <w:color w:val="000000" w:themeColor="text1"/>
          <w:sz w:val="24"/>
          <w:szCs w:val="24"/>
        </w:rPr>
      </w:pPr>
    </w:p>
    <w:p w14:paraId="68917485" w14:textId="77777777" w:rsidR="008A32FD" w:rsidRPr="00B44716" w:rsidRDefault="008A32FD" w:rsidP="004E75D7">
      <w:pPr>
        <w:spacing w:after="0" w:line="240" w:lineRule="auto"/>
        <w:contextualSpacing/>
        <w:rPr>
          <w:rFonts w:ascii="Times New Roman" w:hAnsi="Times New Roman" w:cs="Times New Roman"/>
          <w:color w:val="000000" w:themeColor="text1"/>
          <w:sz w:val="24"/>
          <w:szCs w:val="24"/>
        </w:rPr>
      </w:pPr>
    </w:p>
    <w:p w14:paraId="0014FCE0" w14:textId="77777777" w:rsidR="008A32FD" w:rsidRPr="00B44716" w:rsidRDefault="008A32FD" w:rsidP="004E75D7">
      <w:pPr>
        <w:spacing w:after="0" w:line="240" w:lineRule="auto"/>
        <w:contextualSpacing/>
        <w:rPr>
          <w:rFonts w:ascii="Times New Roman" w:hAnsi="Times New Roman" w:cs="Times New Roman"/>
          <w:color w:val="000000" w:themeColor="text1"/>
          <w:sz w:val="24"/>
          <w:szCs w:val="24"/>
        </w:rPr>
      </w:pPr>
    </w:p>
    <w:p w14:paraId="4E1190BB" w14:textId="7576795A" w:rsidR="00DF3BD8" w:rsidRPr="00F63FB7" w:rsidRDefault="00DF3BD8" w:rsidP="004E75D7">
      <w:pPr>
        <w:spacing w:after="0" w:line="240" w:lineRule="auto"/>
        <w:contextualSpacing/>
        <w:rPr>
          <w:rFonts w:ascii="Times New Roman" w:hAnsi="Times New Roman" w:cs="Times New Roman"/>
          <w:b/>
          <w:color w:val="000000" w:themeColor="text1"/>
          <w:sz w:val="24"/>
          <w:szCs w:val="24"/>
        </w:rPr>
      </w:pPr>
    </w:p>
    <w:p w14:paraId="3865F187" w14:textId="77777777" w:rsidR="008A32FD" w:rsidRDefault="008A32FD" w:rsidP="004E75D7">
      <w:pPr>
        <w:spacing w:after="0" w:line="240" w:lineRule="auto"/>
        <w:contextualSpacing/>
        <w:rPr>
          <w:rFonts w:ascii="Times New Roman" w:eastAsia="MS Gothic" w:hAnsi="Times New Roman"/>
          <w:b/>
          <w:bCs/>
          <w:sz w:val="24"/>
          <w:szCs w:val="24"/>
        </w:rPr>
      </w:pPr>
    </w:p>
    <w:p w14:paraId="61913858" w14:textId="77777777" w:rsidR="00A556CC" w:rsidRDefault="00A556CC" w:rsidP="004E75D7">
      <w:pPr>
        <w:spacing w:after="0" w:line="240" w:lineRule="auto"/>
        <w:contextualSpacing/>
        <w:rPr>
          <w:rFonts w:ascii="Times New Roman" w:eastAsia="MS Gothic" w:hAnsi="Times New Roman"/>
          <w:b/>
          <w:bCs/>
          <w:sz w:val="24"/>
          <w:szCs w:val="24"/>
        </w:rPr>
      </w:pPr>
    </w:p>
    <w:p w14:paraId="1B2B72F8" w14:textId="77777777" w:rsidR="00A556CC" w:rsidRDefault="00A556CC" w:rsidP="004E75D7">
      <w:pPr>
        <w:spacing w:after="0" w:line="240" w:lineRule="auto"/>
        <w:contextualSpacing/>
        <w:rPr>
          <w:rFonts w:ascii="Times New Roman" w:eastAsia="MS Gothic" w:hAnsi="Times New Roman"/>
          <w:b/>
          <w:bCs/>
          <w:sz w:val="24"/>
          <w:szCs w:val="24"/>
        </w:rPr>
      </w:pPr>
    </w:p>
    <w:p w14:paraId="6CE65641" w14:textId="77777777" w:rsidR="00A556CC" w:rsidRDefault="00A556CC" w:rsidP="004E75D7">
      <w:pPr>
        <w:spacing w:after="0" w:line="240" w:lineRule="auto"/>
        <w:contextualSpacing/>
        <w:rPr>
          <w:rFonts w:ascii="Times New Roman" w:eastAsia="MS Gothic" w:hAnsi="Times New Roman"/>
          <w:b/>
          <w:bCs/>
          <w:sz w:val="24"/>
          <w:szCs w:val="24"/>
        </w:rPr>
      </w:pPr>
    </w:p>
    <w:p w14:paraId="5B87E45D" w14:textId="77777777" w:rsidR="00A556CC" w:rsidRDefault="00A556CC" w:rsidP="004E75D7">
      <w:pPr>
        <w:spacing w:after="0" w:line="240" w:lineRule="auto"/>
        <w:contextualSpacing/>
        <w:rPr>
          <w:rFonts w:ascii="Times New Roman" w:eastAsia="MS Gothic" w:hAnsi="Times New Roman"/>
          <w:b/>
          <w:bCs/>
          <w:sz w:val="24"/>
          <w:szCs w:val="24"/>
        </w:rPr>
      </w:pPr>
    </w:p>
    <w:p w14:paraId="07509B3B" w14:textId="77777777" w:rsidR="00A556CC" w:rsidRDefault="00A556CC" w:rsidP="004E75D7">
      <w:pPr>
        <w:spacing w:after="0" w:line="240" w:lineRule="auto"/>
        <w:contextualSpacing/>
        <w:rPr>
          <w:rFonts w:ascii="Times New Roman" w:eastAsia="MS Gothic" w:hAnsi="Times New Roman"/>
          <w:b/>
          <w:bCs/>
          <w:sz w:val="24"/>
          <w:szCs w:val="24"/>
        </w:rPr>
      </w:pPr>
    </w:p>
    <w:p w14:paraId="3A5FD8F0" w14:textId="77777777" w:rsidR="00A556CC" w:rsidRDefault="00A556CC" w:rsidP="004E75D7">
      <w:pPr>
        <w:spacing w:after="0" w:line="240" w:lineRule="auto"/>
        <w:contextualSpacing/>
        <w:rPr>
          <w:rFonts w:ascii="Times New Roman" w:eastAsia="MS Gothic" w:hAnsi="Times New Roman"/>
          <w:b/>
          <w:bCs/>
          <w:sz w:val="24"/>
          <w:szCs w:val="24"/>
        </w:rPr>
      </w:pPr>
    </w:p>
    <w:p w14:paraId="0A123300" w14:textId="77777777" w:rsidR="00A556CC" w:rsidRDefault="00A556CC" w:rsidP="004E75D7">
      <w:pPr>
        <w:spacing w:after="0" w:line="240" w:lineRule="auto"/>
        <w:contextualSpacing/>
        <w:rPr>
          <w:rFonts w:ascii="Times New Roman" w:eastAsia="MS Gothic" w:hAnsi="Times New Roman"/>
          <w:b/>
          <w:bCs/>
          <w:sz w:val="24"/>
          <w:szCs w:val="24"/>
        </w:rPr>
      </w:pPr>
    </w:p>
    <w:p w14:paraId="773B493C" w14:textId="77777777" w:rsidR="00A556CC" w:rsidRDefault="00A556CC" w:rsidP="004E75D7">
      <w:pPr>
        <w:spacing w:after="0" w:line="240" w:lineRule="auto"/>
        <w:contextualSpacing/>
        <w:rPr>
          <w:rFonts w:ascii="Times New Roman" w:eastAsia="MS Gothic" w:hAnsi="Times New Roman"/>
          <w:b/>
          <w:bCs/>
          <w:sz w:val="24"/>
          <w:szCs w:val="24"/>
        </w:rPr>
      </w:pPr>
    </w:p>
    <w:p w14:paraId="38757284" w14:textId="77777777" w:rsidR="00A556CC" w:rsidRDefault="00A556CC" w:rsidP="004E75D7">
      <w:pPr>
        <w:spacing w:after="0" w:line="240" w:lineRule="auto"/>
        <w:contextualSpacing/>
        <w:rPr>
          <w:rFonts w:ascii="Times New Roman" w:eastAsia="MS Gothic" w:hAnsi="Times New Roman"/>
          <w:b/>
          <w:bCs/>
          <w:sz w:val="24"/>
          <w:szCs w:val="24"/>
        </w:rPr>
      </w:pPr>
    </w:p>
    <w:p w14:paraId="0CB70534" w14:textId="77777777" w:rsidR="00A556CC" w:rsidRDefault="00A556CC" w:rsidP="004E75D7">
      <w:pPr>
        <w:spacing w:after="0" w:line="240" w:lineRule="auto"/>
        <w:contextualSpacing/>
        <w:rPr>
          <w:rFonts w:ascii="Times New Roman" w:eastAsia="MS Gothic" w:hAnsi="Times New Roman"/>
          <w:b/>
          <w:bCs/>
          <w:sz w:val="24"/>
          <w:szCs w:val="24"/>
        </w:rPr>
      </w:pPr>
    </w:p>
    <w:p w14:paraId="644F47CC" w14:textId="77777777" w:rsidR="00A556CC" w:rsidRDefault="00A556CC" w:rsidP="004E75D7">
      <w:pPr>
        <w:spacing w:after="0" w:line="240" w:lineRule="auto"/>
        <w:contextualSpacing/>
        <w:rPr>
          <w:rFonts w:ascii="Times New Roman" w:eastAsia="MS Gothic" w:hAnsi="Times New Roman"/>
          <w:b/>
          <w:bCs/>
          <w:sz w:val="24"/>
          <w:szCs w:val="24"/>
        </w:rPr>
      </w:pPr>
    </w:p>
    <w:p w14:paraId="508247E2" w14:textId="77777777" w:rsidR="00A556CC" w:rsidRDefault="00A556CC" w:rsidP="004E75D7">
      <w:pPr>
        <w:spacing w:after="0" w:line="240" w:lineRule="auto"/>
        <w:contextualSpacing/>
        <w:rPr>
          <w:rFonts w:ascii="Times New Roman" w:eastAsia="MS Gothic" w:hAnsi="Times New Roman"/>
          <w:b/>
          <w:bCs/>
          <w:sz w:val="24"/>
          <w:szCs w:val="24"/>
        </w:rPr>
      </w:pPr>
    </w:p>
    <w:p w14:paraId="310C7CB9" w14:textId="77777777" w:rsidR="00A556CC" w:rsidRDefault="00A556CC" w:rsidP="004E75D7">
      <w:pPr>
        <w:spacing w:after="0" w:line="240" w:lineRule="auto"/>
        <w:contextualSpacing/>
        <w:rPr>
          <w:rFonts w:ascii="Times New Roman" w:eastAsia="MS Gothic" w:hAnsi="Times New Roman"/>
          <w:b/>
          <w:bCs/>
          <w:sz w:val="24"/>
          <w:szCs w:val="24"/>
        </w:rPr>
      </w:pPr>
    </w:p>
    <w:p w14:paraId="471993F5" w14:textId="77777777" w:rsidR="00A556CC" w:rsidRDefault="00A556CC" w:rsidP="004E75D7">
      <w:pPr>
        <w:spacing w:after="0" w:line="240" w:lineRule="auto"/>
        <w:contextualSpacing/>
        <w:rPr>
          <w:rFonts w:ascii="Times New Roman" w:eastAsia="MS Gothic" w:hAnsi="Times New Roman"/>
          <w:b/>
          <w:bCs/>
          <w:sz w:val="24"/>
          <w:szCs w:val="24"/>
        </w:rPr>
      </w:pPr>
    </w:p>
    <w:p w14:paraId="3B4DF42C" w14:textId="77777777" w:rsidR="00A556CC" w:rsidRDefault="00A556CC" w:rsidP="004E75D7">
      <w:pPr>
        <w:spacing w:after="0" w:line="240" w:lineRule="auto"/>
        <w:contextualSpacing/>
        <w:rPr>
          <w:rFonts w:ascii="Times New Roman" w:eastAsia="MS Gothic" w:hAnsi="Times New Roman"/>
          <w:b/>
          <w:bCs/>
          <w:sz w:val="24"/>
          <w:szCs w:val="24"/>
        </w:rPr>
      </w:pPr>
    </w:p>
    <w:p w14:paraId="389D117A" w14:textId="77777777" w:rsidR="00A556CC" w:rsidRDefault="00A556CC" w:rsidP="004E75D7">
      <w:pPr>
        <w:spacing w:after="0" w:line="240" w:lineRule="auto"/>
        <w:contextualSpacing/>
        <w:rPr>
          <w:rFonts w:ascii="Times New Roman" w:eastAsia="MS Gothic" w:hAnsi="Times New Roman"/>
          <w:b/>
          <w:bCs/>
          <w:sz w:val="24"/>
          <w:szCs w:val="24"/>
        </w:rPr>
      </w:pPr>
    </w:p>
    <w:p w14:paraId="7CB458D2" w14:textId="77777777" w:rsidR="00A556CC" w:rsidRDefault="00A556CC" w:rsidP="004E75D7">
      <w:pPr>
        <w:spacing w:after="0" w:line="240" w:lineRule="auto"/>
        <w:contextualSpacing/>
        <w:rPr>
          <w:rFonts w:ascii="Times New Roman" w:eastAsia="MS Gothic" w:hAnsi="Times New Roman"/>
          <w:b/>
          <w:bCs/>
          <w:sz w:val="24"/>
          <w:szCs w:val="24"/>
        </w:rPr>
      </w:pPr>
    </w:p>
    <w:p w14:paraId="2DC078E3" w14:textId="77777777" w:rsidR="00A556CC" w:rsidRDefault="00A556CC" w:rsidP="004E75D7">
      <w:pPr>
        <w:spacing w:after="0" w:line="240" w:lineRule="auto"/>
        <w:contextualSpacing/>
        <w:rPr>
          <w:rFonts w:ascii="Times New Roman" w:eastAsia="MS Gothic" w:hAnsi="Times New Roman"/>
          <w:b/>
          <w:bCs/>
          <w:sz w:val="24"/>
          <w:szCs w:val="24"/>
        </w:rPr>
      </w:pPr>
    </w:p>
    <w:p w14:paraId="4BEA5509" w14:textId="77777777" w:rsidR="00A556CC" w:rsidRDefault="00A556CC" w:rsidP="004E75D7">
      <w:pPr>
        <w:spacing w:after="0" w:line="240" w:lineRule="auto"/>
        <w:contextualSpacing/>
        <w:rPr>
          <w:rFonts w:ascii="Times New Roman" w:eastAsia="MS Gothic" w:hAnsi="Times New Roman"/>
          <w:b/>
          <w:bCs/>
          <w:sz w:val="24"/>
          <w:szCs w:val="24"/>
        </w:rPr>
      </w:pPr>
    </w:p>
    <w:p w14:paraId="77CD196D" w14:textId="77777777" w:rsidR="00A556CC" w:rsidRDefault="00A556CC" w:rsidP="004E75D7">
      <w:pPr>
        <w:spacing w:after="0" w:line="240" w:lineRule="auto"/>
        <w:contextualSpacing/>
        <w:rPr>
          <w:rFonts w:ascii="Times New Roman" w:eastAsia="MS Gothic" w:hAnsi="Times New Roman"/>
          <w:b/>
          <w:bCs/>
          <w:sz w:val="24"/>
          <w:szCs w:val="24"/>
        </w:rPr>
      </w:pPr>
    </w:p>
    <w:p w14:paraId="12555EAA" w14:textId="77777777" w:rsidR="00A556CC" w:rsidRDefault="00A556CC" w:rsidP="004E75D7">
      <w:pPr>
        <w:spacing w:after="0" w:line="240" w:lineRule="auto"/>
        <w:contextualSpacing/>
        <w:rPr>
          <w:rFonts w:ascii="Times New Roman" w:eastAsia="MS Gothic" w:hAnsi="Times New Roman"/>
          <w:b/>
          <w:bCs/>
          <w:sz w:val="24"/>
          <w:szCs w:val="24"/>
        </w:rPr>
      </w:pPr>
    </w:p>
    <w:p w14:paraId="701D612B" w14:textId="1AB6B027" w:rsidR="00A556CC" w:rsidRDefault="00A556CC" w:rsidP="004E75D7">
      <w:pPr>
        <w:spacing w:after="0" w:line="240" w:lineRule="auto"/>
        <w:contextualSpacing/>
        <w:rPr>
          <w:rFonts w:ascii="Times New Roman" w:eastAsia="MS Gothic" w:hAnsi="Times New Roman"/>
          <w:b/>
          <w:bCs/>
          <w:sz w:val="24"/>
          <w:szCs w:val="24"/>
        </w:rPr>
      </w:pPr>
      <w:r>
        <w:rPr>
          <w:rFonts w:ascii="Times New Roman" w:eastAsia="MS Gothic" w:hAnsi="Times New Roman"/>
          <w:b/>
          <w:bCs/>
          <w:sz w:val="24"/>
          <w:szCs w:val="24"/>
        </w:rPr>
        <w:lastRenderedPageBreak/>
        <w:t>Protocol Development and Contributions</w:t>
      </w:r>
    </w:p>
    <w:p w14:paraId="6B1EE150" w14:textId="480D8CD4" w:rsidR="00A556CC" w:rsidRDefault="00A556CC" w:rsidP="004E75D7">
      <w:pPr>
        <w:spacing w:after="0" w:line="240" w:lineRule="auto"/>
        <w:contextualSpacing/>
        <w:rPr>
          <w:rFonts w:ascii="Times New Roman" w:eastAsia="MS Gothic" w:hAnsi="Times New Roman"/>
          <w:bCs/>
          <w:sz w:val="24"/>
          <w:szCs w:val="24"/>
        </w:rPr>
      </w:pPr>
      <w:r>
        <w:rPr>
          <w:rFonts w:ascii="Times New Roman" w:eastAsia="MS Gothic" w:hAnsi="Times New Roman"/>
          <w:bCs/>
          <w:sz w:val="24"/>
          <w:szCs w:val="24"/>
        </w:rPr>
        <w:t xml:space="preserve">This protocol follows the Preferred Reporting Items for Systematic Review and Meta-Analysis Protocols (PRIMSA-P). The conception, design, and initial drafting of this protocol was led by the core group of investigators identified above. </w:t>
      </w:r>
    </w:p>
    <w:p w14:paraId="618F0DB4" w14:textId="77777777" w:rsidR="00A556CC" w:rsidRDefault="00A556CC" w:rsidP="004E75D7">
      <w:pPr>
        <w:spacing w:after="0" w:line="240" w:lineRule="auto"/>
        <w:contextualSpacing/>
        <w:rPr>
          <w:rFonts w:ascii="Times New Roman" w:eastAsia="MS Gothic" w:hAnsi="Times New Roman"/>
          <w:bCs/>
          <w:sz w:val="24"/>
          <w:szCs w:val="24"/>
        </w:rPr>
      </w:pPr>
    </w:p>
    <w:p w14:paraId="4AE08412" w14:textId="47029260" w:rsidR="00A556CC" w:rsidRDefault="00A556CC" w:rsidP="004E75D7">
      <w:pPr>
        <w:spacing w:after="0" w:line="240" w:lineRule="auto"/>
        <w:contextualSpacing/>
        <w:rPr>
          <w:rFonts w:ascii="Times New Roman" w:eastAsia="MS Gothic" w:hAnsi="Times New Roman"/>
          <w:b/>
          <w:bCs/>
          <w:sz w:val="24"/>
          <w:szCs w:val="24"/>
        </w:rPr>
      </w:pPr>
      <w:r>
        <w:rPr>
          <w:rFonts w:ascii="Times New Roman" w:eastAsia="MS Gothic" w:hAnsi="Times New Roman"/>
          <w:b/>
          <w:bCs/>
          <w:sz w:val="24"/>
          <w:szCs w:val="24"/>
        </w:rPr>
        <w:t>Organizational Affiliation of Review</w:t>
      </w:r>
    </w:p>
    <w:p w14:paraId="22378553" w14:textId="132E32E1" w:rsidR="00A556CC" w:rsidRDefault="00A556CC" w:rsidP="004E75D7">
      <w:pPr>
        <w:spacing w:after="0" w:line="240" w:lineRule="auto"/>
        <w:contextualSpacing/>
        <w:rPr>
          <w:rFonts w:ascii="Times New Roman" w:eastAsia="MS Gothic" w:hAnsi="Times New Roman"/>
          <w:bCs/>
          <w:sz w:val="24"/>
          <w:szCs w:val="24"/>
        </w:rPr>
      </w:pPr>
      <w:r>
        <w:rPr>
          <w:rFonts w:ascii="Times New Roman" w:eastAsia="MS Gothic" w:hAnsi="Times New Roman"/>
          <w:bCs/>
          <w:sz w:val="24"/>
          <w:szCs w:val="24"/>
        </w:rPr>
        <w:t>Ottawa Hospital Research Institute</w:t>
      </w:r>
    </w:p>
    <w:p w14:paraId="48B642D1" w14:textId="77777777" w:rsidR="00A556CC" w:rsidRDefault="00A556CC" w:rsidP="004E75D7">
      <w:pPr>
        <w:spacing w:after="0" w:line="240" w:lineRule="auto"/>
        <w:contextualSpacing/>
        <w:rPr>
          <w:rFonts w:ascii="Times New Roman" w:eastAsia="MS Gothic" w:hAnsi="Times New Roman"/>
          <w:bCs/>
          <w:sz w:val="24"/>
          <w:szCs w:val="24"/>
        </w:rPr>
      </w:pPr>
    </w:p>
    <w:p w14:paraId="6E62AB3E" w14:textId="6FF09815" w:rsidR="00A556CC" w:rsidRDefault="00A556CC" w:rsidP="004E75D7">
      <w:pPr>
        <w:spacing w:after="0" w:line="240" w:lineRule="auto"/>
        <w:contextualSpacing/>
        <w:rPr>
          <w:rFonts w:ascii="Times New Roman" w:eastAsia="MS Gothic" w:hAnsi="Times New Roman"/>
          <w:b/>
          <w:bCs/>
          <w:sz w:val="24"/>
          <w:szCs w:val="24"/>
        </w:rPr>
      </w:pPr>
      <w:r>
        <w:rPr>
          <w:rFonts w:ascii="Times New Roman" w:eastAsia="MS Gothic" w:hAnsi="Times New Roman"/>
          <w:b/>
          <w:bCs/>
          <w:sz w:val="24"/>
          <w:szCs w:val="24"/>
        </w:rPr>
        <w:t>Funding Sources/Sponsors</w:t>
      </w:r>
    </w:p>
    <w:p w14:paraId="5CA63949" w14:textId="4017F807" w:rsidR="00A556CC" w:rsidRDefault="00A556CC" w:rsidP="004E75D7">
      <w:pPr>
        <w:spacing w:after="0" w:line="240" w:lineRule="auto"/>
        <w:contextualSpacing/>
        <w:rPr>
          <w:rFonts w:ascii="Times New Roman" w:eastAsia="MS Gothic" w:hAnsi="Times New Roman"/>
          <w:bCs/>
          <w:sz w:val="24"/>
          <w:szCs w:val="24"/>
        </w:rPr>
      </w:pPr>
      <w:r>
        <w:rPr>
          <w:rFonts w:ascii="Times New Roman" w:eastAsia="MS Gothic" w:hAnsi="Times New Roman"/>
          <w:bCs/>
          <w:sz w:val="24"/>
          <w:szCs w:val="24"/>
        </w:rPr>
        <w:t xml:space="preserve">Sylvain Boet was supported by The Ottawa Hospital Anesthesia Alternate Funds Association. </w:t>
      </w:r>
    </w:p>
    <w:p w14:paraId="7C07536A" w14:textId="77777777" w:rsidR="00A556CC" w:rsidRDefault="00A556CC" w:rsidP="004E75D7">
      <w:pPr>
        <w:spacing w:after="0" w:line="240" w:lineRule="auto"/>
        <w:contextualSpacing/>
        <w:rPr>
          <w:rFonts w:ascii="Times New Roman" w:eastAsia="MS Gothic" w:hAnsi="Times New Roman"/>
          <w:bCs/>
          <w:sz w:val="24"/>
          <w:szCs w:val="24"/>
        </w:rPr>
      </w:pPr>
    </w:p>
    <w:p w14:paraId="7292FB62" w14:textId="4B2A1658" w:rsidR="00A556CC" w:rsidRDefault="00A556CC" w:rsidP="004E75D7">
      <w:pPr>
        <w:spacing w:after="0" w:line="240" w:lineRule="auto"/>
        <w:contextualSpacing/>
        <w:rPr>
          <w:rFonts w:ascii="Times New Roman" w:eastAsia="MS Gothic" w:hAnsi="Times New Roman"/>
          <w:b/>
          <w:bCs/>
          <w:sz w:val="24"/>
          <w:szCs w:val="24"/>
        </w:rPr>
      </w:pPr>
      <w:r>
        <w:rPr>
          <w:rFonts w:ascii="Times New Roman" w:eastAsia="MS Gothic" w:hAnsi="Times New Roman"/>
          <w:b/>
          <w:bCs/>
          <w:sz w:val="24"/>
          <w:szCs w:val="24"/>
        </w:rPr>
        <w:t>Conflicts of Interest</w:t>
      </w:r>
    </w:p>
    <w:p w14:paraId="0BC2CC73" w14:textId="5DCB2860" w:rsidR="00A556CC" w:rsidRPr="00A556CC" w:rsidRDefault="00A556CC" w:rsidP="004E75D7">
      <w:pPr>
        <w:spacing w:after="0" w:line="240" w:lineRule="auto"/>
        <w:contextualSpacing/>
        <w:rPr>
          <w:rFonts w:ascii="Times New Roman" w:eastAsia="MS Gothic" w:hAnsi="Times New Roman"/>
          <w:bCs/>
          <w:sz w:val="24"/>
          <w:szCs w:val="24"/>
        </w:rPr>
      </w:pPr>
      <w:r>
        <w:rPr>
          <w:rFonts w:ascii="Times New Roman" w:eastAsia="MS Gothic" w:hAnsi="Times New Roman"/>
          <w:bCs/>
          <w:sz w:val="24"/>
          <w:szCs w:val="24"/>
        </w:rPr>
        <w:t xml:space="preserve">The authors have no conflicts of interest to declare. </w:t>
      </w:r>
    </w:p>
    <w:p w14:paraId="2BCCDA9D" w14:textId="77777777" w:rsidR="005C6365" w:rsidRDefault="005C6365" w:rsidP="004E75D7">
      <w:pPr>
        <w:spacing w:after="0" w:line="240" w:lineRule="auto"/>
        <w:contextualSpacing/>
        <w:rPr>
          <w:rFonts w:ascii="Times New Roman" w:hAnsi="Times New Roman" w:cs="Times New Roman"/>
          <w:b/>
          <w:color w:val="000000" w:themeColor="text1"/>
          <w:sz w:val="24"/>
          <w:szCs w:val="24"/>
        </w:rPr>
      </w:pPr>
    </w:p>
    <w:p w14:paraId="2287368F" w14:textId="509DACFF" w:rsidR="0065155D" w:rsidRPr="00B44716" w:rsidRDefault="00506151" w:rsidP="004E75D7">
      <w:pPr>
        <w:spacing w:after="0" w:line="240" w:lineRule="auto"/>
        <w:contextualSpacing/>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Background and </w:t>
      </w:r>
      <w:r w:rsidR="0065155D">
        <w:rPr>
          <w:rFonts w:ascii="Times New Roman" w:hAnsi="Times New Roman" w:cs="Times New Roman"/>
          <w:b/>
          <w:color w:val="000000" w:themeColor="text1"/>
          <w:sz w:val="24"/>
          <w:szCs w:val="24"/>
        </w:rPr>
        <w:t>Rationale</w:t>
      </w:r>
    </w:p>
    <w:p w14:paraId="0475930F" w14:textId="0C5476D9" w:rsidR="0039728B" w:rsidRDefault="0039728B" w:rsidP="00F05633">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Clinical competence in anesthesia requires proficiency in n</w:t>
      </w:r>
      <w:r w:rsidR="00BE4E80">
        <w:rPr>
          <w:rFonts w:ascii="Times New Roman" w:hAnsi="Times New Roman" w:cs="Times New Roman"/>
          <w:color w:val="000000" w:themeColor="text1"/>
          <w:sz w:val="24"/>
          <w:szCs w:val="24"/>
        </w:rPr>
        <w:t xml:space="preserve">on-technical skills </w:t>
      </w:r>
      <w:r>
        <w:rPr>
          <w:rFonts w:ascii="Times New Roman" w:hAnsi="Times New Roman" w:cs="Times New Roman"/>
          <w:color w:val="000000" w:themeColor="text1"/>
          <w:sz w:val="24"/>
          <w:szCs w:val="24"/>
        </w:rPr>
        <w:t xml:space="preserve">(e.g. </w:t>
      </w:r>
      <w:r w:rsidR="00BE4E80">
        <w:rPr>
          <w:rFonts w:ascii="Times New Roman" w:hAnsi="Times New Roman" w:cs="Times New Roman"/>
          <w:color w:val="000000" w:themeColor="text1"/>
          <w:sz w:val="24"/>
          <w:szCs w:val="24"/>
        </w:rPr>
        <w:t>communica</w:t>
      </w:r>
      <w:r>
        <w:rPr>
          <w:rFonts w:ascii="Times New Roman" w:hAnsi="Times New Roman" w:cs="Times New Roman"/>
          <w:color w:val="000000" w:themeColor="text1"/>
          <w:sz w:val="24"/>
          <w:szCs w:val="24"/>
        </w:rPr>
        <w:t>tion, leadership,</w:t>
      </w:r>
      <w:r w:rsidR="00BE4E80">
        <w:rPr>
          <w:rFonts w:ascii="Times New Roman" w:hAnsi="Times New Roman" w:cs="Times New Roman"/>
          <w:color w:val="000000" w:themeColor="text1"/>
          <w:sz w:val="24"/>
          <w:szCs w:val="24"/>
        </w:rPr>
        <w:t xml:space="preserve"> situation awareness</w:t>
      </w:r>
      <w:r>
        <w:rPr>
          <w:rFonts w:ascii="Times New Roman" w:hAnsi="Times New Roman" w:cs="Times New Roman"/>
          <w:color w:val="000000" w:themeColor="text1"/>
          <w:sz w:val="24"/>
          <w:szCs w:val="24"/>
        </w:rPr>
        <w:t>)</w:t>
      </w:r>
      <w:r w:rsidR="007B1D6F">
        <w:rPr>
          <w:rFonts w:ascii="Times New Roman" w:hAnsi="Times New Roman" w:cs="Times New Roman"/>
          <w:color w:val="000000" w:themeColor="text1"/>
          <w:sz w:val="24"/>
          <w:szCs w:val="24"/>
        </w:rPr>
        <w:t>.</w:t>
      </w:r>
      <w:r w:rsidR="00AF16FF">
        <w:rPr>
          <w:rFonts w:ascii="Times New Roman" w:hAnsi="Times New Roman" w:cs="Times New Roman"/>
          <w:color w:val="000000" w:themeColor="text1"/>
          <w:sz w:val="24"/>
          <w:szCs w:val="24"/>
        </w:rPr>
        <w:fldChar w:fldCharType="begin" w:fldLock="1"/>
      </w:r>
      <w:r w:rsidR="0091499F">
        <w:rPr>
          <w:rFonts w:ascii="Times New Roman" w:hAnsi="Times New Roman" w:cs="Times New Roman"/>
          <w:color w:val="000000" w:themeColor="text1"/>
          <w:sz w:val="24"/>
          <w:szCs w:val="24"/>
        </w:rPr>
        <w:instrText>ADDIN CSL_CITATION { "citationItems" : [ { "id" : "ITEM-1", "itemData" : { "DOI" : "10.1093/bja/aes359", "abstract" : "Background. Teaching trainees to become competent professionals who can keep the complex system of anaesthesia safe is important. From a safety point of view, non-technical skills such as smooth cooperation and good communication deserve as much attention as theoretical knowledge and practical skills, which by tradition have dominated training programmes in anaesthesiology. This study aimed to describe the way excellent anaesthetists act in the operating theatre, as seen by experienced anaesthesia nurses. Methods. The study had a descriptive and qualitative design. Five focus group interviews with three or four experienced Swedish anaesthesia nurses in each group were conducted. Interviews were analysed by using a qualitative method, looking for common themes. Results. Six themes were found: (A) structured, responsible, and focused way of approaching work tasks; (B) clear and informative, briefing the team about the action plan before induction; (C) humble to the complexity of anaesthesia, admitting own fallibility; (D) patient-centred, having a personal contact with the patient before induction; (D) fluent in practical work without losing overview; and (F) calm and clear in critical situations, being able to change to a strong leading style. Conclusions. Experienced anaesthesia nurses gave nuanced descriptions of how excellent anaesthetists behave and perform. These aspects of the anaesthetist's work often attract too little attention in specialist training, notwithstanding their importance for safety and fluency at work. Creating role models based on studies like the present one could be one way of increasing safety in anaesthesia.", "author" : [ { "dropping-particle" : "", "family" : "Larsson", "given" : "J", "non-dropping-particle" : "", "parse-names" : false, "suffix" : "" }, { "dropping-particle" : "", "family" : "Holmstr\u00f6 M", "given" : "I K", "non-dropping-particle" : "", "parse-names" : false, "suffix" : "" } ], "id" : "ITEM-1", "issued" : { "date-parts" : [ [ "0" ] ] }, "title" : "How excellent anaesthetists perform in the operating theatre: a qualitative study on non-technical skills", "type" : "article-journal" }, "uris" : [ "http://www.mendeley.com/documents/?uuid=079b84f6-3f0c-3772-8af4-104b7cd0c21b" ] }, { "id" : "ITEM-2", "itemData" : { "ISSN" : "1365-2044", "abstract" : "Non-technical skills are recognised as crucial to good anaesthetic practice. We designed and evaluated a specialty-specific tool to assess non-technical aspects of trainee performance in theatre, based on a system previously found reliable in a recruitment setting. We compared inter-rater agreement (multir-ater kappa) for live assessments in theatre with that in a selection centre and a video-based rater training exercise. Twenty-seven trainees participated in the first in-theatre assessment round and 40 in the second. Round- 1 scores had poor inter-rater agreement (mean kappa = 0.20) and low reliability (generalisability coefficient G = 0.50). A subsequent assessor training exercise showed good inter-rater agreement, (mean kappa = 0.79) but did not improve performance of the assessment tool when used in round 2 (mean kappa = 0.14, G = 0.42). Inter-rater agreement in two selection centres (mean kappa = 0.61 and 0.69) exceeded that found in theatre. Assessment tools that perform reliably in controlled settings may not do so in the workplace.Copyright Anaesthesia Ac 2011 The Association of Anaesthetists of Great Britain and Ireland", "author" : [ { "dropping-particle" : "V", "family" : "Crossingham", "given" : "G", "non-dropping-particle" : "", "parse-names" : false, "suffix" : "" }, { "dropping-particle" : "", "family" : "Sice", "given" : "P J A", "non-dropping-particle" : "", "parse-names" : false, "suffix" : "" }, { "dropping-particle" : "", "family" : "Roberts", "given" : "M J", "non-dropping-particle" : "", "parse-names" : false, "suffix" : "" }, { "dropping-particle" : "", "family" : "Lam", "given" : "W H", "non-dropping-particle" : "", "parse-names" : false, "suffix" : "" }, { "dropping-particle" : "", "family" : "Gale", "given" : "T C E", "non-dropping-particle" : "", "parse-names" : false, "suffix" : "" } ], "container-title" : "Anaesthesia", "id" : "ITEM-2", "issue" : "2", "issued" : { "date-parts" : [ [ "2012" ] ] }, "page" : "158-164", "publisher-place" : "England", "title" : "Development of workplace-based assessments of non-technical skills in anaesthesia", "type" : "article-journal", "volume" : "67" }, "uris" : [ "http://www.mendeley.com/documents/?uuid=81a19403-294c-437d-bdf9-1dbf03db9a9e" ] }, { "id" : "ITEM-3", "itemData" : { "author" : [ { "dropping-particle" : "", "family" : "Fletcher", "given" : "G C L", "non-dropping-particle" : "", "parse-names" : false, "suffix" : "" }, { "dropping-particle" : "", "family" : "Mcgeorge", "given" : "P", "non-dropping-particle" : "", "parse-names" : false, "suffix" : "" }, { "dropping-particle" : "", "family" : "Flin", "given" : "R H", "non-dropping-particle" : "", "parse-names" : false, "suffix" : "" }, { "dropping-particle" : "", "family" : "Glavin", "given" : "R J", "non-dropping-particle" : "", "parse-names" : false, "suffix" : "" }, { "dropping-particle" : "", "family" : "Maran", "given" : "N J", "non-dropping-particle" : "", "parse-names" : false, "suffix" : "" } ], "container-title" : "Br J Anaesth", "id" : "ITEM-3", "issued" : { "date-parts" : [ [ "2002" ] ] }, "page" : "418-29", "title" : "The role of non-technical skills in anaesthesia: a review of current literature", "type" : "article-journal", "volume" : "88" }, "uris" : [ "http://www.mendeley.com/documents/?uuid=fed73605-847d-31f6-bfea-850e95e5f6ac" ] } ], "mendeley" : { "formattedCitation" : "&lt;sup&gt;1\u20133&lt;/sup&gt;", "plainTextFormattedCitation" : "1\u20133", "previouslyFormattedCitation" : "&lt;sup&gt;1\u20133&lt;/sup&gt;" }, "properties" : { "noteIndex" : 0 }, "schema" : "https://github.com/citation-style-language/schema/raw/master/csl-citation.json" }</w:instrText>
      </w:r>
      <w:r w:rsidR="00AF16FF">
        <w:rPr>
          <w:rFonts w:ascii="Times New Roman" w:hAnsi="Times New Roman" w:cs="Times New Roman"/>
          <w:color w:val="000000" w:themeColor="text1"/>
          <w:sz w:val="24"/>
          <w:szCs w:val="24"/>
        </w:rPr>
        <w:fldChar w:fldCharType="separate"/>
      </w:r>
      <w:r w:rsidR="00AF16FF" w:rsidRPr="00AF16FF">
        <w:rPr>
          <w:rFonts w:ascii="Times New Roman" w:hAnsi="Times New Roman" w:cs="Times New Roman"/>
          <w:noProof/>
          <w:color w:val="000000" w:themeColor="text1"/>
          <w:sz w:val="24"/>
          <w:szCs w:val="24"/>
          <w:vertAlign w:val="superscript"/>
        </w:rPr>
        <w:t>1–3</w:t>
      </w:r>
      <w:r w:rsidR="00AF16FF">
        <w:rPr>
          <w:rFonts w:ascii="Times New Roman" w:hAnsi="Times New Roman" w:cs="Times New Roman"/>
          <w:color w:val="000000" w:themeColor="text1"/>
          <w:sz w:val="24"/>
          <w:szCs w:val="24"/>
        </w:rPr>
        <w:fldChar w:fldCharType="end"/>
      </w:r>
      <w:r w:rsidR="0036236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Despite the importance of technical skills for effective operating room (OR) performance, a large </w:t>
      </w:r>
      <w:r>
        <w:rPr>
          <w:rFonts w:ascii="Times New Roman" w:hAnsi="Times New Roman" w:cs="Times New Roman"/>
          <w:color w:val="000000" w:themeColor="text1"/>
          <w:sz w:val="24"/>
          <w:szCs w:val="24"/>
        </w:rPr>
        <w:t>proportion of intraoperative errors, adverse patient outcomes, and mortality</w:t>
      </w:r>
      <w:r>
        <w:rPr>
          <w:rFonts w:ascii="Times New Roman" w:hAnsi="Times New Roman"/>
          <w:sz w:val="24"/>
          <w:szCs w:val="24"/>
        </w:rPr>
        <w:fldChar w:fldCharType="begin" w:fldLock="1"/>
      </w:r>
      <w:r>
        <w:rPr>
          <w:rFonts w:ascii="Times New Roman" w:hAnsi="Times New Roman"/>
          <w:sz w:val="24"/>
          <w:szCs w:val="24"/>
        </w:rPr>
        <w:instrText>ADDIN CSL_CITATION { "citationItems" : [ { "id" : "ITEM-1", "itemData" : { "DOI" : "10.1016/j.jss.2012.04.029", "ISBN" : "0022-4804", "ISSN" : "00224804", "PMID" : "22591922", "abstract" : "Background: Communication failure is a common contributor to adverse events. We sought to characterize communication failures during complex operations. Methods: We video recorded and transcribed six complex operations, representing 22 h of patient care. For each communication event, we determined the participants and the content discussed. Failures were classified into four types: audience (key individuals missing), purpose (issue nonresolution), content (insufficient/inaccurate information), and/or occasion (futile timing). We added a systems category to reflect communication occurring at the organizational level. The impact of each identified failure was described. Results: We observed communication failures in every case (mean 29, median 28, range 13-48), at a rate of one every 8 min. Cross-disciplinary exchanges resulted in failure nearly twice as often as intradisciplinary ones. Discussions about or mandated by hospital policy (20%), personnel (18%), or other patient care (17%) were most error prone. Audience and purpose each accounted for &gt;40% of failures. A substantial proportion (26%) reflected flawed systems for communication, particularly those for disseminating policy (29% of system failures), coordinating personnel (27%), and conveying the procedure planned (27%) or the equipment needed (24%). In 81% of failures, inefficiency (extraneous discussion and/or work) resulted. Resource waste (19%) and work-arounds (13%) also were frequently seen. Conclusions: During complex operations, communication failures occur frequently and lead to inefficiency. Prevention may be achieved by improving synchronous, cross-disciplinary communication. The rate of failure during discussions about/mandated by policy highlights the need for carefully designed standardized interventions. System-level support for asynchronous perioperative communication may streamline operating room coordination and preparation efforts. ?? 2012 Elsevier Inc. All rights reserved.", "author" : [ { "dropping-particle" : "", "family" : "Hu", "given" : "Yue Yung", "non-dropping-particle" : "", "parse-names" : false, "suffix" : "" }, { "dropping-particle" : "", "family" : "Arriaga", "given" : "Alexander F.", "non-dropping-particle" : "", "parse-names" : false, "suffix" : "" }, { "dropping-particle" : "", "family" : "Peyre", "given" : "Sarah E.", "non-dropping-particle" : "", "parse-names" : false, "suffix" : "" }, { "dropping-particle" : "", "family" : "Corso", "given" : "Katherine A.", "non-dropping-particle" : "", "parse-names" : false, "suffix" : "" }, { "dropping-particle" : "", "family" : "Roth", "given" : "Emilie M.", "non-dropping-particle" : "", "parse-names" : false, "suffix" : "" }, { "dropping-particle" : "", "family" : "Greenberg", "given" : "Caprice C.", "non-dropping-particle" : "", "parse-names" : false, "suffix" : "" } ], "container-title" : "Journal of Surgical Research", "id" : "ITEM-1", "issue" : "1", "issued" : { "date-parts" : [ [ "2012" ] ] }, "page" : "37-42", "publisher" : "Elsevier Ltd", "title" : "Deconstructing intraoperative communication failures", "type" : "article-journal", "volume" : "177" }, "uris" : [ "http://www.mendeley.com/documents/?uuid=bdc19a15-dcb3-488c-8a2a-dcff169103ff" ] }, { "id" : "ITEM-2", "itemData" : { "DOI" : "10.1016/j.amjsurg.2012.11.009", "ISBN" : "1879-1883 (Electronic)\\n0002-9610 (Linking)", "ISSN" : "00029610", "PMID" : "23642651", "abstract" : "Background: The aim of this systematic review is to quantify potentially preventable patient harm from the frequency, severity, and preventability of the consequences and causes of surgical adverse events to help target patient safety improvement efforts. Data Sources: Two authors independently reviewed articles retrieved from systematic searches of the Cochrane library, MEDLINE, Embase, PsycINFO, and Cumulative Index to Nursing &amp; Allied Health Literature databases for inclusion and exclusion criteria, methodology, and end points. All retrospective record review studies of adverse events were included. The primary end point was the frequency of general surgery adverse events. The secondary end points were the severity and preventability of consequences and causes. Conclusions: Fourteen record review studies incorporating 16,424 surgical patients were included. Adverse events occurred in 14.4% of patients (interquartile range [IQR], 12.5% to 20.1%), and potentially preventable adverse events occurred in 5.2% (IQR, 4.2% to 7.0%). The consequences of 3.6% of adverse events (IQR, 3.1% to 4.4%) were fatal, those of 10.4% (IQR, 8.5% to 12.3%) were severe, those of 34.2% (IQR, 29.2% to 39.2%) were moderate, and those of 52.5% (IQR, 49.8% to 55.3%) were minor. Errors in nonoperative management caused more frequent adverse events than errors in surgical technique. \u00a9 2013 Elsevier Inc. All rights reserved.", "author" : [ { "dropping-particle" : "", "family" : "Anderson", "given" : "Oliver", "non-dropping-particle" : "", "parse-names" : false, "suffix" : "" }, { "dropping-particle" : "", "family" : "Davis", "given" : "Rachel", "non-dropping-particle" : "", "parse-names" : false, "suffix" : "" }, { "dropping-particle" : "", "family" : "Hanna", "given" : "George B.", "non-dropping-particle" : "", "parse-names" : false, "suffix" : "" }, { "dropping-particle" : "", "family" : "Vincent", "given" : "Charles A.", "non-dropping-particle" : "", "parse-names" : false, "suffix" : "" } ], "container-title" : "American Journal of Surgery", "id" : "ITEM-2", "issue" : "2", "issued" : { "date-parts" : [ [ "2013" ] ] }, "page" : "253-262", "publisher" : "Elsevier Inc", "title" : "Surgical adverse events: A systematic review", "type" : "article-journal", "volume" : "206" }, "uris" : [ "http://www.mendeley.com/documents/?uuid=737c7e78-deb9-4642-920f-dc5c9bf13d70" ] }, { "id" : "ITEM-3", "itemData" : { "DOI" : "10.1016/j.amjsurg.2008.03.002", "ISBN" : "0002-9610", "ISSN" : "00029610", "PMID" : "18789425", "abstract" : "Background: Little evidence exists that links teamwork to patient outcomes. We conducted this study to determine if patients of teams with good teamwork had better outcomes than those with poor teamwork. Methods: Observers used a standardized instrument to assess team behaviors. Retrospective chart review was performed to measure 30-day outcomes. Multiple logistic regressions were calculated to assess the independence of the association between teamwork with patient outcome after adjusting for American Society of Anesthesiologists (ASA) score. Results: In univariate analyses, patients had increased odds of complications or death when the following behaviors were exhibited less frequently: information sharing during intraoperative phases, briefing during handoff phases, and information sharing during handoff phases. Composite measures of teamwork across all operative phases were significantly associated with complication or death after adjusting for ASA score (odds ratio 4.82; 95% confidence interval, 1.30-17.87). Conclusion: When teams exhibited infrequent team behaviors, patients were more likely to experience death or major complication. ?? 2009 Elsevier Inc. All rights reserved.", "author" : [ { "dropping-particle" : "", "family" : "Mazzocco", "given" : "Karen", "non-dropping-particle" : "", "parse-names" : false, "suffix" : "" }, { "dropping-particle" : "", "family" : "Petitti", "given" : "Diana B.", "non-dropping-particle" : "", "parse-names" : false, "suffix" : "" }, { "dropping-particle" : "", "family" : "Fong", "given" : "Kenneth T.", "non-dropping-particle" : "", "parse-names" : false, "suffix" : "" }, { "dropping-particle" : "", "family" : "Bonacum", "given" : "Doug", "non-dropping-particle" : "", "parse-names" : false, "suffix" : "" }, { "dropping-particle" : "", "family" : "Brookey", "given" : "John", "non-dropping-particle" : "", "parse-names" : false, "suffix" : "" }, { "dropping-particle" : "", "family" : "Graham", "given" : "Suzanne", "non-dropping-particle" : "", "parse-names" : false, "suffix" : "" }, { "dropping-particle" : "", "family" : "Lasky", "given" : "Robert E.", "non-dropping-particle" : "", "parse-names" : false, "suffix" : "" }, { "dropping-particle" : "", "family" : "Sexton", "given" : "J. Bryan", "non-dropping-particle" : "", "parse-names" : false, "suffix" : "" }, { "dropping-particle" : "", "family" : "Thomas", "given" : "Eric J.", "non-dropping-particle" : "", "parse-names" : false, "suffix" : "" } ], "container-title" : "American Journal of Surgery", "id" : "ITEM-3", "issue" : "5", "issued" : { "date-parts" : [ [ "2009" ] ] }, "page" : "678-685", "publisher" : "Elsevier Inc.", "title" : "Surgical team behaviors and patient outcomes", "type" : "article-journal", "volume" : "197" }, "uris" : [ "http://www.mendeley.com/documents/?uuid=43d045c5-8cfe-491d-b71c-5f3440e7567e" ] }, { "id" : "ITEM-4", "itemData" : { "DOI" : "10.1097/SLA.0b013e3181642ec8", "ISBN" : "0003-4932 (Print)\\r0003-4932 (Linking)", "ISSN" : "0003-4932", "PMID" : "18362635", "abstract" : "OBJECTIVE: To analyze the effects of surgical, anesthetic, and nursing teamwork skills on technical outcomes. SUMMARY BACKGROUND DATA: The value of team skills in reducing adverse events in the operating room is presently receiving considerable attention. Current work has not yet identified in detail how the teamwork and communication skills of surgeons, anesthetists, and nurses affect the course of an operation. METHODS: Twenty-six laparoscopic cholecystectomies and 22 carotid endarterectomies were studied using direct observation methods. For each operation, teams' skills were scored for the whole team, and for nursing, surgical, and anesthetic subteams on 4 dimensions (leadership and management [LM]; teamwork and cooperation; problem solving and decision making; and situation awareness). Operating time, errors in surgical technique, and other procedural problems and errors were measured as outcome parameters for each operation. The relationships between teamwork scores and these outcome parameters within each operation were examined using analysis of variance and linear regression. RESULTS: Surgical (F(2,42) = 3.32, P = 0.046) and anesthetic (F(2,42) = 3.26, P = 0.048) LM had significant but opposite relationships with operating time in each operation: operating time increased significantly with higher anesthetic but decreased with higher surgical LM scores. Errors in surgical technique had a strong association with surgical situation awareness (F(2,42) = 7.93, P &lt; 0.001) in each operation. Other procedural problems and errors were related to the intraoperative LM skills of the nurses (F(5,1) = 3.96, P = 0.027). CONCLUSIONS: Detailed analysis of team interactions and dimensions is feasible and valuable, yielding important insights into relationships between nontechnical skills, technical performance, and operative duration. These results support the concept that interventions designed to improve teamwork and communication may have beneficial effects on technical performance and patient outcome.", "author" : [ { "dropping-particle" : "", "family" : "Catchpole", "given" : "K", "non-dropping-particle" : "", "parse-names" : false, "suffix" : "" }, { "dropping-particle" : "", "family" : "Mishra", "given" : "A", "non-dropping-particle" : "", "parse-names" : false, "suffix" : "" }, { "dropping-particle" : "", "family" : "Handa", "given" : "A", "non-dropping-particle" : "", "parse-names" : false, "suffix" : "" }, { "dropping-particle" : "", "family" : "McCulloch", "given" : "P", "non-dropping-particle" : "", "parse-names" : false, "suffix" : "" } ], "container-title" : "Ann Surg", "id" : "ITEM-4", "issue" : "4", "issued" : { "date-parts" : [ [ "2008" ] ] }, "page" : "699-706", "title" : "Teamwork and error in the operating room: analysis of skills and roles", "type" : "article-journal", "volume" : "247" }, "uris" : [ "http://www.mendeley.com/documents/?uuid=3bd6a9a9-876e-4348-b8f3-a89a1194c9ce" ] }, { "id" : "ITEM-5", "itemData" : { "DOI" : "10.1007/s40140-014-0050-0", "ISSN" : "2167-6275", "abstract" : "Surgical patients are at risk of harm from avoidable adverse events, many of which are at least in part attributable to failures in teamwork and communication. We undertook a systematic review of studies of interven-tions to improve teamwork and communication in the operating room (OR) that measured an outcome important for patient care in the clinical environment. We found good evidence to support several interventions: structured approaches to information sharing between OR team members; ongoing programmes of team training; and organisational changes to support team function. Many studies demonstrated improved team function in the clini-cal environment, improved OR processes, and/or improved patient outcomes. This review identified successful approaches to improving teamwork and communication in the OR and provided recommendations for practice.", "author" : [ { "dropping-particle" : "", "family" : "Weller", "given" : "Jennifer", "non-dropping-particle" : "", "parse-names" : false, "suffix" : "" }, { "dropping-particle" : "", "family" : "Boyd", "given" : "Matthew", "non-dropping-particle" : "", "parse-names" : false, "suffix" : "" } ], "container-title" : "Current Anesthesiology Reports", "id" : "ITEM-5", "issue" : "2", "issued" : { "date-parts" : [ [ "2014" ] ] }, "page" : "77-83", "title" : "Making a Difference Through Improving Teamwork in the Operating Room: A Systematic Review of the Evidence on What Works", "type" : "article-journal", "volume" : "4" }, "uris" : [ "http://www.mendeley.com/documents/?uuid=bd1c2868-8f53-461f-ade2-d8ab3ad37ff0" ] }, { "id" : "ITEM-6", "itemData" : { "DOI" : "10.1093/bja/aeq135", "ISBN" : "1471-6771 (Electronic)\\r0007-0912 (Linking)", "ISSN" : "00070912", "PMID" : "20551026", "abstract" : "The person-centred analysis and prevention approach has long dominated proposals to improve patient safety in healthcare. In this approach, the focus is on the individual responsible for making an error. An alternative is the systems-centred approach, in which attention is paid to the organizational factors that create precursors for individual errors. This approach assumes that since humans are fallible, systems must be designed to prevent humans from making errors or to be tolerant to those errors. The questions raised by this approach might, for example, include asking why an individual had specific gaps in their knowledge, experience, or ability. The systems approach focuses on working conditions rather than on errors of individuals, as the likelihood of specific errors increases with unfavourable conditions. Since the factors that promote errors are not directly visible in the working environment, they are described as latent risk factors (LRFs). Safety failures in anaesthesia, in particular, and medicine, in general, result from multiple unfavourable LRFs, so we propose that effective interventions require that attention is paid to interactions between multiple factors and actors. Understanding how LRFs affect safety can enable us to design more effective control measures that will impact significantly on both individual performance and patient outcomes.", "author" : [ { "dropping-particle" : "", "family" : "Beuzekom", "given" : "M.", "non-dropping-particle" : "Van", "parse-names" : false, "suffix" : "" }, { "dropping-particle" : "", "family" : "Boer", "given" : "F.", "non-dropping-particle" : "", "parse-names" : false, "suffix" : "" }, { "dropping-particle" : "", "family" : "Akerboom", "given" : "S.", "non-dropping-particle" : "", "parse-names" : false, "suffix" : "" }, { "dropping-particle" : "", "family" : "Hudson", "given" : "P.", "non-dropping-particle" : "", "parse-names" : false, "suffix" : "" } ], "container-title" : "British Journal of Anaesthesia", "id" : "ITEM-6", "issue" : "1", "issued" : { "date-parts" : [ [ "2010" ] ] }, "page" : "52-59", "title" : "Patient safety: Latent risk factors", "type" : "article-journal", "volume" : "105" }, "uris" : [ "http://www.mendeley.com/documents/?uuid=926ed60d-1046-40f8-a368-1f3f01b3afa6" ] }, { "id" : "ITEM-7", "itemData" : { "DOI" : "10.1053/j.sempedsurg.2015.08.003", "ISSN" : "10558586", "abstract" : "Traditional surgical attitude regarding error and complications has focused on individual failings. Human factors research has brought new and significant insights into the occurrence of error in healthcare, helping us identify systemic problems that injure patients while enhancing individual accountability and teamwork. This article introduces human factors science and its applicability to teamwork, surgical culture, medical error, and individual accountability.", "author" : [ { "dropping-particle" : "", "family" : "Stein", "given" : "James E.", "non-dropping-particle" : "", "parse-names" : false, "suffix" : "" } ], "container-title" : "Seminars in Pediatric Surgery", "id" : "ITEM-7", "issue" : "6", "issued" : { "date-parts" : [ [ "2015" ] ] }, "page" : "278-282", "title" : "The Swiss cheese model of adverse event occurrence\u2014Closing the holes", "type" : "article-journal", "volume" : "24" }, "uris" : [ "http://www.mendeley.com/documents/?uuid=c1f1354e-471d-3fc0-8e0c-192c83396bc6" ] } ], "mendeley" : { "formattedCitation" : "&lt;sup&gt;4\u201310&lt;/sup&gt;", "plainTextFormattedCitation" : "4\u201310", "previouslyFormattedCitation" : "&lt;sup&gt;4\u201310&lt;/sup&gt;" }, "properties" : { "noteIndex" : 0 }, "schema" : "https://github.com/citation-style-language/schema/raw/master/csl-citation.json" }</w:instrText>
      </w:r>
      <w:r>
        <w:rPr>
          <w:rFonts w:ascii="Times New Roman" w:hAnsi="Times New Roman"/>
          <w:sz w:val="24"/>
          <w:szCs w:val="24"/>
        </w:rPr>
        <w:fldChar w:fldCharType="separate"/>
      </w:r>
      <w:r w:rsidRPr="00AF16FF">
        <w:rPr>
          <w:rFonts w:ascii="Times New Roman" w:hAnsi="Times New Roman"/>
          <w:noProof/>
          <w:sz w:val="24"/>
          <w:szCs w:val="24"/>
          <w:vertAlign w:val="superscript"/>
        </w:rPr>
        <w:t>4–10</w:t>
      </w:r>
      <w:r>
        <w:rPr>
          <w:rFonts w:ascii="Times New Roman" w:hAnsi="Times New Roman"/>
          <w:sz w:val="24"/>
          <w:szCs w:val="24"/>
        </w:rPr>
        <w:fldChar w:fldCharType="end"/>
      </w:r>
      <w:r>
        <w:rPr>
          <w:rFonts w:ascii="Times New Roman" w:hAnsi="Times New Roman"/>
          <w:sz w:val="24"/>
          <w:szCs w:val="24"/>
        </w:rPr>
        <w:t xml:space="preserve"> is due to deficiencies in non-technical skills. </w:t>
      </w:r>
    </w:p>
    <w:p w14:paraId="5CFD97A1" w14:textId="77777777" w:rsidR="00DD2DAC" w:rsidRDefault="00DD2DAC" w:rsidP="00F05633">
      <w:pPr>
        <w:spacing w:after="0" w:line="240" w:lineRule="auto"/>
        <w:contextualSpacing/>
        <w:rPr>
          <w:rFonts w:ascii="Times New Roman" w:hAnsi="Times New Roman" w:cs="Times New Roman"/>
          <w:color w:val="000000" w:themeColor="text1"/>
          <w:sz w:val="24"/>
          <w:szCs w:val="24"/>
        </w:rPr>
      </w:pPr>
    </w:p>
    <w:p w14:paraId="7A44A60B" w14:textId="49E9BD2C" w:rsidR="00385B91" w:rsidRDefault="0039728B" w:rsidP="00385B91">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There has been more frequent assessment of professional practice in recent years as a result of emerging competency-based medical education requirements and an emphasis on accountability </w:t>
      </w:r>
      <w:r w:rsidR="00385B91">
        <w:rPr>
          <w:rFonts w:ascii="Times New Roman" w:hAnsi="Times New Roman" w:cs="Times New Roman"/>
          <w:color w:val="000000" w:themeColor="text1"/>
          <w:sz w:val="24"/>
          <w:szCs w:val="24"/>
        </w:rPr>
        <w:t>of professional performance</w:t>
      </w:r>
      <w:r>
        <w:rPr>
          <w:rFonts w:ascii="Times New Roman" w:hAnsi="Times New Roman" w:cs="Times New Roman"/>
          <w:color w:val="000000" w:themeColor="text1"/>
          <w:sz w:val="24"/>
          <w:szCs w:val="24"/>
        </w:rPr>
        <w:t xml:space="preserve"> for patient safety</w:t>
      </w:r>
      <w:r w:rsidR="00772052">
        <w:rPr>
          <w:rFonts w:ascii="Times New Roman" w:hAnsi="Times New Roman" w:cs="Times New Roman"/>
          <w:color w:val="000000" w:themeColor="text1"/>
          <w:sz w:val="24"/>
          <w:szCs w:val="24"/>
        </w:rPr>
        <w:t>.</w:t>
      </w:r>
      <w:r w:rsidR="0064667F">
        <w:rPr>
          <w:rFonts w:ascii="Times New Roman" w:hAnsi="Times New Roman" w:cs="Times New Roman"/>
          <w:color w:val="000000" w:themeColor="text1"/>
          <w:sz w:val="24"/>
          <w:szCs w:val="24"/>
        </w:rPr>
        <w:fldChar w:fldCharType="begin" w:fldLock="1"/>
      </w:r>
      <w:r w:rsidR="0091499F">
        <w:rPr>
          <w:rFonts w:ascii="Times New Roman" w:hAnsi="Times New Roman" w:cs="Times New Roman"/>
          <w:color w:val="000000" w:themeColor="text1"/>
          <w:sz w:val="24"/>
          <w:szCs w:val="24"/>
        </w:rPr>
        <w:instrText>ADDIN CSL_CITATION { "citationItems" : [ { "id" : "ITEM-1", "itemData" : { "DOI" : "10.1155/2015/713038", "ISBN" : "1687-6962", "ISSN" : "16876970", "PMID" : "26798337", "abstract" : "Competency-based medical education is gaining traction as a solution to address the challenges associated with the current time-based models of physician training. Competency-based medical education is an outcomes-based approach that involves identifying the abilities required of physicians and then designing the curriculum to support the achievement and assessment of these competencies. This paradigm defies the assumption that competence is achieved based on time spent on rotations and instead requires residents to demonstrate competence. The Royal College of Physicians and Surgeons of Canada (RCPSC) has launched Competence by Design (CBD), a competency-based approach for residency training and specialty practice. The first residents to be trained within this model will be those in medical oncology and otolaryngology-head and neck surgery in July, 2016. However, with approval from the RCPSC, the Department of Anesthesiology, University of Ottawa, launched an innovative competency-based residency training program July 1, 2015. The purpose of this paper is to provide an overview of the program and offer a blueprint for other programs planning similar curricular reform. The program is structured according to the RCPSC CBD stages and addresses all CanMEDS roles. While our program retains some aspects of the traditional design, we have made many transformational changes.", "author" : [ { "dropping-particle" : "", "family" : "Stodel", "given" : "Emma J.", "non-dropping-particle" : "", "parse-names" : false, "suffix" : "" }, { "dropping-particle" : "", "family" : "Wyand", "given" : "Anna", "non-dropping-particle" : "", "parse-names" : false, "suffix" : "" }, { "dropping-particle" : "", "family" : "Crooks", "given" : "Simone", "non-dropping-particle" : "", "parse-names" : false, "suffix" : "" }, { "dropping-particle" : "", "family" : "Moffett", "given" : "St\u00e9phane", "non-dropping-particle" : "", "parse-names" : false, "suffix" : "" }, { "dropping-particle" : "", "family" : "Chiu", "given" : "Michelle", "non-dropping-particle" : "", "parse-names" : false, "suffix" : "" }, { "dropping-particle" : "", "family" : "Hudson", "given" : "Christopher C C", "non-dropping-particle" : "", "parse-names" : false, "suffix" : "" } ], "container-title" : "Anesthesiology Research and Practice", "id" : "ITEM-1", "issued" : { "date-parts" : [ [ "2015" ] ] }, "title" : "Designing and Implementing a Competency-Based Training Program for Anesthesiology Residents at the University of Ottawa", "type" : "article-journal", "volume" : "2015" }, "uris" : [ "http://www.mendeley.com/documents/?uuid=875ec018-7e9c-4735-ae3d-8032716846c5" ] } ], "mendeley" : { "formattedCitation" : "&lt;sup&gt;11&lt;/sup&gt;", "plainTextFormattedCitation" : "11", "previouslyFormattedCitation" : "&lt;sup&gt;11&lt;/sup&gt;" }, "properties" : { "noteIndex" : 0 }, "schema" : "https://github.com/citation-style-language/schema/raw/master/csl-citation.json" }</w:instrText>
      </w:r>
      <w:r w:rsidR="0064667F">
        <w:rPr>
          <w:rFonts w:ascii="Times New Roman" w:hAnsi="Times New Roman" w:cs="Times New Roman"/>
          <w:color w:val="000000" w:themeColor="text1"/>
          <w:sz w:val="24"/>
          <w:szCs w:val="24"/>
        </w:rPr>
        <w:fldChar w:fldCharType="separate"/>
      </w:r>
      <w:r w:rsidR="00AF16FF" w:rsidRPr="00AF16FF">
        <w:rPr>
          <w:rFonts w:ascii="Times New Roman" w:hAnsi="Times New Roman" w:cs="Times New Roman"/>
          <w:noProof/>
          <w:color w:val="000000" w:themeColor="text1"/>
          <w:sz w:val="24"/>
          <w:szCs w:val="24"/>
          <w:vertAlign w:val="superscript"/>
        </w:rPr>
        <w:t>11</w:t>
      </w:r>
      <w:r w:rsidR="0064667F">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 xml:space="preserve"> I</w:t>
      </w:r>
      <w:r w:rsidR="005158B5">
        <w:rPr>
          <w:rFonts w:ascii="Times New Roman" w:hAnsi="Times New Roman" w:cs="Times New Roman"/>
          <w:color w:val="000000" w:themeColor="text1"/>
          <w:sz w:val="24"/>
          <w:szCs w:val="24"/>
        </w:rPr>
        <w:t xml:space="preserve">nterpersonal </w:t>
      </w:r>
      <w:r w:rsidR="00AD75B5">
        <w:rPr>
          <w:rFonts w:ascii="Times New Roman" w:hAnsi="Times New Roman" w:cs="Times New Roman"/>
          <w:color w:val="000000" w:themeColor="text1"/>
          <w:sz w:val="24"/>
          <w:szCs w:val="24"/>
        </w:rPr>
        <w:t xml:space="preserve">skills, </w:t>
      </w:r>
      <w:r w:rsidR="005158B5">
        <w:rPr>
          <w:rFonts w:ascii="Times New Roman" w:hAnsi="Times New Roman" w:cs="Times New Roman"/>
          <w:color w:val="000000" w:themeColor="text1"/>
          <w:sz w:val="24"/>
          <w:szCs w:val="24"/>
        </w:rPr>
        <w:t xml:space="preserve">communication skills, leadership, collaboration, </w:t>
      </w:r>
      <w:r w:rsidR="00E446E4">
        <w:rPr>
          <w:rFonts w:ascii="Times New Roman" w:hAnsi="Times New Roman" w:cs="Times New Roman"/>
          <w:color w:val="000000" w:themeColor="text1"/>
          <w:sz w:val="24"/>
          <w:szCs w:val="24"/>
        </w:rPr>
        <w:t xml:space="preserve">situation awareness, </w:t>
      </w:r>
      <w:r w:rsidR="005158B5">
        <w:rPr>
          <w:rFonts w:ascii="Times New Roman" w:hAnsi="Times New Roman" w:cs="Times New Roman"/>
          <w:color w:val="000000" w:themeColor="text1"/>
          <w:sz w:val="24"/>
          <w:szCs w:val="24"/>
        </w:rPr>
        <w:t xml:space="preserve">and professionalism </w:t>
      </w:r>
      <w:r>
        <w:rPr>
          <w:rFonts w:ascii="Times New Roman" w:hAnsi="Times New Roman" w:cs="Times New Roman"/>
          <w:color w:val="000000" w:themeColor="text1"/>
          <w:sz w:val="24"/>
          <w:szCs w:val="24"/>
        </w:rPr>
        <w:t xml:space="preserve">have been identified by both US and Canadian institutions </w:t>
      </w:r>
      <w:r w:rsidR="005158B5">
        <w:rPr>
          <w:rFonts w:ascii="Times New Roman" w:hAnsi="Times New Roman" w:cs="Times New Roman"/>
          <w:color w:val="000000" w:themeColor="text1"/>
          <w:sz w:val="24"/>
          <w:szCs w:val="24"/>
        </w:rPr>
        <w:t>as core competencies for anesthesiologists.</w:t>
      </w:r>
      <w:r w:rsidR="00382E94">
        <w:rPr>
          <w:rFonts w:ascii="Times New Roman" w:hAnsi="Times New Roman" w:cs="Times New Roman"/>
          <w:color w:val="000000" w:themeColor="text1"/>
          <w:sz w:val="24"/>
          <w:szCs w:val="24"/>
        </w:rPr>
        <w:fldChar w:fldCharType="begin" w:fldLock="1"/>
      </w:r>
      <w:r w:rsidR="0091499F">
        <w:rPr>
          <w:rFonts w:ascii="Times New Roman" w:hAnsi="Times New Roman" w:cs="Times New Roman"/>
          <w:color w:val="000000" w:themeColor="text1"/>
          <w:sz w:val="24"/>
          <w:szCs w:val="24"/>
        </w:rPr>
        <w:instrText>ADDIN CSL_CITATION { "citationItems" : [ { "id" : "ITEM-1", "itemData" : { "URL" : "http://www.royalcollege.ca/rc/faces/oracle/webcenter/portalapp/pages/viewDocument.jspx?document_id=RCP-00161435&amp;_adf.ctrl-state=10w28tl0td_17&amp;_afrLoop=12070258186657680&amp;_afrWindowMode=0&amp;_afrWindowId=null#!%40%40%3F_afrWindowId%3Dnull%26document_id%3DRCP-0", "accessed" : { "date-parts" : [ [ "2017", "8", "9" ] ] }, "author" : [ { "dropping-particle" : "", "family" : "Royal College of Physicians and Surgeons of Canada", "given" : "", "non-dropping-particle" : "", "parse-names" : false, "suffix" : "" } ], "id" : "ITEM-1", "issued" : { "date-parts" : [ [ "2017" ] ] }, "title" : "Anesthesiology Competencies", "type" : "webpage" }, "uris" : [ "http://www.mendeley.com/documents/?uuid=27b8773f-523d-398f-b6c0-71acd1d319b4" ] }, { "id" : "ITEM-2", "itemData" : { "URL" : "https://www.acgme.org/Portals/0/PDFs/Milestones/AnesthesiologyMilestones.pdf", "accessed" : { "date-parts" : [ [ "2017", "8", "9" ] ] }, "author" : [ { "dropping-particle" : "", "family" : "Accreditation Council for Graduate Medical Education", "given" : "", "non-dropping-particle" : "", "parse-names" : false, "suffix" : "" } ], "id" : "ITEM-2", "issued" : { "date-parts" : [ [ "2015" ] ] }, "title" : "The Anesthesiology Milestone Project", "type" : "webpage" }, "uris" : [ "http://www.mendeley.com/documents/?uuid=49490a62-3e38-3e2c-a0db-87b1f174781d" ] } ], "mendeley" : { "formattedCitation" : "&lt;sup&gt;13,14&lt;/sup&gt;", "plainTextFormattedCitation" : "13,14", "previouslyFormattedCitation" : "&lt;sup&gt;13,14&lt;/sup&gt;" }, "properties" : { "noteIndex" : 0 }, "schema" : "https://github.com/citation-style-language/schema/raw/master/csl-citation.json" }</w:instrText>
      </w:r>
      <w:r w:rsidR="00382E94">
        <w:rPr>
          <w:rFonts w:ascii="Times New Roman" w:hAnsi="Times New Roman" w:cs="Times New Roman"/>
          <w:color w:val="000000" w:themeColor="text1"/>
          <w:sz w:val="24"/>
          <w:szCs w:val="24"/>
        </w:rPr>
        <w:fldChar w:fldCharType="separate"/>
      </w:r>
      <w:r w:rsidR="00AF16FF" w:rsidRPr="00AF16FF">
        <w:rPr>
          <w:rFonts w:ascii="Times New Roman" w:hAnsi="Times New Roman" w:cs="Times New Roman"/>
          <w:noProof/>
          <w:color w:val="000000" w:themeColor="text1"/>
          <w:sz w:val="24"/>
          <w:szCs w:val="24"/>
          <w:vertAlign w:val="superscript"/>
        </w:rPr>
        <w:t>13,14</w:t>
      </w:r>
      <w:r w:rsidR="00382E94">
        <w:rPr>
          <w:rFonts w:ascii="Times New Roman" w:hAnsi="Times New Roman" w:cs="Times New Roman"/>
          <w:color w:val="000000" w:themeColor="text1"/>
          <w:sz w:val="24"/>
          <w:szCs w:val="24"/>
        </w:rPr>
        <w:fldChar w:fldCharType="end"/>
      </w:r>
      <w:r w:rsidR="005158B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w:t>
      </w:r>
      <w:r w:rsidR="001A5585">
        <w:rPr>
          <w:rFonts w:ascii="Times New Roman" w:hAnsi="Times New Roman" w:cs="Times New Roman"/>
          <w:color w:val="000000" w:themeColor="text1"/>
          <w:sz w:val="24"/>
          <w:szCs w:val="24"/>
        </w:rPr>
        <w:t xml:space="preserve">easuring </w:t>
      </w:r>
      <w:r w:rsidR="00AD75B5">
        <w:rPr>
          <w:rFonts w:ascii="Times New Roman" w:hAnsi="Times New Roman" w:cs="Times New Roman"/>
          <w:color w:val="000000" w:themeColor="text1"/>
          <w:sz w:val="24"/>
          <w:szCs w:val="24"/>
        </w:rPr>
        <w:t xml:space="preserve">non-technical </w:t>
      </w:r>
      <w:r w:rsidR="001A5585">
        <w:rPr>
          <w:rFonts w:ascii="Times New Roman" w:hAnsi="Times New Roman" w:cs="Times New Roman"/>
          <w:color w:val="000000" w:themeColor="text1"/>
          <w:sz w:val="24"/>
          <w:szCs w:val="24"/>
        </w:rPr>
        <w:t>performance</w:t>
      </w:r>
      <w:r w:rsidR="00385B9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in the OR </w:t>
      </w:r>
      <w:r w:rsidR="00AD75B5">
        <w:rPr>
          <w:rFonts w:ascii="Times New Roman" w:hAnsi="Times New Roman" w:cs="Times New Roman"/>
          <w:color w:val="000000" w:themeColor="text1"/>
          <w:sz w:val="24"/>
          <w:szCs w:val="24"/>
        </w:rPr>
        <w:t xml:space="preserve">is </w:t>
      </w:r>
      <w:r>
        <w:rPr>
          <w:rFonts w:ascii="Times New Roman" w:hAnsi="Times New Roman" w:cs="Times New Roman"/>
          <w:color w:val="000000" w:themeColor="text1"/>
          <w:sz w:val="24"/>
          <w:szCs w:val="24"/>
        </w:rPr>
        <w:t>therefore critical</w:t>
      </w:r>
      <w:r w:rsidR="00AD75B5">
        <w:rPr>
          <w:rFonts w:ascii="Times New Roman" w:hAnsi="Times New Roman" w:cs="Times New Roman"/>
          <w:color w:val="000000" w:themeColor="text1"/>
          <w:sz w:val="24"/>
          <w:szCs w:val="24"/>
        </w:rPr>
        <w:t xml:space="preserve"> to ensuring the </w:t>
      </w:r>
      <w:r w:rsidR="00385B91">
        <w:rPr>
          <w:rFonts w:ascii="Times New Roman" w:hAnsi="Times New Roman" w:cs="Times New Roman"/>
          <w:color w:val="000000" w:themeColor="text1"/>
          <w:sz w:val="24"/>
          <w:szCs w:val="24"/>
        </w:rPr>
        <w:t>provision of safe, high</w:t>
      </w:r>
      <w:r w:rsidR="007A32EC">
        <w:rPr>
          <w:rFonts w:ascii="Times New Roman" w:hAnsi="Times New Roman" w:cs="Times New Roman"/>
          <w:color w:val="000000" w:themeColor="text1"/>
          <w:sz w:val="24"/>
          <w:szCs w:val="24"/>
        </w:rPr>
        <w:t>-</w:t>
      </w:r>
      <w:r w:rsidR="00385B91">
        <w:rPr>
          <w:rFonts w:ascii="Times New Roman" w:hAnsi="Times New Roman" w:cs="Times New Roman"/>
          <w:color w:val="000000" w:themeColor="text1"/>
          <w:sz w:val="24"/>
          <w:szCs w:val="24"/>
        </w:rPr>
        <w:t xml:space="preserve">quality </w:t>
      </w:r>
      <w:r w:rsidR="00AD75B5">
        <w:rPr>
          <w:rFonts w:ascii="Times New Roman" w:hAnsi="Times New Roman" w:cs="Times New Roman"/>
          <w:color w:val="000000" w:themeColor="text1"/>
          <w:sz w:val="24"/>
          <w:szCs w:val="24"/>
        </w:rPr>
        <w:t xml:space="preserve">intraoperative </w:t>
      </w:r>
      <w:r w:rsidR="00385B91">
        <w:rPr>
          <w:rFonts w:ascii="Times New Roman" w:hAnsi="Times New Roman" w:cs="Times New Roman"/>
          <w:color w:val="000000" w:themeColor="text1"/>
          <w:sz w:val="24"/>
          <w:szCs w:val="24"/>
        </w:rPr>
        <w:t>care</w:t>
      </w:r>
      <w:r w:rsidR="00AD75B5">
        <w:rPr>
          <w:rFonts w:ascii="Times New Roman" w:hAnsi="Times New Roman" w:cs="Times New Roman"/>
          <w:color w:val="000000" w:themeColor="text1"/>
          <w:sz w:val="24"/>
          <w:szCs w:val="24"/>
        </w:rPr>
        <w:t>.</w:t>
      </w:r>
    </w:p>
    <w:p w14:paraId="36A2F09A" w14:textId="77777777" w:rsidR="00385B91" w:rsidRDefault="00385B91" w:rsidP="00385B91">
      <w:pPr>
        <w:spacing w:after="0" w:line="240" w:lineRule="auto"/>
        <w:rPr>
          <w:rFonts w:ascii="Times New Roman" w:hAnsi="Times New Roman" w:cs="Times New Roman"/>
          <w:color w:val="000000" w:themeColor="text1"/>
          <w:sz w:val="24"/>
          <w:szCs w:val="24"/>
        </w:rPr>
      </w:pPr>
    </w:p>
    <w:p w14:paraId="3BFA927F" w14:textId="7B11B54F" w:rsidR="00CF0F58" w:rsidRDefault="0039728B" w:rsidP="00E92D19">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Comprehensive assessment of non-technical skills performance in clinical practice, however, requires robust tool(s) to be identified. </w:t>
      </w:r>
      <w:r w:rsidR="00E92D19">
        <w:rPr>
          <w:rFonts w:ascii="Times New Roman" w:hAnsi="Times New Roman" w:cs="Times New Roman"/>
          <w:color w:val="000000" w:themeColor="text1"/>
          <w:sz w:val="24"/>
          <w:szCs w:val="24"/>
        </w:rPr>
        <w:t xml:space="preserve">It is currently unknown </w:t>
      </w:r>
      <w:r w:rsidR="00E9650D">
        <w:rPr>
          <w:rFonts w:ascii="Times New Roman" w:hAnsi="Times New Roman" w:cs="Times New Roman"/>
          <w:color w:val="000000" w:themeColor="text1"/>
          <w:sz w:val="24"/>
          <w:szCs w:val="24"/>
        </w:rPr>
        <w:t xml:space="preserve">which assessment tools are the most robust for assessing </w:t>
      </w:r>
      <w:r w:rsidR="0090428B">
        <w:rPr>
          <w:rFonts w:ascii="Times New Roman" w:hAnsi="Times New Roman" w:cs="Times New Roman"/>
          <w:color w:val="000000" w:themeColor="text1"/>
          <w:sz w:val="24"/>
          <w:szCs w:val="24"/>
        </w:rPr>
        <w:t xml:space="preserve">non-technical skills in </w:t>
      </w:r>
      <w:r w:rsidR="00E9650D">
        <w:rPr>
          <w:rFonts w:ascii="Times New Roman" w:hAnsi="Times New Roman" w:cs="Times New Roman"/>
          <w:color w:val="000000" w:themeColor="text1"/>
          <w:sz w:val="24"/>
          <w:szCs w:val="24"/>
        </w:rPr>
        <w:t>anesthesia</w:t>
      </w:r>
      <w:r w:rsidR="00E92D19">
        <w:rPr>
          <w:rFonts w:ascii="Times New Roman" w:hAnsi="Times New Roman" w:cs="Times New Roman"/>
          <w:color w:val="000000" w:themeColor="text1"/>
          <w:sz w:val="24"/>
          <w:szCs w:val="24"/>
        </w:rPr>
        <w:t xml:space="preserve">, with inconsistency in the tools and settings used in evaluations of </w:t>
      </w:r>
      <w:r w:rsidR="009E0AD1">
        <w:rPr>
          <w:rFonts w:ascii="Times New Roman" w:hAnsi="Times New Roman" w:cs="Times New Roman"/>
          <w:color w:val="000000" w:themeColor="text1"/>
          <w:sz w:val="24"/>
          <w:szCs w:val="24"/>
        </w:rPr>
        <w:t>anesthesiologists’ non-technical skills</w:t>
      </w:r>
      <w:r w:rsidR="00E92D19">
        <w:rPr>
          <w:rFonts w:ascii="Times New Roman" w:hAnsi="Times New Roman" w:cs="Times New Roman"/>
          <w:color w:val="000000" w:themeColor="text1"/>
          <w:sz w:val="24"/>
          <w:szCs w:val="24"/>
        </w:rPr>
        <w:t>.</w:t>
      </w:r>
      <w:r w:rsidR="00CF0F58">
        <w:rPr>
          <w:rFonts w:ascii="Times New Roman" w:hAnsi="Times New Roman" w:cs="Times New Roman"/>
          <w:color w:val="000000" w:themeColor="text1"/>
          <w:sz w:val="24"/>
          <w:szCs w:val="24"/>
        </w:rPr>
        <w:t xml:space="preserve"> </w:t>
      </w:r>
    </w:p>
    <w:p w14:paraId="16D2EF33" w14:textId="77777777" w:rsidR="00CF0F58" w:rsidRDefault="00CF0F58" w:rsidP="00CF0F58">
      <w:pPr>
        <w:spacing w:after="0" w:line="240" w:lineRule="auto"/>
        <w:contextualSpacing/>
        <w:rPr>
          <w:rFonts w:ascii="Times New Roman" w:hAnsi="Times New Roman" w:cs="Times New Roman"/>
          <w:color w:val="000000" w:themeColor="text1"/>
          <w:sz w:val="24"/>
          <w:szCs w:val="24"/>
        </w:rPr>
      </w:pPr>
    </w:p>
    <w:p w14:paraId="332E7D12" w14:textId="1980E160" w:rsidR="00506151" w:rsidRPr="00506151" w:rsidRDefault="00506151" w:rsidP="00CF0F58">
      <w:pPr>
        <w:spacing w:after="0" w:line="240" w:lineRule="auto"/>
        <w:contextualSpacing/>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Implications</w:t>
      </w:r>
    </w:p>
    <w:p w14:paraId="24E591C7" w14:textId="751325DC" w:rsidR="00CF0F58" w:rsidRDefault="00E92D19" w:rsidP="00C316FC">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w:t>
      </w:r>
      <w:r w:rsidR="00CF0F58">
        <w:rPr>
          <w:rFonts w:ascii="Times New Roman" w:hAnsi="Times New Roman" w:cs="Times New Roman"/>
          <w:color w:val="000000" w:themeColor="text1"/>
          <w:sz w:val="24"/>
          <w:szCs w:val="24"/>
        </w:rPr>
        <w:t xml:space="preserve">dentifying the most robust tool(s) for assessing </w:t>
      </w:r>
      <w:r>
        <w:rPr>
          <w:rFonts w:ascii="Times New Roman" w:hAnsi="Times New Roman" w:cs="Times New Roman"/>
          <w:color w:val="000000" w:themeColor="text1"/>
          <w:sz w:val="24"/>
          <w:szCs w:val="24"/>
        </w:rPr>
        <w:t>anesthesiologists’ non-technical</w:t>
      </w:r>
      <w:r w:rsidR="00CF0F58">
        <w:rPr>
          <w:rFonts w:ascii="Times New Roman" w:hAnsi="Times New Roman" w:cs="Times New Roman"/>
          <w:color w:val="000000" w:themeColor="text1"/>
          <w:sz w:val="24"/>
          <w:szCs w:val="24"/>
        </w:rPr>
        <w:t xml:space="preserve"> skill</w:t>
      </w:r>
      <w:r>
        <w:rPr>
          <w:rFonts w:ascii="Times New Roman" w:hAnsi="Times New Roman" w:cs="Times New Roman"/>
          <w:color w:val="000000" w:themeColor="text1"/>
          <w:sz w:val="24"/>
          <w:szCs w:val="24"/>
        </w:rPr>
        <w:t xml:space="preserve">s will allow </w:t>
      </w:r>
      <w:r w:rsidR="004A081A">
        <w:rPr>
          <w:rFonts w:ascii="Times New Roman" w:hAnsi="Times New Roman" w:cs="Times New Roman"/>
          <w:color w:val="000000" w:themeColor="text1"/>
          <w:sz w:val="24"/>
          <w:szCs w:val="24"/>
        </w:rPr>
        <w:t>the a</w:t>
      </w:r>
      <w:r>
        <w:rPr>
          <w:rFonts w:ascii="Times New Roman" w:hAnsi="Times New Roman" w:cs="Times New Roman"/>
          <w:color w:val="000000" w:themeColor="text1"/>
          <w:sz w:val="24"/>
          <w:szCs w:val="24"/>
        </w:rPr>
        <w:t xml:space="preserve">nesthesia community </w:t>
      </w:r>
      <w:r w:rsidR="00CF0F58">
        <w:rPr>
          <w:rFonts w:ascii="Times New Roman" w:hAnsi="Times New Roman" w:cs="Times New Roman"/>
          <w:color w:val="000000" w:themeColor="text1"/>
          <w:sz w:val="24"/>
          <w:szCs w:val="24"/>
        </w:rPr>
        <w:t>to standardize future research on evaluation of interventions to improve anesthesiologists’ clinical performance. This will facilitate accurate, generalizable, and effective performance-tracking mechanisms</w:t>
      </w:r>
      <w:r>
        <w:rPr>
          <w:rFonts w:ascii="Times New Roman" w:hAnsi="Times New Roman" w:cs="Times New Roman"/>
          <w:color w:val="000000" w:themeColor="text1"/>
          <w:sz w:val="24"/>
          <w:szCs w:val="24"/>
        </w:rPr>
        <w:t xml:space="preserve"> as well as evidence-based education</w:t>
      </w:r>
      <w:r w:rsidR="00CF0F58">
        <w:rPr>
          <w:rFonts w:ascii="Times New Roman" w:hAnsi="Times New Roman" w:cs="Times New Roman"/>
          <w:color w:val="000000" w:themeColor="text1"/>
          <w:sz w:val="24"/>
          <w:szCs w:val="24"/>
        </w:rPr>
        <w:t>.</w:t>
      </w:r>
    </w:p>
    <w:p w14:paraId="11A784FE" w14:textId="77777777" w:rsidR="00E92D19" w:rsidRDefault="00E92D19" w:rsidP="00C316FC">
      <w:pPr>
        <w:spacing w:after="0" w:line="240" w:lineRule="auto"/>
        <w:rPr>
          <w:rFonts w:ascii="Times New Roman" w:hAnsi="Times New Roman" w:cs="Times New Roman"/>
          <w:color w:val="000000" w:themeColor="text1"/>
          <w:sz w:val="24"/>
          <w:szCs w:val="24"/>
        </w:rPr>
      </w:pPr>
    </w:p>
    <w:p w14:paraId="0052DE72" w14:textId="3A22C827" w:rsidR="00506151" w:rsidRPr="00506151" w:rsidRDefault="00506151" w:rsidP="00F05633">
      <w:pPr>
        <w:spacing w:after="0" w:line="240" w:lineRule="auto"/>
        <w:contextualSpacing/>
        <w:rPr>
          <w:rFonts w:ascii="Times New Roman" w:hAnsi="Times New Roman" w:cs="Times New Roman"/>
          <w:b/>
          <w:color w:val="000000" w:themeColor="text1"/>
          <w:sz w:val="24"/>
          <w:szCs w:val="24"/>
        </w:rPr>
      </w:pPr>
      <w:r w:rsidRPr="00506151">
        <w:rPr>
          <w:rFonts w:ascii="Times New Roman" w:hAnsi="Times New Roman" w:cs="Times New Roman"/>
          <w:b/>
          <w:color w:val="000000" w:themeColor="text1"/>
          <w:sz w:val="24"/>
          <w:szCs w:val="24"/>
        </w:rPr>
        <w:t>Objective</w:t>
      </w:r>
      <w:r w:rsidR="00E92D19">
        <w:rPr>
          <w:rFonts w:ascii="Times New Roman" w:hAnsi="Times New Roman" w:cs="Times New Roman"/>
          <w:b/>
          <w:color w:val="000000" w:themeColor="text1"/>
          <w:sz w:val="24"/>
          <w:szCs w:val="24"/>
        </w:rPr>
        <w:t>s</w:t>
      </w:r>
    </w:p>
    <w:p w14:paraId="0C86F302" w14:textId="3C12BCED" w:rsidR="00506151" w:rsidRDefault="009D2566" w:rsidP="00BC1A18">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systematic review </w:t>
      </w:r>
      <w:r w:rsidR="00E92D19">
        <w:rPr>
          <w:rFonts w:ascii="Times New Roman" w:hAnsi="Times New Roman" w:cs="Times New Roman"/>
          <w:color w:val="000000" w:themeColor="text1"/>
          <w:sz w:val="24"/>
          <w:szCs w:val="24"/>
        </w:rPr>
        <w:t>will:</w:t>
      </w:r>
      <w:r w:rsidR="00EA68C0">
        <w:rPr>
          <w:rFonts w:ascii="Times New Roman" w:hAnsi="Times New Roman" w:cs="Times New Roman"/>
          <w:color w:val="000000" w:themeColor="text1"/>
          <w:sz w:val="24"/>
          <w:szCs w:val="24"/>
        </w:rPr>
        <w:t xml:space="preserve"> </w:t>
      </w:r>
      <w:r w:rsidR="00E92D19">
        <w:rPr>
          <w:rFonts w:ascii="Times New Roman" w:hAnsi="Times New Roman" w:cs="Times New Roman"/>
          <w:color w:val="000000" w:themeColor="text1"/>
          <w:sz w:val="24"/>
          <w:szCs w:val="24"/>
        </w:rPr>
        <w:t xml:space="preserve">(1) </w:t>
      </w:r>
      <w:r>
        <w:rPr>
          <w:rFonts w:ascii="Times New Roman" w:hAnsi="Times New Roman" w:cs="Times New Roman"/>
          <w:color w:val="000000" w:themeColor="text1"/>
          <w:sz w:val="24"/>
          <w:szCs w:val="24"/>
        </w:rPr>
        <w:t>summarize</w:t>
      </w:r>
      <w:r w:rsidRPr="00B44716">
        <w:rPr>
          <w:rFonts w:ascii="Times New Roman" w:hAnsi="Times New Roman" w:cs="Times New Roman"/>
          <w:color w:val="000000" w:themeColor="text1"/>
          <w:sz w:val="24"/>
          <w:szCs w:val="24"/>
        </w:rPr>
        <w:t xml:space="preserve"> the tools used to measure </w:t>
      </w:r>
      <w:r w:rsidR="0090428B">
        <w:rPr>
          <w:rFonts w:ascii="Times New Roman" w:hAnsi="Times New Roman" w:cs="Times New Roman"/>
          <w:color w:val="000000" w:themeColor="text1"/>
          <w:sz w:val="24"/>
          <w:szCs w:val="24"/>
        </w:rPr>
        <w:t xml:space="preserve">the </w:t>
      </w:r>
      <w:r w:rsidR="00EA68C0">
        <w:rPr>
          <w:rFonts w:ascii="Times New Roman" w:hAnsi="Times New Roman" w:cs="Times New Roman"/>
          <w:color w:val="000000" w:themeColor="text1"/>
          <w:sz w:val="24"/>
          <w:szCs w:val="24"/>
        </w:rPr>
        <w:t xml:space="preserve">intraoperative </w:t>
      </w:r>
      <w:r>
        <w:rPr>
          <w:rFonts w:ascii="Times New Roman" w:hAnsi="Times New Roman" w:cs="Times New Roman"/>
          <w:color w:val="000000" w:themeColor="text1"/>
          <w:sz w:val="24"/>
          <w:szCs w:val="24"/>
        </w:rPr>
        <w:t>non-technical performance</w:t>
      </w:r>
      <w:r w:rsidR="0090428B">
        <w:rPr>
          <w:rFonts w:ascii="Times New Roman" w:hAnsi="Times New Roman" w:cs="Times New Roman"/>
          <w:color w:val="000000" w:themeColor="text1"/>
          <w:sz w:val="24"/>
          <w:szCs w:val="24"/>
        </w:rPr>
        <w:t xml:space="preserve"> of anesthesiologists</w:t>
      </w:r>
      <w:r w:rsidR="00E92D19">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and </w:t>
      </w:r>
      <w:r w:rsidR="00E92D19">
        <w:rPr>
          <w:rFonts w:ascii="Times New Roman" w:hAnsi="Times New Roman" w:cs="Times New Roman"/>
          <w:color w:val="000000" w:themeColor="text1"/>
          <w:sz w:val="24"/>
          <w:szCs w:val="24"/>
        </w:rPr>
        <w:t xml:space="preserve">(2) </w:t>
      </w:r>
      <w:r w:rsidRPr="00B44716">
        <w:rPr>
          <w:rFonts w:ascii="Times New Roman" w:hAnsi="Times New Roman" w:cs="Times New Roman"/>
          <w:color w:val="000000" w:themeColor="text1"/>
          <w:sz w:val="24"/>
          <w:szCs w:val="24"/>
        </w:rPr>
        <w:t xml:space="preserve">synthesize the </w:t>
      </w:r>
      <w:r w:rsidR="00805BBB">
        <w:rPr>
          <w:rFonts w:ascii="Times New Roman" w:hAnsi="Times New Roman" w:cs="Times New Roman"/>
          <w:color w:val="000000" w:themeColor="text1"/>
          <w:sz w:val="24"/>
          <w:szCs w:val="24"/>
        </w:rPr>
        <w:t>psychometric</w:t>
      </w:r>
      <w:r w:rsidRPr="00B44716">
        <w:rPr>
          <w:rFonts w:ascii="Times New Roman" w:hAnsi="Times New Roman" w:cs="Times New Roman"/>
          <w:color w:val="000000" w:themeColor="text1"/>
          <w:sz w:val="24"/>
          <w:szCs w:val="24"/>
        </w:rPr>
        <w:t xml:space="preserve"> properties</w:t>
      </w:r>
      <w:r>
        <w:rPr>
          <w:rFonts w:ascii="Times New Roman" w:hAnsi="Times New Roman" w:cs="Times New Roman"/>
          <w:color w:val="000000" w:themeColor="text1"/>
          <w:sz w:val="24"/>
          <w:szCs w:val="24"/>
        </w:rPr>
        <w:t xml:space="preserve"> of these tools</w:t>
      </w:r>
      <w:r w:rsidRPr="00B4471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14:paraId="324E22FA" w14:textId="77777777" w:rsidR="00AA3EA4" w:rsidRDefault="00AA3EA4" w:rsidP="00BC1A18">
      <w:pPr>
        <w:spacing w:after="0" w:line="240" w:lineRule="auto"/>
        <w:contextualSpacing/>
        <w:rPr>
          <w:rFonts w:ascii="Times New Roman" w:hAnsi="Times New Roman" w:cs="Times New Roman"/>
          <w:color w:val="000000" w:themeColor="text1"/>
          <w:sz w:val="24"/>
          <w:szCs w:val="24"/>
        </w:rPr>
      </w:pPr>
    </w:p>
    <w:p w14:paraId="7C67791D" w14:textId="77777777" w:rsidR="00AA3EA4" w:rsidRDefault="00AA3EA4" w:rsidP="00AA3EA4">
      <w:pPr>
        <w:pStyle w:val="Normal1"/>
        <w:widowControl w:val="0"/>
        <w:jc w:val="both"/>
      </w:pPr>
      <w:r>
        <w:rPr>
          <w:rFonts w:ascii="Times New Roman" w:eastAsia="Times New Roman" w:hAnsi="Times New Roman" w:cs="Times New Roman"/>
          <w:b/>
        </w:rPr>
        <w:t>Search strategy and information sources</w:t>
      </w:r>
    </w:p>
    <w:p w14:paraId="289E3CF5" w14:textId="6EC71A33" w:rsidR="00AA3EA4" w:rsidRPr="00E318C9" w:rsidRDefault="00AA3EA4" w:rsidP="00AA3EA4">
      <w:pPr>
        <w:pStyle w:val="Normal1"/>
        <w:widowControl w:val="0"/>
        <w:jc w:val="both"/>
        <w:rPr>
          <w:rFonts w:ascii="Times New Roman" w:hAnsi="Times New Roman" w:cs="Times New Roman"/>
        </w:rPr>
      </w:pPr>
      <w:r w:rsidRPr="00E318C9">
        <w:rPr>
          <w:rFonts w:ascii="Times New Roman" w:hAnsi="Times New Roman" w:cs="Times New Roman"/>
        </w:rPr>
        <w:t xml:space="preserve">Literature searches </w:t>
      </w:r>
      <w:r>
        <w:rPr>
          <w:rFonts w:ascii="Times New Roman" w:hAnsi="Times New Roman" w:cs="Times New Roman"/>
        </w:rPr>
        <w:t>wil</w:t>
      </w:r>
      <w:r w:rsidR="00E92D19">
        <w:rPr>
          <w:rFonts w:ascii="Times New Roman" w:hAnsi="Times New Roman" w:cs="Times New Roman"/>
        </w:rPr>
        <w:t>l b</w:t>
      </w:r>
      <w:bookmarkStart w:id="0" w:name="_GoBack"/>
      <w:bookmarkEnd w:id="0"/>
      <w:r>
        <w:rPr>
          <w:rFonts w:ascii="Times New Roman" w:hAnsi="Times New Roman" w:cs="Times New Roman"/>
        </w:rPr>
        <w:t>e</w:t>
      </w:r>
      <w:r w:rsidRPr="00E318C9">
        <w:rPr>
          <w:rFonts w:ascii="Times New Roman" w:hAnsi="Times New Roman" w:cs="Times New Roman"/>
        </w:rPr>
        <w:t xml:space="preserve"> conducted </w:t>
      </w:r>
      <w:r w:rsidRPr="00E318C9">
        <w:rPr>
          <w:rFonts w:ascii="Times New Roman" w:eastAsia="Times New Roman" w:hAnsi="Times New Roman" w:cs="Times New Roman"/>
        </w:rPr>
        <w:t xml:space="preserve">by an experienced librarian collaborating closely with the </w:t>
      </w:r>
      <w:r w:rsidRPr="00E318C9">
        <w:rPr>
          <w:rFonts w:ascii="Times New Roman" w:eastAsia="Times New Roman" w:hAnsi="Times New Roman" w:cs="Times New Roman"/>
        </w:rPr>
        <w:lastRenderedPageBreak/>
        <w:t xml:space="preserve">team of investigators. </w:t>
      </w:r>
      <w:r w:rsidRPr="00E318C9">
        <w:rPr>
          <w:rFonts w:ascii="Times New Roman" w:hAnsi="Times New Roman" w:cs="Times New Roman"/>
        </w:rPr>
        <w:t xml:space="preserve">Medline and Medline in Process (via OVID), PsycINFO, CINAHL, Embase (via OVID), and ERIC </w:t>
      </w:r>
      <w:r>
        <w:rPr>
          <w:rFonts w:ascii="Times New Roman" w:hAnsi="Times New Roman" w:cs="Times New Roman"/>
        </w:rPr>
        <w:t>will be searched with no date or language restrictions.</w:t>
      </w:r>
      <w:r w:rsidRPr="00E318C9">
        <w:rPr>
          <w:rFonts w:ascii="Times New Roman" w:hAnsi="Times New Roman" w:cs="Times New Roman"/>
        </w:rPr>
        <w:t xml:space="preserve"> </w:t>
      </w:r>
      <w:r>
        <w:rPr>
          <w:rFonts w:ascii="Times New Roman" w:hAnsi="Times New Roman" w:cs="Times New Roman"/>
        </w:rPr>
        <w:t xml:space="preserve">The Medline search strategy </w:t>
      </w:r>
      <w:r>
        <w:rPr>
          <w:rFonts w:ascii="Times New Roman" w:hAnsi="Times New Roman" w:cs="Times New Roman"/>
        </w:rPr>
        <w:t>will be</w:t>
      </w:r>
      <w:r>
        <w:rPr>
          <w:rFonts w:ascii="Times New Roman" w:hAnsi="Times New Roman" w:cs="Times New Roman"/>
        </w:rPr>
        <w:t xml:space="preserve"> peer-reviewed by a second information specialist using the PRESS tool. Adjustments </w:t>
      </w:r>
      <w:r>
        <w:rPr>
          <w:rFonts w:ascii="Times New Roman" w:hAnsi="Times New Roman" w:cs="Times New Roman"/>
        </w:rPr>
        <w:t>will be</w:t>
      </w:r>
      <w:r>
        <w:rPr>
          <w:rFonts w:ascii="Times New Roman" w:hAnsi="Times New Roman" w:cs="Times New Roman"/>
        </w:rPr>
        <w:t xml:space="preserve"> made to the search for each database to optimize search results.</w:t>
      </w:r>
      <w:r>
        <w:rPr>
          <w:rFonts w:ascii="Times New Roman" w:hAnsi="Times New Roman" w:cs="Times New Roman"/>
        </w:rPr>
        <w:t xml:space="preserve"> R</w:t>
      </w:r>
      <w:r w:rsidRPr="00E318C9">
        <w:rPr>
          <w:rFonts w:ascii="Times New Roman" w:hAnsi="Times New Roman" w:cs="Times New Roman"/>
        </w:rPr>
        <w:t>eference lists of previously published systematic reviews and of included articles</w:t>
      </w:r>
      <w:r>
        <w:rPr>
          <w:rFonts w:ascii="Times New Roman" w:hAnsi="Times New Roman" w:cs="Times New Roman"/>
        </w:rPr>
        <w:t xml:space="preserve"> </w:t>
      </w:r>
      <w:r>
        <w:rPr>
          <w:rFonts w:ascii="Times New Roman" w:hAnsi="Times New Roman" w:cs="Times New Roman"/>
        </w:rPr>
        <w:t xml:space="preserve">will also be searched </w:t>
      </w:r>
      <w:r>
        <w:rPr>
          <w:rFonts w:ascii="Times New Roman" w:hAnsi="Times New Roman" w:cs="Times New Roman"/>
        </w:rPr>
        <w:t>for additional relevant references</w:t>
      </w:r>
      <w:r w:rsidRPr="00E318C9">
        <w:rPr>
          <w:rFonts w:ascii="Times New Roman" w:hAnsi="Times New Roman" w:cs="Times New Roman"/>
        </w:rPr>
        <w:t xml:space="preserve">. </w:t>
      </w:r>
    </w:p>
    <w:p w14:paraId="231D9110" w14:textId="77777777" w:rsidR="00506151" w:rsidRDefault="00506151" w:rsidP="00BC1A18">
      <w:pPr>
        <w:spacing w:after="0" w:line="240" w:lineRule="auto"/>
        <w:contextualSpacing/>
        <w:rPr>
          <w:rFonts w:ascii="Times New Roman" w:hAnsi="Times New Roman" w:cs="Times New Roman"/>
          <w:color w:val="000000" w:themeColor="text1"/>
          <w:sz w:val="24"/>
          <w:szCs w:val="24"/>
        </w:rPr>
      </w:pPr>
    </w:p>
    <w:p w14:paraId="0C69D1DC" w14:textId="77777777" w:rsidR="00A467FF" w:rsidRDefault="00A467FF" w:rsidP="00F63FB7">
      <w:pPr>
        <w:pStyle w:val="Normal1"/>
        <w:rPr>
          <w:rFonts w:ascii="Times New Roman" w:eastAsia="Times New Roman" w:hAnsi="Times New Roman" w:cs="Times New Roman"/>
          <w:b/>
        </w:rPr>
      </w:pPr>
      <w:r>
        <w:rPr>
          <w:rFonts w:ascii="Times New Roman" w:eastAsia="Times New Roman" w:hAnsi="Times New Roman" w:cs="Times New Roman"/>
          <w:b/>
        </w:rPr>
        <w:t>Eligibility criteria</w:t>
      </w:r>
    </w:p>
    <w:p w14:paraId="48C2534B" w14:textId="0C9B9214" w:rsidR="00DE2FCE" w:rsidRDefault="00DE2FCE" w:rsidP="00F63FB7">
      <w:pPr>
        <w:pStyle w:val="Normal1"/>
        <w:rPr>
          <w:rFonts w:ascii="Times New Roman" w:eastAsia="Times New Roman" w:hAnsi="Times New Roman" w:cs="Times New Roman"/>
        </w:rPr>
      </w:pPr>
      <w:r>
        <w:rPr>
          <w:rFonts w:ascii="Times New Roman" w:eastAsia="Times New Roman" w:hAnsi="Times New Roman" w:cs="Times New Roman"/>
        </w:rPr>
        <w:t>Inclusion Criteria:</w:t>
      </w:r>
    </w:p>
    <w:p w14:paraId="1CB2FF43" w14:textId="09AA25DD" w:rsidR="00DE2FCE" w:rsidRDefault="00DE2FCE" w:rsidP="00DE2FCE">
      <w:pPr>
        <w:pStyle w:val="Normal1"/>
        <w:numPr>
          <w:ilvl w:val="0"/>
          <w:numId w:val="14"/>
        </w:numPr>
        <w:rPr>
          <w:rFonts w:ascii="Times New Roman" w:hAnsi="Times New Roman" w:cs="Times New Roman"/>
          <w:color w:val="000000" w:themeColor="text1"/>
        </w:rPr>
      </w:pPr>
      <w:r>
        <w:rPr>
          <w:rFonts w:ascii="Times New Roman" w:hAnsi="Times New Roman" w:cs="Times New Roman"/>
          <w:color w:val="000000" w:themeColor="text1"/>
        </w:rPr>
        <w:t>Examine</w:t>
      </w:r>
      <w:r w:rsidR="00FB02E1">
        <w:rPr>
          <w:rFonts w:ascii="Times New Roman" w:hAnsi="Times New Roman" w:cs="Times New Roman"/>
          <w:color w:val="000000" w:themeColor="text1"/>
        </w:rPr>
        <w:t xml:space="preserve"> the </w:t>
      </w:r>
      <w:r w:rsidR="00805BBB">
        <w:rPr>
          <w:rFonts w:ascii="Times New Roman" w:hAnsi="Times New Roman" w:cs="Times New Roman"/>
          <w:color w:val="000000" w:themeColor="text1"/>
        </w:rPr>
        <w:t>psychometric</w:t>
      </w:r>
      <w:r w:rsidR="00FB02E1">
        <w:rPr>
          <w:rFonts w:ascii="Times New Roman" w:hAnsi="Times New Roman" w:cs="Times New Roman"/>
          <w:color w:val="000000" w:themeColor="text1"/>
        </w:rPr>
        <w:t xml:space="preserve"> properties </w:t>
      </w:r>
      <w:r w:rsidR="00682386">
        <w:rPr>
          <w:rFonts w:ascii="Times New Roman" w:hAnsi="Times New Roman" w:cs="Times New Roman"/>
          <w:color w:val="000000" w:themeColor="text1"/>
        </w:rPr>
        <w:t xml:space="preserve">(i.e. validity and reliability) </w:t>
      </w:r>
      <w:r w:rsidR="00FB02E1">
        <w:rPr>
          <w:rFonts w:ascii="Times New Roman" w:hAnsi="Times New Roman" w:cs="Times New Roman"/>
          <w:color w:val="000000" w:themeColor="text1"/>
        </w:rPr>
        <w:t>of tools specifically intended to assess the non-technical skills of anesthesiologists</w:t>
      </w:r>
      <w:r w:rsidR="00C61CDF">
        <w:rPr>
          <w:rFonts w:ascii="Times New Roman" w:hAnsi="Times New Roman" w:cs="Times New Roman"/>
          <w:color w:val="000000" w:themeColor="text1"/>
        </w:rPr>
        <w:t xml:space="preserve"> (either trainee or graduated)</w:t>
      </w:r>
      <w:r>
        <w:rPr>
          <w:rFonts w:ascii="Times New Roman" w:hAnsi="Times New Roman" w:cs="Times New Roman"/>
          <w:color w:val="000000" w:themeColor="text1"/>
        </w:rPr>
        <w:t>.</w:t>
      </w:r>
    </w:p>
    <w:p w14:paraId="0B21C468" w14:textId="78419F04" w:rsidR="00DE2FCE" w:rsidRDefault="00DE2FCE" w:rsidP="00DE2FCE">
      <w:pPr>
        <w:pStyle w:val="Normal1"/>
        <w:numPr>
          <w:ilvl w:val="0"/>
          <w:numId w:val="14"/>
        </w:numPr>
        <w:rPr>
          <w:rFonts w:ascii="Times New Roman" w:hAnsi="Times New Roman" w:cs="Times New Roman"/>
          <w:color w:val="000000" w:themeColor="text1"/>
        </w:rPr>
      </w:pPr>
      <w:r>
        <w:rPr>
          <w:rFonts w:ascii="Times New Roman" w:hAnsi="Times New Roman" w:cs="Times New Roman"/>
          <w:color w:val="000000" w:themeColor="text1"/>
        </w:rPr>
        <w:t xml:space="preserve">Tools are </w:t>
      </w:r>
      <w:r>
        <w:rPr>
          <w:rFonts w:ascii="Times New Roman" w:hAnsi="Times New Roman" w:cs="Times New Roman"/>
          <w:color w:val="000000" w:themeColor="text1"/>
        </w:rPr>
        <w:t>evaluated within a clinical or simula</w:t>
      </w:r>
      <w:r>
        <w:rPr>
          <w:rFonts w:ascii="Times New Roman" w:hAnsi="Times New Roman" w:cs="Times New Roman"/>
          <w:color w:val="000000" w:themeColor="text1"/>
        </w:rPr>
        <w:t>tion intraoperative environment. T</w:t>
      </w:r>
      <w:r>
        <w:rPr>
          <w:rFonts w:ascii="Times New Roman" w:hAnsi="Times New Roman" w:cs="Times New Roman"/>
          <w:color w:val="000000" w:themeColor="text1"/>
        </w:rPr>
        <w:t>he intraoperative period</w:t>
      </w:r>
      <w:r>
        <w:rPr>
          <w:rFonts w:ascii="Times New Roman" w:hAnsi="Times New Roman" w:cs="Times New Roman"/>
          <w:color w:val="000000" w:themeColor="text1"/>
        </w:rPr>
        <w:t xml:space="preserve"> is</w:t>
      </w:r>
      <w:r>
        <w:rPr>
          <w:rFonts w:ascii="Times New Roman" w:hAnsi="Times New Roman" w:cs="Times New Roman"/>
          <w:color w:val="000000" w:themeColor="text1"/>
        </w:rPr>
        <w:t xml:space="preserve"> defined as the time from when the patient is physically in the operating room or anesthetics room, where the anesthesiologist performs procedures or administers medication to the patient, until the time the patient leaves the OR. This </w:t>
      </w:r>
      <w:r>
        <w:rPr>
          <w:rFonts w:ascii="Times New Roman" w:hAnsi="Times New Roman" w:cs="Times New Roman"/>
          <w:color w:val="000000" w:themeColor="text1"/>
        </w:rPr>
        <w:t>excludes</w:t>
      </w:r>
      <w:r>
        <w:rPr>
          <w:rFonts w:ascii="Times New Roman" w:hAnsi="Times New Roman" w:cs="Times New Roman"/>
          <w:color w:val="000000" w:themeColor="text1"/>
        </w:rPr>
        <w:t xml:space="preserve"> both the pre- and post-operative periods (e.g. recovery room, endoscopy suite, interventional radiology).</w:t>
      </w:r>
    </w:p>
    <w:p w14:paraId="03EE9ADC" w14:textId="77777777" w:rsidR="00AA3EA4" w:rsidRDefault="00AA3EA4" w:rsidP="00DE2FCE">
      <w:pPr>
        <w:pStyle w:val="Normal1"/>
        <w:numPr>
          <w:ilvl w:val="0"/>
          <w:numId w:val="14"/>
        </w:numPr>
        <w:rPr>
          <w:rFonts w:ascii="Times New Roman" w:hAnsi="Times New Roman" w:cs="Times New Roman"/>
          <w:color w:val="000000" w:themeColor="text1"/>
        </w:rPr>
      </w:pPr>
      <w:r>
        <w:rPr>
          <w:rFonts w:ascii="Times New Roman" w:hAnsi="Times New Roman" w:cs="Times New Roman"/>
          <w:color w:val="000000" w:themeColor="text1"/>
        </w:rPr>
        <w:t xml:space="preserve">Study must </w:t>
      </w:r>
      <w:r>
        <w:rPr>
          <w:rFonts w:ascii="Times New Roman" w:hAnsi="Times New Roman" w:cs="Times New Roman"/>
          <w:color w:val="000000" w:themeColor="text1"/>
        </w:rPr>
        <w:t xml:space="preserve">include a quantitative analysis of psychometric properties or qualitative assessment of forms of validity. </w:t>
      </w:r>
    </w:p>
    <w:p w14:paraId="714F5DA6" w14:textId="1C66C0AF" w:rsidR="00AA3EA4" w:rsidRDefault="00AA3EA4" w:rsidP="00DE2FCE">
      <w:pPr>
        <w:pStyle w:val="Normal1"/>
        <w:numPr>
          <w:ilvl w:val="0"/>
          <w:numId w:val="14"/>
        </w:numPr>
        <w:rPr>
          <w:rFonts w:ascii="Times New Roman" w:hAnsi="Times New Roman" w:cs="Times New Roman"/>
          <w:color w:val="000000" w:themeColor="text1"/>
        </w:rPr>
      </w:pPr>
      <w:r>
        <w:rPr>
          <w:rFonts w:ascii="Times New Roman" w:hAnsi="Times New Roman" w:cs="Times New Roman"/>
          <w:color w:val="000000" w:themeColor="text1"/>
        </w:rPr>
        <w:t xml:space="preserve">Tools </w:t>
      </w:r>
      <w:r>
        <w:rPr>
          <w:rFonts w:ascii="Times New Roman" w:hAnsi="Times New Roman" w:cs="Times New Roman"/>
          <w:color w:val="000000" w:themeColor="text1"/>
        </w:rPr>
        <w:t xml:space="preserve">must </w:t>
      </w:r>
      <w:r>
        <w:rPr>
          <w:rFonts w:ascii="Times New Roman" w:hAnsi="Times New Roman" w:cs="Times New Roman"/>
          <w:color w:val="000000" w:themeColor="text1"/>
        </w:rPr>
        <w:t>be developed for objective assessment of skills</w:t>
      </w:r>
      <w:r>
        <w:rPr>
          <w:rFonts w:ascii="Times New Roman" w:hAnsi="Times New Roman" w:cs="Times New Roman"/>
          <w:color w:val="000000" w:themeColor="text1"/>
        </w:rPr>
        <w:t>.</w:t>
      </w:r>
    </w:p>
    <w:p w14:paraId="432FF940" w14:textId="2279F53A" w:rsidR="00DE2FCE" w:rsidRDefault="00DE2FCE" w:rsidP="00DE2FCE">
      <w:pPr>
        <w:pStyle w:val="Normal1"/>
        <w:rPr>
          <w:rFonts w:ascii="Times New Roman" w:hAnsi="Times New Roman" w:cs="Times New Roman"/>
          <w:color w:val="000000" w:themeColor="text1"/>
        </w:rPr>
      </w:pPr>
      <w:r>
        <w:rPr>
          <w:rFonts w:ascii="Times New Roman" w:hAnsi="Times New Roman" w:cs="Times New Roman"/>
          <w:color w:val="000000" w:themeColor="text1"/>
        </w:rPr>
        <w:t xml:space="preserve">Exclusion Criteria: </w:t>
      </w:r>
    </w:p>
    <w:p w14:paraId="7A96AC58" w14:textId="44FB3647" w:rsidR="00DE2FCE" w:rsidRDefault="00DE2FCE" w:rsidP="00DE2FCE">
      <w:pPr>
        <w:pStyle w:val="Normal1"/>
        <w:numPr>
          <w:ilvl w:val="0"/>
          <w:numId w:val="14"/>
        </w:numPr>
        <w:rPr>
          <w:rFonts w:ascii="Times New Roman" w:hAnsi="Times New Roman" w:cs="Times New Roman"/>
          <w:color w:val="000000" w:themeColor="text1"/>
        </w:rPr>
      </w:pPr>
      <w:r>
        <w:rPr>
          <w:rFonts w:ascii="Times New Roman" w:hAnsi="Times New Roman" w:cs="Times New Roman"/>
          <w:color w:val="000000" w:themeColor="text1"/>
        </w:rPr>
        <w:t>Tools that assess</w:t>
      </w:r>
      <w:r w:rsidR="00FB02E1">
        <w:rPr>
          <w:rFonts w:ascii="Times New Roman" w:hAnsi="Times New Roman" w:cs="Times New Roman"/>
          <w:color w:val="000000" w:themeColor="text1"/>
        </w:rPr>
        <w:t xml:space="preserve"> anesthesia assistants, nurse anesthetists, and </w:t>
      </w:r>
      <w:r w:rsidR="00682386">
        <w:rPr>
          <w:rFonts w:ascii="Times New Roman" w:hAnsi="Times New Roman" w:cs="Times New Roman"/>
          <w:color w:val="000000" w:themeColor="text1"/>
        </w:rPr>
        <w:t xml:space="preserve">interprofessional </w:t>
      </w:r>
      <w:r w:rsidR="00FB02E1">
        <w:rPr>
          <w:rFonts w:ascii="Times New Roman" w:hAnsi="Times New Roman" w:cs="Times New Roman"/>
          <w:color w:val="000000" w:themeColor="text1"/>
        </w:rPr>
        <w:t>team</w:t>
      </w:r>
      <w:r w:rsidR="00682386">
        <w:rPr>
          <w:rFonts w:ascii="Times New Roman" w:hAnsi="Times New Roman" w:cs="Times New Roman"/>
          <w:color w:val="000000" w:themeColor="text1"/>
        </w:rPr>
        <w:t>s</w:t>
      </w:r>
      <w:r>
        <w:rPr>
          <w:rFonts w:ascii="Times New Roman" w:hAnsi="Times New Roman" w:cs="Times New Roman"/>
          <w:color w:val="000000" w:themeColor="text1"/>
        </w:rPr>
        <w:t>.</w:t>
      </w:r>
    </w:p>
    <w:p w14:paraId="2DE24BC3" w14:textId="77777777" w:rsidR="00AA3EA4" w:rsidRDefault="00DE2FCE" w:rsidP="00DE2FCE">
      <w:pPr>
        <w:pStyle w:val="Normal1"/>
        <w:numPr>
          <w:ilvl w:val="0"/>
          <w:numId w:val="14"/>
        </w:numPr>
        <w:rPr>
          <w:rFonts w:ascii="Times New Roman" w:hAnsi="Times New Roman" w:cs="Times New Roman"/>
          <w:color w:val="000000" w:themeColor="text1"/>
        </w:rPr>
      </w:pPr>
      <w:r>
        <w:rPr>
          <w:rFonts w:ascii="Times New Roman" w:hAnsi="Times New Roman" w:cs="Times New Roman"/>
          <w:color w:val="000000" w:themeColor="text1"/>
        </w:rPr>
        <w:t>T</w:t>
      </w:r>
      <w:r w:rsidR="00AF753D">
        <w:rPr>
          <w:rFonts w:ascii="Times New Roman" w:hAnsi="Times New Roman" w:cs="Times New Roman"/>
          <w:color w:val="000000" w:themeColor="text1"/>
        </w:rPr>
        <w:t xml:space="preserve">ools </w:t>
      </w:r>
      <w:r w:rsidR="00AA3EA4">
        <w:rPr>
          <w:rFonts w:ascii="Times New Roman" w:hAnsi="Times New Roman" w:cs="Times New Roman"/>
          <w:color w:val="000000" w:themeColor="text1"/>
        </w:rPr>
        <w:t xml:space="preserve">that </w:t>
      </w:r>
      <w:r>
        <w:rPr>
          <w:rFonts w:ascii="Times New Roman" w:hAnsi="Times New Roman" w:cs="Times New Roman"/>
          <w:color w:val="000000" w:themeColor="text1"/>
        </w:rPr>
        <w:t>include</w:t>
      </w:r>
      <w:r w:rsidR="00AF753D">
        <w:rPr>
          <w:rFonts w:ascii="Times New Roman" w:hAnsi="Times New Roman" w:cs="Times New Roman"/>
          <w:color w:val="000000" w:themeColor="text1"/>
        </w:rPr>
        <w:t xml:space="preserve"> technical skills items</w:t>
      </w:r>
      <w:r w:rsidR="00FB02E1">
        <w:rPr>
          <w:rFonts w:ascii="Times New Roman" w:hAnsi="Times New Roman" w:cs="Times New Roman"/>
          <w:color w:val="000000" w:themeColor="text1"/>
        </w:rPr>
        <w:t xml:space="preserve">. </w:t>
      </w:r>
    </w:p>
    <w:p w14:paraId="42EDB13F" w14:textId="77777777" w:rsidR="00AA3EA4" w:rsidRDefault="00AA3EA4" w:rsidP="00DE2FCE">
      <w:pPr>
        <w:pStyle w:val="Normal1"/>
        <w:numPr>
          <w:ilvl w:val="0"/>
          <w:numId w:val="14"/>
        </w:numPr>
        <w:rPr>
          <w:rFonts w:ascii="Times New Roman" w:hAnsi="Times New Roman" w:cs="Times New Roman"/>
          <w:color w:val="000000" w:themeColor="text1"/>
        </w:rPr>
      </w:pPr>
      <w:r>
        <w:rPr>
          <w:rFonts w:ascii="Times New Roman" w:hAnsi="Times New Roman" w:cs="Times New Roman"/>
          <w:color w:val="000000" w:themeColor="text1"/>
        </w:rPr>
        <w:t xml:space="preserve">Studies where </w:t>
      </w:r>
      <w:r w:rsidR="00805BBB">
        <w:rPr>
          <w:rFonts w:ascii="Times New Roman" w:hAnsi="Times New Roman" w:cs="Times New Roman"/>
          <w:color w:val="000000" w:themeColor="text1"/>
        </w:rPr>
        <w:t>psychometric</w:t>
      </w:r>
      <w:r>
        <w:rPr>
          <w:rFonts w:ascii="Times New Roman" w:hAnsi="Times New Roman" w:cs="Times New Roman"/>
          <w:color w:val="000000" w:themeColor="text1"/>
        </w:rPr>
        <w:t xml:space="preserve"> assessment i</w:t>
      </w:r>
      <w:r w:rsidR="001C37C2">
        <w:rPr>
          <w:rFonts w:ascii="Times New Roman" w:hAnsi="Times New Roman" w:cs="Times New Roman"/>
          <w:color w:val="000000" w:themeColor="text1"/>
        </w:rPr>
        <w:t>s not the primary outcome</w:t>
      </w:r>
      <w:r>
        <w:rPr>
          <w:rFonts w:ascii="Times New Roman" w:hAnsi="Times New Roman" w:cs="Times New Roman"/>
          <w:color w:val="000000" w:themeColor="text1"/>
        </w:rPr>
        <w:t>.</w:t>
      </w:r>
    </w:p>
    <w:p w14:paraId="2899B437" w14:textId="77777777" w:rsidR="00AA3EA4" w:rsidRDefault="00AA3EA4" w:rsidP="00DE2FCE">
      <w:pPr>
        <w:pStyle w:val="Normal1"/>
        <w:numPr>
          <w:ilvl w:val="0"/>
          <w:numId w:val="14"/>
        </w:numPr>
        <w:rPr>
          <w:rFonts w:ascii="Times New Roman" w:hAnsi="Times New Roman" w:cs="Times New Roman"/>
          <w:color w:val="000000" w:themeColor="text1"/>
        </w:rPr>
      </w:pPr>
      <w:r>
        <w:rPr>
          <w:rFonts w:ascii="Times New Roman" w:hAnsi="Times New Roman" w:cs="Times New Roman"/>
          <w:color w:val="000000" w:themeColor="text1"/>
        </w:rPr>
        <w:t>Studies that evaluate</w:t>
      </w:r>
      <w:r w:rsidR="00015AEB">
        <w:rPr>
          <w:rFonts w:ascii="Times New Roman" w:hAnsi="Times New Roman" w:cs="Times New Roman"/>
          <w:color w:val="000000" w:themeColor="text1"/>
        </w:rPr>
        <w:t xml:space="preserve"> </w:t>
      </w:r>
      <w:r w:rsidR="001C37C2">
        <w:rPr>
          <w:rFonts w:ascii="Times New Roman" w:hAnsi="Times New Roman" w:cs="Times New Roman"/>
          <w:color w:val="000000" w:themeColor="text1"/>
        </w:rPr>
        <w:t xml:space="preserve">anesthesiologists’ performance but </w:t>
      </w:r>
      <w:r>
        <w:rPr>
          <w:rFonts w:ascii="Times New Roman" w:hAnsi="Times New Roman" w:cs="Times New Roman"/>
          <w:color w:val="000000" w:themeColor="text1"/>
        </w:rPr>
        <w:t>not the assessment tool itself.</w:t>
      </w:r>
    </w:p>
    <w:p w14:paraId="6CCAC6CA" w14:textId="236AC98F" w:rsidR="00B25AFA" w:rsidRDefault="00AA3EA4" w:rsidP="00DE2FCE">
      <w:pPr>
        <w:pStyle w:val="Normal1"/>
        <w:numPr>
          <w:ilvl w:val="0"/>
          <w:numId w:val="14"/>
        </w:numPr>
        <w:rPr>
          <w:rFonts w:ascii="Times New Roman" w:hAnsi="Times New Roman" w:cs="Times New Roman"/>
          <w:color w:val="000000" w:themeColor="text1"/>
        </w:rPr>
      </w:pPr>
      <w:r>
        <w:rPr>
          <w:rFonts w:ascii="Times New Roman" w:hAnsi="Times New Roman" w:cs="Times New Roman"/>
          <w:color w:val="000000" w:themeColor="text1"/>
        </w:rPr>
        <w:t xml:space="preserve">Tools that are developed for </w:t>
      </w:r>
      <w:r w:rsidR="00A92C81">
        <w:rPr>
          <w:rFonts w:ascii="Times New Roman" w:hAnsi="Times New Roman" w:cs="Times New Roman"/>
          <w:color w:val="000000" w:themeColor="text1"/>
        </w:rPr>
        <w:t>subjective (i.e. self-reported) assessment</w:t>
      </w:r>
      <w:r w:rsidR="00A36898">
        <w:rPr>
          <w:rFonts w:ascii="Times New Roman" w:hAnsi="Times New Roman" w:cs="Times New Roman"/>
          <w:color w:val="000000" w:themeColor="text1"/>
        </w:rPr>
        <w:t xml:space="preserve"> </w:t>
      </w:r>
      <w:r>
        <w:rPr>
          <w:rFonts w:ascii="Times New Roman" w:hAnsi="Times New Roman" w:cs="Times New Roman"/>
          <w:color w:val="000000" w:themeColor="text1"/>
        </w:rPr>
        <w:t>of skills.</w:t>
      </w:r>
    </w:p>
    <w:p w14:paraId="08DD1270" w14:textId="77777777" w:rsidR="00342D44" w:rsidRDefault="00342D44" w:rsidP="00FE60A5">
      <w:pPr>
        <w:spacing w:after="0" w:line="240" w:lineRule="auto"/>
        <w:contextualSpacing/>
        <w:rPr>
          <w:rFonts w:ascii="Times New Roman" w:hAnsi="Times New Roman" w:cs="Times New Roman"/>
          <w:color w:val="000000" w:themeColor="text1"/>
          <w:sz w:val="24"/>
          <w:szCs w:val="24"/>
        </w:rPr>
      </w:pPr>
    </w:p>
    <w:p w14:paraId="1A373053" w14:textId="77777777" w:rsidR="00342D44" w:rsidRDefault="00342D44" w:rsidP="00E07243">
      <w:pPr>
        <w:spacing w:after="0" w:line="240" w:lineRule="auto"/>
        <w:contextualSpacing/>
        <w:rPr>
          <w:rFonts w:ascii="Times New Roman" w:hAnsi="Times New Roman" w:cs="Times New Roman"/>
          <w:color w:val="000000" w:themeColor="text1"/>
          <w:sz w:val="24"/>
          <w:szCs w:val="24"/>
        </w:rPr>
      </w:pPr>
    </w:p>
    <w:p w14:paraId="54D63C15" w14:textId="77777777" w:rsidR="001B6AC4" w:rsidRDefault="001B6AC4" w:rsidP="00E07243">
      <w:pPr>
        <w:pStyle w:val="Normal1"/>
        <w:widowControl w:val="0"/>
      </w:pPr>
      <w:r>
        <w:rPr>
          <w:rFonts w:ascii="Times New Roman" w:eastAsia="Times New Roman" w:hAnsi="Times New Roman" w:cs="Times New Roman"/>
          <w:b/>
        </w:rPr>
        <w:t>Study selection</w:t>
      </w:r>
    </w:p>
    <w:p w14:paraId="1B64F5CA" w14:textId="2B14B522" w:rsidR="004F2D23" w:rsidRPr="00D96A26" w:rsidRDefault="00580CEA" w:rsidP="00FE60A5">
      <w:pPr>
        <w:spacing w:after="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B25AFA">
        <w:rPr>
          <w:rFonts w:ascii="Times New Roman" w:hAnsi="Times New Roman" w:cs="Times New Roman"/>
          <w:color w:val="000000" w:themeColor="text1"/>
          <w:sz w:val="24"/>
          <w:szCs w:val="24"/>
        </w:rPr>
        <w:t>itles and abstracts</w:t>
      </w:r>
      <w:r w:rsidR="005366A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will be screened in duplicate for eligibility by two independent reviewers. Full-texts of included studies will then be reviewed. </w:t>
      </w:r>
      <w:r w:rsidR="00361533">
        <w:rPr>
          <w:rFonts w:ascii="Times New Roman" w:hAnsi="Times New Roman"/>
          <w:color w:val="000000" w:themeColor="text1"/>
          <w:sz w:val="24"/>
          <w:szCs w:val="24"/>
        </w:rPr>
        <w:t xml:space="preserve">Disagreements </w:t>
      </w:r>
      <w:r w:rsidR="00E91611">
        <w:rPr>
          <w:rFonts w:ascii="Times New Roman" w:hAnsi="Times New Roman"/>
          <w:color w:val="000000" w:themeColor="text1"/>
          <w:sz w:val="24"/>
          <w:szCs w:val="24"/>
        </w:rPr>
        <w:t xml:space="preserve">at each level of screening </w:t>
      </w:r>
      <w:r>
        <w:rPr>
          <w:rFonts w:ascii="Times New Roman" w:hAnsi="Times New Roman"/>
          <w:color w:val="000000" w:themeColor="text1"/>
          <w:sz w:val="24"/>
          <w:szCs w:val="24"/>
        </w:rPr>
        <w:t>will be</w:t>
      </w:r>
      <w:r w:rsidR="00361533">
        <w:rPr>
          <w:rFonts w:ascii="Times New Roman" w:hAnsi="Times New Roman"/>
          <w:color w:val="000000" w:themeColor="text1"/>
          <w:sz w:val="24"/>
          <w:szCs w:val="24"/>
        </w:rPr>
        <w:t xml:space="preserve"> resolved by consensus discussion or assistance from</w:t>
      </w:r>
      <w:r w:rsidR="00361533" w:rsidRPr="00B44716">
        <w:rPr>
          <w:rFonts w:ascii="Times New Roman" w:hAnsi="Times New Roman"/>
          <w:color w:val="000000" w:themeColor="text1"/>
          <w:sz w:val="24"/>
          <w:szCs w:val="24"/>
        </w:rPr>
        <w:t xml:space="preserve"> a</w:t>
      </w:r>
      <w:r w:rsidR="00361533">
        <w:rPr>
          <w:rFonts w:ascii="Times New Roman" w:hAnsi="Times New Roman"/>
          <w:color w:val="000000" w:themeColor="text1"/>
          <w:sz w:val="24"/>
          <w:szCs w:val="24"/>
        </w:rPr>
        <w:t>nother</w:t>
      </w:r>
      <w:r w:rsidR="00361533" w:rsidRPr="00B44716">
        <w:rPr>
          <w:rFonts w:ascii="Times New Roman" w:hAnsi="Times New Roman"/>
          <w:color w:val="000000" w:themeColor="text1"/>
          <w:sz w:val="24"/>
          <w:szCs w:val="24"/>
        </w:rPr>
        <w:t xml:space="preserve"> review</w:t>
      </w:r>
      <w:r w:rsidR="00361533">
        <w:rPr>
          <w:rFonts w:ascii="Times New Roman" w:hAnsi="Times New Roman"/>
          <w:color w:val="000000" w:themeColor="text1"/>
          <w:sz w:val="24"/>
          <w:szCs w:val="24"/>
        </w:rPr>
        <w:t>er if needed</w:t>
      </w:r>
      <w:r w:rsidR="00361533" w:rsidRPr="00B44716">
        <w:rPr>
          <w:rFonts w:ascii="Times New Roman" w:hAnsi="Times New Roman"/>
          <w:color w:val="000000" w:themeColor="text1"/>
          <w:sz w:val="24"/>
          <w:szCs w:val="24"/>
        </w:rPr>
        <w:t xml:space="preserve">. </w:t>
      </w:r>
    </w:p>
    <w:p w14:paraId="0B35FB36" w14:textId="77777777" w:rsidR="004F2D23" w:rsidRDefault="004F2D23" w:rsidP="00FE60A5">
      <w:pPr>
        <w:spacing w:after="0" w:line="240" w:lineRule="auto"/>
        <w:contextualSpacing/>
        <w:rPr>
          <w:rFonts w:ascii="Times New Roman" w:hAnsi="Times New Roman"/>
          <w:color w:val="000000" w:themeColor="text1"/>
          <w:sz w:val="24"/>
          <w:szCs w:val="24"/>
        </w:rPr>
      </w:pPr>
    </w:p>
    <w:p w14:paraId="3520A08C" w14:textId="4093A58E" w:rsidR="004F2D23" w:rsidRDefault="004F2D23" w:rsidP="009C7BC5">
      <w:pPr>
        <w:pStyle w:val="Normal1"/>
        <w:widowControl w:val="0"/>
        <w:rPr>
          <w:rFonts w:ascii="Times New Roman" w:eastAsia="Times New Roman" w:hAnsi="Times New Roman" w:cs="Times New Roman"/>
          <w:b/>
        </w:rPr>
      </w:pPr>
      <w:r>
        <w:rPr>
          <w:rFonts w:ascii="Times New Roman" w:eastAsia="Times New Roman" w:hAnsi="Times New Roman" w:cs="Times New Roman"/>
          <w:b/>
        </w:rPr>
        <w:t xml:space="preserve">Data </w:t>
      </w:r>
      <w:r w:rsidR="00580CEA">
        <w:rPr>
          <w:rFonts w:ascii="Times New Roman" w:eastAsia="Times New Roman" w:hAnsi="Times New Roman" w:cs="Times New Roman"/>
          <w:b/>
        </w:rPr>
        <w:t>extraction</w:t>
      </w:r>
    </w:p>
    <w:p w14:paraId="19949B87" w14:textId="02B72DC9" w:rsidR="00CA38D2" w:rsidRDefault="00361533" w:rsidP="00E318C9">
      <w:pPr>
        <w:pStyle w:val="Normal1"/>
        <w:widowControl w:val="0"/>
        <w:rPr>
          <w:rFonts w:ascii="Times New Roman" w:hAnsi="Times New Roman"/>
          <w:color w:val="000000" w:themeColor="text1"/>
        </w:rPr>
      </w:pPr>
      <w:r>
        <w:rPr>
          <w:rFonts w:ascii="Times New Roman" w:hAnsi="Times New Roman"/>
          <w:color w:val="000000" w:themeColor="text1"/>
        </w:rPr>
        <w:t xml:space="preserve">Data extraction </w:t>
      </w:r>
      <w:r w:rsidR="00580CEA">
        <w:rPr>
          <w:rFonts w:ascii="Times New Roman" w:hAnsi="Times New Roman"/>
          <w:color w:val="000000" w:themeColor="text1"/>
        </w:rPr>
        <w:t>will be</w:t>
      </w:r>
      <w:r>
        <w:rPr>
          <w:rFonts w:ascii="Times New Roman" w:hAnsi="Times New Roman"/>
          <w:color w:val="000000" w:themeColor="text1"/>
        </w:rPr>
        <w:t xml:space="preserve"> conducted </w:t>
      </w:r>
      <w:r w:rsidR="00A802BC">
        <w:rPr>
          <w:rFonts w:ascii="Times New Roman" w:hAnsi="Times New Roman"/>
          <w:color w:val="000000" w:themeColor="text1"/>
        </w:rPr>
        <w:t>by one reviewer</w:t>
      </w:r>
      <w:r>
        <w:rPr>
          <w:rFonts w:ascii="Times New Roman" w:hAnsi="Times New Roman"/>
          <w:color w:val="000000" w:themeColor="text1"/>
        </w:rPr>
        <w:t xml:space="preserve"> using an electronic data </w:t>
      </w:r>
      <w:r w:rsidR="00580CEA">
        <w:rPr>
          <w:rFonts w:ascii="Times New Roman" w:hAnsi="Times New Roman"/>
          <w:color w:val="000000" w:themeColor="text1"/>
        </w:rPr>
        <w:t xml:space="preserve">collection form </w:t>
      </w:r>
      <w:r w:rsidR="008669D0">
        <w:rPr>
          <w:rFonts w:ascii="Times New Roman" w:hAnsi="Times New Roman"/>
          <w:color w:val="000000" w:themeColor="text1"/>
        </w:rPr>
        <w:t>for all included articles</w:t>
      </w:r>
      <w:r>
        <w:rPr>
          <w:rFonts w:ascii="Times New Roman" w:hAnsi="Times New Roman"/>
          <w:color w:val="000000" w:themeColor="text1"/>
        </w:rPr>
        <w:t xml:space="preserve">. </w:t>
      </w:r>
      <w:r w:rsidR="00A802BC">
        <w:rPr>
          <w:rFonts w:ascii="Times New Roman" w:hAnsi="Times New Roman"/>
          <w:color w:val="000000" w:themeColor="text1"/>
        </w:rPr>
        <w:t xml:space="preserve">Extracted information </w:t>
      </w:r>
      <w:r w:rsidR="00580CEA">
        <w:rPr>
          <w:rFonts w:ascii="Times New Roman" w:hAnsi="Times New Roman"/>
          <w:color w:val="000000" w:themeColor="text1"/>
        </w:rPr>
        <w:t>will them be verified by a second reviewer</w:t>
      </w:r>
      <w:r w:rsidR="00A802BC">
        <w:rPr>
          <w:rFonts w:ascii="Times New Roman" w:hAnsi="Times New Roman"/>
          <w:color w:val="000000" w:themeColor="text1"/>
        </w:rPr>
        <w:t xml:space="preserve">. </w:t>
      </w:r>
      <w:r w:rsidR="00580CEA">
        <w:rPr>
          <w:rFonts w:ascii="Times New Roman" w:hAnsi="Times New Roman"/>
          <w:color w:val="000000" w:themeColor="text1"/>
        </w:rPr>
        <w:t>The final list of included tools will be reviewed by a group of</w:t>
      </w:r>
      <w:r w:rsidR="002902E8">
        <w:rPr>
          <w:rFonts w:ascii="Times New Roman" w:hAnsi="Times New Roman"/>
          <w:color w:val="000000" w:themeColor="text1"/>
        </w:rPr>
        <w:t xml:space="preserve"> anesthesiologists to determine accuracy and completeness. </w:t>
      </w:r>
      <w:r w:rsidR="00CA38D2">
        <w:rPr>
          <w:rFonts w:ascii="Times New Roman" w:eastAsia="Times New Roman" w:hAnsi="Times New Roman" w:cs="Times New Roman"/>
        </w:rPr>
        <w:t xml:space="preserve">The data extraction form </w:t>
      </w:r>
      <w:r w:rsidR="00580CEA">
        <w:rPr>
          <w:rFonts w:ascii="Times New Roman" w:eastAsia="Times New Roman" w:hAnsi="Times New Roman" w:cs="Times New Roman"/>
        </w:rPr>
        <w:t>will collect</w:t>
      </w:r>
      <w:r w:rsidR="00CA38D2">
        <w:rPr>
          <w:rFonts w:ascii="Times New Roman" w:eastAsia="Times New Roman" w:hAnsi="Times New Roman" w:cs="Times New Roman"/>
        </w:rPr>
        <w:t xml:space="preserve"> general article information</w:t>
      </w:r>
      <w:r w:rsidR="007748D2">
        <w:rPr>
          <w:rFonts w:ascii="Times New Roman" w:eastAsia="Times New Roman" w:hAnsi="Times New Roman" w:cs="Times New Roman"/>
        </w:rPr>
        <w:t xml:space="preserve"> (e.g. year and study location)</w:t>
      </w:r>
      <w:r w:rsidR="00CA38D2">
        <w:rPr>
          <w:rFonts w:ascii="Times New Roman" w:eastAsia="Times New Roman" w:hAnsi="Times New Roman" w:cs="Times New Roman"/>
        </w:rPr>
        <w:t>, demographics of learners</w:t>
      </w:r>
      <w:r w:rsidR="007748D2">
        <w:rPr>
          <w:rFonts w:ascii="Times New Roman" w:eastAsia="Times New Roman" w:hAnsi="Times New Roman" w:cs="Times New Roman"/>
        </w:rPr>
        <w:t xml:space="preserve"> (e.g. trainee status)</w:t>
      </w:r>
      <w:r w:rsidR="00CA38D2">
        <w:rPr>
          <w:rFonts w:ascii="Times New Roman" w:eastAsia="Times New Roman" w:hAnsi="Times New Roman" w:cs="Times New Roman"/>
        </w:rPr>
        <w:t xml:space="preserve">, </w:t>
      </w:r>
      <w:r w:rsidR="007748D2">
        <w:rPr>
          <w:rFonts w:ascii="Times New Roman" w:eastAsia="Times New Roman" w:hAnsi="Times New Roman" w:cs="Times New Roman"/>
        </w:rPr>
        <w:t xml:space="preserve">tool design (e.g. name and number of items), and </w:t>
      </w:r>
      <w:r w:rsidR="00805BBB">
        <w:rPr>
          <w:rFonts w:ascii="Times New Roman" w:eastAsia="Times New Roman" w:hAnsi="Times New Roman" w:cs="Times New Roman"/>
        </w:rPr>
        <w:t>psychometric</w:t>
      </w:r>
      <w:r w:rsidR="007748D2">
        <w:rPr>
          <w:rFonts w:ascii="Times New Roman" w:eastAsia="Times New Roman" w:hAnsi="Times New Roman" w:cs="Times New Roman"/>
        </w:rPr>
        <w:t xml:space="preserve"> outcomes (e.g. properties assessed and validation values). </w:t>
      </w:r>
    </w:p>
    <w:p w14:paraId="06424D28" w14:textId="77777777" w:rsidR="00E318C9" w:rsidRDefault="00E318C9" w:rsidP="00E318C9">
      <w:pPr>
        <w:pStyle w:val="Normal1"/>
        <w:widowControl w:val="0"/>
        <w:rPr>
          <w:rFonts w:ascii="Times New Roman" w:hAnsi="Times New Roman"/>
          <w:color w:val="000000" w:themeColor="text1"/>
        </w:rPr>
      </w:pPr>
    </w:p>
    <w:p w14:paraId="1693ECDB" w14:textId="48642D4B" w:rsidR="009C4E08" w:rsidRDefault="00C0604B" w:rsidP="00E318C9">
      <w:pPr>
        <w:pStyle w:val="Normal1"/>
        <w:widowControl w:val="0"/>
      </w:pPr>
      <w:r>
        <w:rPr>
          <w:rFonts w:ascii="Times New Roman" w:eastAsia="Times New Roman" w:hAnsi="Times New Roman" w:cs="Times New Roman"/>
          <w:b/>
        </w:rPr>
        <w:t>Study quality</w:t>
      </w:r>
    </w:p>
    <w:p w14:paraId="11FAB2AD" w14:textId="7F28898B" w:rsidR="00361533" w:rsidRPr="00F63FB7" w:rsidRDefault="00580CEA" w:rsidP="000029EA">
      <w:pPr>
        <w:pStyle w:val="Normal1"/>
        <w:widowControl w:val="0"/>
      </w:pPr>
      <w:r>
        <w:rPr>
          <w:rFonts w:ascii="Times New Roman" w:hAnsi="Times New Roman"/>
          <w:color w:val="000000" w:themeColor="text1"/>
        </w:rPr>
        <w:t xml:space="preserve">Screeners will assess the methodological quality of included studies in duplicate using </w:t>
      </w:r>
      <w:r w:rsidR="00361533">
        <w:rPr>
          <w:rFonts w:ascii="Times New Roman" w:hAnsi="Times New Roman"/>
          <w:color w:val="000000" w:themeColor="text1"/>
        </w:rPr>
        <w:t>The COSMIN checklist</w:t>
      </w:r>
      <w:r>
        <w:rPr>
          <w:rFonts w:ascii="Times New Roman" w:hAnsi="Times New Roman"/>
          <w:color w:val="000000" w:themeColor="text1"/>
        </w:rPr>
        <w:t>.</w:t>
      </w:r>
      <w:r w:rsidR="007D3B4A" w:rsidRPr="005138C1">
        <w:rPr>
          <w:rFonts w:ascii="Times New Roman" w:eastAsia="Times New Roman" w:hAnsi="Times New Roman" w:cs="Times New Roman"/>
        </w:rPr>
        <w:fldChar w:fldCharType="begin" w:fldLock="1"/>
      </w:r>
      <w:r w:rsidR="00644FB4">
        <w:rPr>
          <w:rFonts w:ascii="Times New Roman" w:eastAsia="Times New Roman" w:hAnsi="Times New Roman" w:cs="Times New Roman"/>
        </w:rPr>
        <w:instrText>ADDIN CSL_CITATION { "citationItems" : [ { "id" : "ITEM-1", "itemData" : { "DOI" : "10.1007/s11136-011-9960-1", "ISBN" : "1573-2649 (Electronic)\\r0962-9343 (Linking)", "ISSN" : "09629343", "PMID" : "21732199", "abstract" : "BACKGROUND: The COSMIN checklist is a standardized tool for assessing the methodological quality of studies on measurement properties. It contains 9 boxes, each dealing with one measurement property, with 5-18 items per box about design aspects and statistical methods. Our aim was to develop a scoring system for the COSMIN checklist to calculate quality scores per measurement property when using the checklist in systematic reviews of measurement properties.\\n\\nMETHODS: The scoring system was developed based on discussions among experts and testing of the scoring system on 46 articles from a systematic review. Four response options were defined for each COSMIN item (excellent, good, fair, and poor). A quality score per measurement property is obtained by taking the lowest rating of any item in a box (\"worst score counts\").\\n\\nRESULTS: Specific criteria for excellent, good, fair, and poor quality for each COSMIN item are described. In defining the criteria, the \"worst score counts\" algorithm was taken into consideration. This means that only fatal flaws were defined as poor quality. The scores of the 46 articles show how the scoring system can be used to provide an overview of the methodological quality of studies included in a systematic review of measurement properties.\\n\\nCONCLUSIONS: Based on experience in testing this scoring system on 46 articles, the COSMIN checklist with the proposed scoring system seems to be a useful tool for assessing the methodological quality of studies included in systematic reviews of measurement properties.", "author" : [ { "dropping-particle" : "", "family" : "Terwee", "given" : "Caroline B.", "non-dropping-particle" : "", "parse-names" : false, "suffix" : "" }, { "dropping-particle" : "", "family" : "Mokkink", "given" : "Lidwine B.", "non-dropping-particle" : "", "parse-names" : false, "suffix" : "" }, { "dropping-particle" : "", "family" : "Knol", "given" : "Dirk L.", "non-dropping-particle" : "", "parse-names" : false, "suffix" : "" }, { "dropping-particle" : "", "family" : "Ostelo", "given" : "Raymond W J G", "non-dropping-particle" : "", "parse-names" : false, "suffix" : "" }, { "dropping-particle" : "", "family" : "Bouter", "given" : "Lex M.", "non-dropping-particle" : "", "parse-names" : false, "suffix" : "" }, { "dropping-particle" : "", "family" : "Vet", "given" : "Henrica C W", "non-dropping-particle" : "De", "parse-names" : false, "suffix" : "" } ], "container-title" : "Quality of Life Research", "id" : "ITEM-1", "issue" : "4", "issued" : { "date-parts" : [ [ "2012" ] ] }, "page" : "651-657", "title" : "Rating the methodological quality in systematic reviews of studies on measurement properties: A scoring system for the COSMIN checklist", "type" : "article-journal", "volume" : "21" }, "uris" : [ "http://www.mendeley.com/documents/?uuid=397bce4b-5d8f-4dea-8a88-abce2b73ea89" ] } ], "mendeley" : { "formattedCitation" : "&lt;sup&gt;22&lt;/sup&gt;", "plainTextFormattedCitation" : "22", "previouslyFormattedCitation" : "&lt;sup&gt;22&lt;/sup&gt;" }, "properties" : { "noteIndex" : 0 }, "schema" : "https://github.com/citation-style-language/schema/raw/master/csl-citation.json" }</w:instrText>
      </w:r>
      <w:r w:rsidR="007D3B4A" w:rsidRPr="005138C1">
        <w:rPr>
          <w:rFonts w:ascii="Times New Roman" w:eastAsia="Times New Roman" w:hAnsi="Times New Roman" w:cs="Times New Roman"/>
        </w:rPr>
        <w:fldChar w:fldCharType="separate"/>
      </w:r>
      <w:r w:rsidR="0091499F" w:rsidRPr="0091499F">
        <w:rPr>
          <w:rFonts w:ascii="Times New Roman" w:eastAsia="Times New Roman" w:hAnsi="Times New Roman" w:cs="Times New Roman"/>
          <w:noProof/>
          <w:vertAlign w:val="superscript"/>
        </w:rPr>
        <w:t>22</w:t>
      </w:r>
      <w:r w:rsidR="007D3B4A" w:rsidRPr="005138C1">
        <w:rPr>
          <w:rFonts w:ascii="Times New Roman" w:eastAsia="Times New Roman" w:hAnsi="Times New Roman" w:cs="Times New Roman"/>
        </w:rPr>
        <w:fldChar w:fldCharType="end"/>
      </w:r>
      <w:r w:rsidR="00361533">
        <w:rPr>
          <w:rFonts w:ascii="Times New Roman" w:hAnsi="Times New Roman"/>
          <w:color w:val="000000" w:themeColor="text1"/>
        </w:rPr>
        <w:t xml:space="preserve"> </w:t>
      </w:r>
      <w:r>
        <w:rPr>
          <w:rFonts w:ascii="Times New Roman" w:hAnsi="Times New Roman"/>
          <w:color w:val="000000" w:themeColor="text1"/>
        </w:rPr>
        <w:t>Disa</w:t>
      </w:r>
      <w:r w:rsidR="007748D2">
        <w:rPr>
          <w:rFonts w:ascii="Times New Roman" w:hAnsi="Times New Roman"/>
          <w:color w:val="000000" w:themeColor="text1"/>
        </w:rPr>
        <w:t xml:space="preserve">greements </w:t>
      </w:r>
      <w:r>
        <w:rPr>
          <w:rFonts w:ascii="Times New Roman" w:hAnsi="Times New Roman"/>
          <w:color w:val="000000" w:themeColor="text1"/>
        </w:rPr>
        <w:t xml:space="preserve">will be </w:t>
      </w:r>
      <w:r w:rsidR="007748D2">
        <w:rPr>
          <w:rFonts w:ascii="Times New Roman" w:hAnsi="Times New Roman"/>
          <w:color w:val="000000" w:themeColor="text1"/>
        </w:rPr>
        <w:t>resolved through consensus or a third reviewer as required</w:t>
      </w:r>
      <w:r w:rsidR="00361533">
        <w:rPr>
          <w:rFonts w:ascii="Times New Roman" w:hAnsi="Times New Roman"/>
          <w:color w:val="000000" w:themeColor="text1"/>
        </w:rPr>
        <w:t xml:space="preserve">. </w:t>
      </w:r>
    </w:p>
    <w:p w14:paraId="375D2A17" w14:textId="77777777" w:rsidR="00361533" w:rsidRDefault="00361533" w:rsidP="00FE60A5">
      <w:pPr>
        <w:spacing w:after="0" w:line="240" w:lineRule="auto"/>
        <w:contextualSpacing/>
        <w:rPr>
          <w:rFonts w:ascii="Times New Roman" w:hAnsi="Times New Roman"/>
          <w:color w:val="000000" w:themeColor="text1"/>
          <w:sz w:val="24"/>
          <w:szCs w:val="24"/>
        </w:rPr>
      </w:pPr>
    </w:p>
    <w:p w14:paraId="5E96BBF3" w14:textId="3A84CBDB" w:rsidR="00D546CA" w:rsidRPr="00F63FB7" w:rsidRDefault="00975E04" w:rsidP="00FE60A5">
      <w:pPr>
        <w:spacing w:after="0" w:line="240" w:lineRule="auto"/>
        <w:contextualSpacing/>
        <w:rPr>
          <w:rFonts w:ascii="Times New Roman" w:hAnsi="Times New Roman"/>
          <w:b/>
          <w:color w:val="000000" w:themeColor="text1"/>
          <w:sz w:val="24"/>
          <w:szCs w:val="24"/>
        </w:rPr>
      </w:pPr>
      <w:r>
        <w:rPr>
          <w:rFonts w:ascii="Times New Roman" w:hAnsi="Times New Roman"/>
          <w:b/>
          <w:color w:val="000000" w:themeColor="text1"/>
          <w:sz w:val="24"/>
          <w:szCs w:val="24"/>
        </w:rPr>
        <w:t>Synthesis</w:t>
      </w:r>
    </w:p>
    <w:p w14:paraId="40A19766" w14:textId="783B3CA4" w:rsidR="000029EA" w:rsidRDefault="000029EA" w:rsidP="00FE60A5">
      <w:pPr>
        <w:spacing w:after="0" w:line="240" w:lineRule="auto"/>
        <w:contextualSpacing/>
        <w:rPr>
          <w:rFonts w:ascii="Times New Roman" w:hAnsi="Times New Roman"/>
          <w:color w:val="000000" w:themeColor="text1"/>
          <w:sz w:val="24"/>
          <w:szCs w:val="24"/>
        </w:rPr>
      </w:pPr>
      <w:r>
        <w:rPr>
          <w:rFonts w:ascii="Times New Roman" w:hAnsi="Times New Roman"/>
          <w:color w:val="000000" w:themeColor="text1"/>
          <w:sz w:val="24"/>
          <w:szCs w:val="24"/>
        </w:rPr>
        <w:t xml:space="preserve">A narrative summary of the types of reliability and validity, </w:t>
      </w:r>
      <w:r w:rsidR="00805BBB">
        <w:rPr>
          <w:rFonts w:ascii="Times New Roman" w:hAnsi="Times New Roman"/>
          <w:color w:val="000000" w:themeColor="text1"/>
          <w:sz w:val="24"/>
          <w:szCs w:val="24"/>
        </w:rPr>
        <w:t>psychometric</w:t>
      </w:r>
      <w:r>
        <w:rPr>
          <w:rFonts w:ascii="Times New Roman" w:hAnsi="Times New Roman"/>
          <w:color w:val="000000" w:themeColor="text1"/>
          <w:sz w:val="24"/>
          <w:szCs w:val="24"/>
        </w:rPr>
        <w:t xml:space="preserve"> coefficients, validation context (i.e. simulation or clinical), and level of </w:t>
      </w:r>
      <w:r w:rsidR="00805BBB">
        <w:rPr>
          <w:rFonts w:ascii="Times New Roman" w:hAnsi="Times New Roman"/>
          <w:color w:val="000000" w:themeColor="text1"/>
          <w:sz w:val="24"/>
          <w:szCs w:val="24"/>
        </w:rPr>
        <w:t>psychometric</w:t>
      </w:r>
      <w:r>
        <w:rPr>
          <w:rFonts w:ascii="Times New Roman" w:hAnsi="Times New Roman"/>
          <w:color w:val="000000" w:themeColor="text1"/>
          <w:sz w:val="24"/>
          <w:szCs w:val="24"/>
        </w:rPr>
        <w:t xml:space="preserve"> evidence for each assessment tool (i.e. minimal, moderate, or extensive) </w:t>
      </w:r>
      <w:r w:rsidR="009565E7">
        <w:rPr>
          <w:rFonts w:ascii="Times New Roman" w:hAnsi="Times New Roman"/>
          <w:color w:val="000000" w:themeColor="text1"/>
          <w:sz w:val="24"/>
          <w:szCs w:val="24"/>
        </w:rPr>
        <w:t>will be</w:t>
      </w:r>
      <w:r>
        <w:rPr>
          <w:rFonts w:ascii="Times New Roman" w:hAnsi="Times New Roman"/>
          <w:color w:val="000000" w:themeColor="text1"/>
          <w:sz w:val="24"/>
          <w:szCs w:val="24"/>
        </w:rPr>
        <w:t xml:space="preserve"> completed for each included assessment tool. </w:t>
      </w:r>
    </w:p>
    <w:p w14:paraId="4772418C" w14:textId="77777777" w:rsidR="00FE60A5" w:rsidRDefault="00FE60A5" w:rsidP="00FE60A5">
      <w:pPr>
        <w:spacing w:after="0" w:line="240" w:lineRule="auto"/>
        <w:contextualSpacing/>
        <w:rPr>
          <w:rFonts w:ascii="Times New Roman" w:hAnsi="Times New Roman" w:cs="Times New Roman"/>
          <w:b/>
          <w:color w:val="000000" w:themeColor="text1"/>
          <w:sz w:val="24"/>
          <w:szCs w:val="24"/>
        </w:rPr>
      </w:pPr>
    </w:p>
    <w:p w14:paraId="32ECE017" w14:textId="09F7C832" w:rsidR="00975E04" w:rsidRDefault="00C65182" w:rsidP="00975E04">
      <w:pPr>
        <w:pStyle w:val="Heading1"/>
        <w:spacing w:before="0" w:line="24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For tools with more than one validation study, a meta-analysis of reliability coefficients (i.e. reliability generalization) </w:t>
      </w:r>
      <w:r w:rsidR="009565E7">
        <w:rPr>
          <w:rFonts w:ascii="Times New Roman" w:hAnsi="Times New Roman" w:cs="Times New Roman"/>
          <w:color w:val="000000" w:themeColor="text1"/>
          <w:sz w:val="24"/>
          <w:szCs w:val="24"/>
        </w:rPr>
        <w:t>will be</w:t>
      </w:r>
      <w:r>
        <w:rPr>
          <w:rFonts w:ascii="Times New Roman" w:hAnsi="Times New Roman" w:cs="Times New Roman"/>
          <w:color w:val="000000" w:themeColor="text1"/>
          <w:sz w:val="24"/>
          <w:szCs w:val="24"/>
        </w:rPr>
        <w:t xml:space="preserve"> performed. This type of analysis</w:t>
      </w:r>
      <w:r w:rsidRPr="00B44716">
        <w:rPr>
          <w:rFonts w:ascii="Times New Roman" w:hAnsi="Times New Roman" w:cs="Times New Roman"/>
          <w:color w:val="000000" w:themeColor="text1"/>
          <w:sz w:val="24"/>
          <w:szCs w:val="24"/>
        </w:rPr>
        <w:t xml:space="preserve"> integrate</w:t>
      </w:r>
      <w:r>
        <w:rPr>
          <w:rFonts w:ascii="Times New Roman" w:hAnsi="Times New Roman" w:cs="Times New Roman"/>
          <w:color w:val="000000" w:themeColor="text1"/>
          <w:sz w:val="24"/>
          <w:szCs w:val="24"/>
        </w:rPr>
        <w:t>s</w:t>
      </w:r>
      <w:r w:rsidRPr="00B44716">
        <w:rPr>
          <w:rFonts w:ascii="Times New Roman" w:hAnsi="Times New Roman" w:cs="Times New Roman"/>
          <w:color w:val="000000" w:themeColor="text1"/>
          <w:sz w:val="24"/>
          <w:szCs w:val="24"/>
        </w:rPr>
        <w:t xml:space="preserve"> coefficients </w:t>
      </w:r>
      <w:r>
        <w:rPr>
          <w:rFonts w:ascii="Times New Roman" w:hAnsi="Times New Roman" w:cs="Times New Roman"/>
          <w:color w:val="000000" w:themeColor="text1"/>
          <w:sz w:val="24"/>
          <w:szCs w:val="24"/>
        </w:rPr>
        <w:t>from</w:t>
      </w:r>
      <w:r w:rsidRPr="00B44716">
        <w:rPr>
          <w:rFonts w:ascii="Times New Roman" w:hAnsi="Times New Roman" w:cs="Times New Roman"/>
          <w:color w:val="000000" w:themeColor="text1"/>
          <w:sz w:val="24"/>
          <w:szCs w:val="24"/>
        </w:rPr>
        <w:t xml:space="preserve"> different applications of a reliability test and compute</w:t>
      </w:r>
      <w:r>
        <w:rPr>
          <w:rFonts w:ascii="Times New Roman" w:hAnsi="Times New Roman" w:cs="Times New Roman"/>
          <w:color w:val="000000" w:themeColor="text1"/>
          <w:sz w:val="24"/>
          <w:szCs w:val="24"/>
        </w:rPr>
        <w:t>s</w:t>
      </w:r>
      <w:r w:rsidRPr="00B44716">
        <w:rPr>
          <w:rFonts w:ascii="Times New Roman" w:hAnsi="Times New Roman" w:cs="Times New Roman"/>
          <w:color w:val="000000" w:themeColor="text1"/>
          <w:sz w:val="24"/>
          <w:szCs w:val="24"/>
        </w:rPr>
        <w:t xml:space="preserve"> an average estimate.</w:t>
      </w:r>
      <w:r w:rsidRPr="00B44716">
        <w:rPr>
          <w:rFonts w:ascii="Times New Roman" w:hAnsi="Times New Roman" w:cs="Times New Roman"/>
          <w:color w:val="000000" w:themeColor="text1"/>
          <w:sz w:val="24"/>
          <w:szCs w:val="24"/>
        </w:rPr>
        <w:fldChar w:fldCharType="begin" w:fldLock="1"/>
      </w:r>
      <w:r w:rsidR="00644FB4">
        <w:rPr>
          <w:rFonts w:ascii="Times New Roman" w:hAnsi="Times New Roman" w:cs="Times New Roman"/>
          <w:color w:val="000000" w:themeColor="text1"/>
          <w:sz w:val="24"/>
          <w:szCs w:val="24"/>
        </w:rPr>
        <w:instrText>ADDIN CSL_CITATION { "citationItems" : [ { "id" : "ITEM-1", "itemData" : { "DOI" : "10.1177/0013164402062004002", "ISBN" : "00131644", "ISSN" : "0013-1644", "abstract" : "Reliability generalization (RG) is a measurement meta-analytic method used to explore the variability in score reliability estimates and to characterize the possible sources of this variance. This article briefly summarizes some RG considerations. Included is a description of how reliability confidence intervals might be portrayed graphically. The article includes tabulations across variousRGstudies, including howfrequently authors (a) report score reliabilities for their own data, (b) conduct reliability induction, or (c) do not even mention reliability", "author" : [ { "dropping-particle" : "", "family" : "Vacha-Haase", "given" : "T.", "non-dropping-particle" : "", "parse-names" : false, "suffix" : "" }, { "dropping-particle" : "", "family" : "Henson", "given" : "R. K.", "non-dropping-particle" : "", "parse-names" : false, "suffix" : "" }, { "dropping-particle" : "", "family" : "Caruso", "given" : "J. C.", "non-dropping-particle" : "", "parse-names" : false, "suffix" : "" } ], "container-title" : "Educational and Psychological Measurement", "id" : "ITEM-1", "issue" : "4", "issued" : { "date-parts" : [ [ "2002" ] ] }, "page" : "562-569", "title" : "Reliability Generalization: Moving toward Improved Understanding and Use of Score Reliability", "type" : "article-journal", "volume" : "62" }, "uris" : [ "http://www.mendeley.com/documents/?uuid=0040a866-315d-41f8-af23-8fd19bd16169" ] }, { "id" : "ITEM-2", "itemData" : { "author" : [ { "dropping-particle" : "", "family" : "Vacha-Haase", "given" : "T.", "non-dropping-particle" : "", "parse-names" : false, "suffix" : "" } ], "container-title" : "Educational and Psychological Measurement", "id" : "ITEM-2", "issue" : "1", "issued" : { "date-parts" : [ [ "1998" ] ] }, "page" : "6-20", "title" : "Reliability generalization: exploring variance in measurement error affecting score reliability across studies", "type" : "article-journal", "volume" : "58" }, "uris" : [ "http://www.mendeley.com/documents/?uuid=f488262c-2f92-40ac-ba19-5a8c298d2fad" ] } ], "mendeley" : { "formattedCitation" : "&lt;sup&gt;23,24&lt;/sup&gt;", "plainTextFormattedCitation" : "23,24", "previouslyFormattedCitation" : "&lt;sup&gt;23,24&lt;/sup&gt;" }, "properties" : { "noteIndex" : 0 }, "schema" : "https://github.com/citation-style-language/schema/raw/master/csl-citation.json" }</w:instrText>
      </w:r>
      <w:r w:rsidRPr="00B44716">
        <w:rPr>
          <w:rFonts w:ascii="Times New Roman" w:hAnsi="Times New Roman" w:cs="Times New Roman"/>
          <w:color w:val="000000" w:themeColor="text1"/>
          <w:sz w:val="24"/>
          <w:szCs w:val="24"/>
        </w:rPr>
        <w:fldChar w:fldCharType="separate"/>
      </w:r>
      <w:r w:rsidR="0091499F" w:rsidRPr="0091499F">
        <w:rPr>
          <w:rFonts w:ascii="Times New Roman" w:hAnsi="Times New Roman" w:cs="Times New Roman"/>
          <w:noProof/>
          <w:color w:val="000000" w:themeColor="text1"/>
          <w:sz w:val="24"/>
          <w:szCs w:val="24"/>
          <w:vertAlign w:val="superscript"/>
        </w:rPr>
        <w:t>23,24</w:t>
      </w:r>
      <w:r w:rsidRPr="00B44716">
        <w:rPr>
          <w:rFonts w:ascii="Times New Roman" w:hAnsi="Times New Roman" w:cs="Times New Roman"/>
          <w:color w:val="000000" w:themeColor="text1"/>
          <w:sz w:val="24"/>
          <w:szCs w:val="24"/>
        </w:rPr>
        <w:fldChar w:fldCharType="end"/>
      </w:r>
      <w:r w:rsidRPr="00B44716">
        <w:rPr>
          <w:rFonts w:ascii="Times New Roman" w:hAnsi="Times New Roman" w:cs="Times New Roman"/>
          <w:color w:val="000000" w:themeColor="text1"/>
          <w:sz w:val="24"/>
          <w:szCs w:val="24"/>
        </w:rPr>
        <w:t xml:space="preserve"> </w:t>
      </w:r>
      <w:r w:rsidR="00F4288E">
        <w:rPr>
          <w:rFonts w:ascii="Times New Roman" w:hAnsi="Times New Roman" w:cs="Times New Roman"/>
          <w:color w:val="000000" w:themeColor="text1"/>
          <w:sz w:val="24"/>
          <w:szCs w:val="24"/>
        </w:rPr>
        <w:t xml:space="preserve">Statistical models </w:t>
      </w:r>
      <w:r w:rsidR="009565E7">
        <w:rPr>
          <w:rFonts w:ascii="Times New Roman" w:hAnsi="Times New Roman" w:cs="Times New Roman"/>
          <w:color w:val="000000" w:themeColor="text1"/>
          <w:sz w:val="24"/>
          <w:szCs w:val="24"/>
        </w:rPr>
        <w:t>will be</w:t>
      </w:r>
      <w:r w:rsidR="00F4288E">
        <w:rPr>
          <w:rFonts w:ascii="Times New Roman" w:hAnsi="Times New Roman" w:cs="Times New Roman"/>
          <w:color w:val="000000" w:themeColor="text1"/>
          <w:sz w:val="24"/>
          <w:szCs w:val="24"/>
        </w:rPr>
        <w:t xml:space="preserve"> chosen based on the heterogeneity present and the guidelines </w:t>
      </w:r>
      <w:r w:rsidRPr="00B44716">
        <w:rPr>
          <w:rFonts w:ascii="Times New Roman" w:hAnsi="Times New Roman" w:cs="Times New Roman"/>
          <w:color w:val="000000" w:themeColor="text1"/>
          <w:sz w:val="24"/>
          <w:szCs w:val="24"/>
        </w:rPr>
        <w:t>proposed by Sanchez-Meca and colleagues.</w:t>
      </w:r>
      <w:r w:rsidRPr="00B44716">
        <w:rPr>
          <w:rFonts w:ascii="Times New Roman" w:hAnsi="Times New Roman" w:cs="Times New Roman"/>
          <w:color w:val="000000" w:themeColor="text1"/>
          <w:sz w:val="24"/>
          <w:szCs w:val="24"/>
        </w:rPr>
        <w:fldChar w:fldCharType="begin" w:fldLock="1"/>
      </w:r>
      <w:r w:rsidR="00644FB4">
        <w:rPr>
          <w:rFonts w:ascii="Times New Roman" w:hAnsi="Times New Roman" w:cs="Times New Roman"/>
          <w:color w:val="000000" w:themeColor="text1"/>
          <w:sz w:val="24"/>
          <w:szCs w:val="24"/>
        </w:rPr>
        <w:instrText>ADDIN CSL_CITATION { "citationItems" : [ { "id" : "ITEM-1", "itemData" : { "DOI" : "10.1111/j.2044-8317.2012.02057.x", "ISBN" : "0007-1102", "ISSN" : "00071102", "PMID" : "23046285", "abstract" : "Precursors of the reliability generalization (RG) meta-analytic approach have not established a single preferred analytic method. By means of five real RG examples, we examine how using different statistical methods to integrate coefficients alpha can influence results in RG studies. Specifically, we compare thirteen different statistical models for averaging reliability coefficients and searching for moderator variables that differ in terms of: (a) whether to transform or not the coefficients alpha, and (b) the statistical model assumed, distinguishing between ordinary least squares methods, the fixed-effect (FE) model, the varying coefficient (VC) model, and several versions of the random-effects (RE) model. The results obtained with the different methods exhibited important discrepancies, especially regarding moderator analyses. The main criterion for the model choice should be the extent to which the meta-analyst intends to generalize the results. RE models are the most appropriate when the meta-analyst aims to generalize to a hypothetical population of past or future studies, while FE and VC models are the most appropriate when the interest focuses on generalizing the results to a population of studies identical to those included in the meta-analysis. Finally, some guidelines are proposed for selecting the statistical model when conducting an RG study.", "author" : [ { "dropping-particle" : "", "family" : "S\u00e1nchez-Meca", "given" : "Julio", "non-dropping-particle" : "", "parse-names" : false, "suffix" : "" }, { "dropping-particle" : "", "family" : "L\u00f3pez-L\u00f3pez", "given" : "Jos\u00e9 Antonio", "non-dropping-particle" : "", "parse-names" : false, "suffix" : "" }, { "dropping-particle" : "", "family" : "L\u00f3pez-Pina", "given" : "Jos\u00e9 Antonio", "non-dropping-particle" : "", "parse-names" : false, "suffix" : "" } ], "container-title" : "British Journal of Mathematical and Statistical Psychology", "id" : "ITEM-1", "issue" : "3", "issued" : { "date-parts" : [ [ "2013" ] ] }, "page" : "402-425", "title" : "Some recommended statistical analytic practices when reliability generalization studies are conducted", "type" : "article-journal", "volume" : "66" }, "uris" : [ "http://www.mendeley.com/documents/?uuid=2c085050-bf49-4539-a1e9-dd003af62652" ] } ], "mendeley" : { "formattedCitation" : "&lt;sup&gt;25&lt;/sup&gt;", "plainTextFormattedCitation" : "25", "previouslyFormattedCitation" : "&lt;sup&gt;25&lt;/sup&gt;" }, "properties" : { "noteIndex" : 0 }, "schema" : "https://github.com/citation-style-language/schema/raw/master/csl-citation.json" }</w:instrText>
      </w:r>
      <w:r w:rsidRPr="00B44716">
        <w:rPr>
          <w:rFonts w:ascii="Times New Roman" w:hAnsi="Times New Roman" w:cs="Times New Roman"/>
          <w:color w:val="000000" w:themeColor="text1"/>
          <w:sz w:val="24"/>
          <w:szCs w:val="24"/>
        </w:rPr>
        <w:fldChar w:fldCharType="separate"/>
      </w:r>
      <w:r w:rsidR="0091499F" w:rsidRPr="0091499F">
        <w:rPr>
          <w:rFonts w:ascii="Times New Roman" w:hAnsi="Times New Roman" w:cs="Times New Roman"/>
          <w:noProof/>
          <w:color w:val="000000" w:themeColor="text1"/>
          <w:sz w:val="24"/>
          <w:szCs w:val="24"/>
          <w:vertAlign w:val="superscript"/>
        </w:rPr>
        <w:t>25</w:t>
      </w:r>
      <w:r w:rsidRPr="00B44716">
        <w:rPr>
          <w:rFonts w:ascii="Times New Roman" w:hAnsi="Times New Roman" w:cs="Times New Roman"/>
          <w:color w:val="000000" w:themeColor="text1"/>
          <w:sz w:val="24"/>
          <w:szCs w:val="24"/>
        </w:rPr>
        <w:fldChar w:fldCharType="end"/>
      </w:r>
    </w:p>
    <w:p w14:paraId="01C7D1C7" w14:textId="77777777" w:rsidR="00975E04" w:rsidRPr="00975E04" w:rsidRDefault="00975E04" w:rsidP="00975E04"/>
    <w:p w14:paraId="0D7CBCD4" w14:textId="7461E74A" w:rsidR="007603FB" w:rsidRPr="00B44716" w:rsidRDefault="00975E04" w:rsidP="004E75D7">
      <w:pPr>
        <w:spacing w:after="0" w:line="240" w:lineRule="auto"/>
        <w:contextualSpacing/>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References</w:t>
      </w:r>
    </w:p>
    <w:p w14:paraId="38520FB8" w14:textId="77777777" w:rsidR="00FC6E82" w:rsidRPr="00B44716" w:rsidRDefault="00FC6E82" w:rsidP="004E75D7">
      <w:pPr>
        <w:spacing w:after="0" w:line="240" w:lineRule="auto"/>
        <w:contextualSpacing/>
        <w:rPr>
          <w:rFonts w:ascii="Times New Roman" w:hAnsi="Times New Roman" w:cs="Times New Roman"/>
          <w:color w:val="000000" w:themeColor="text1"/>
          <w:sz w:val="24"/>
          <w:szCs w:val="24"/>
        </w:rPr>
      </w:pPr>
    </w:p>
    <w:p w14:paraId="1C76B2A3" w14:textId="17E7A58D" w:rsidR="00644FB4" w:rsidRPr="00644FB4" w:rsidRDefault="007603FB"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B44716">
        <w:rPr>
          <w:rFonts w:ascii="Times New Roman" w:hAnsi="Times New Roman" w:cs="Times New Roman"/>
          <w:color w:val="000000" w:themeColor="text1"/>
          <w:sz w:val="24"/>
          <w:szCs w:val="24"/>
        </w:rPr>
        <w:fldChar w:fldCharType="begin" w:fldLock="1"/>
      </w:r>
      <w:r w:rsidRPr="00B44716">
        <w:rPr>
          <w:rFonts w:ascii="Times New Roman" w:hAnsi="Times New Roman" w:cs="Times New Roman"/>
          <w:color w:val="000000" w:themeColor="text1"/>
          <w:sz w:val="24"/>
          <w:szCs w:val="24"/>
        </w:rPr>
        <w:instrText xml:space="preserve">ADDIN Mendeley Bibliography CSL_BIBLIOGRAPHY </w:instrText>
      </w:r>
      <w:r w:rsidRPr="00B44716">
        <w:rPr>
          <w:rFonts w:ascii="Times New Roman" w:hAnsi="Times New Roman" w:cs="Times New Roman"/>
          <w:color w:val="000000" w:themeColor="text1"/>
          <w:sz w:val="24"/>
          <w:szCs w:val="24"/>
        </w:rPr>
        <w:fldChar w:fldCharType="separate"/>
      </w:r>
      <w:r w:rsidR="00644FB4" w:rsidRPr="00644FB4">
        <w:rPr>
          <w:rFonts w:ascii="Times New Roman" w:eastAsia="Times New Roman" w:hAnsi="Times New Roman" w:cs="Times New Roman"/>
          <w:noProof/>
          <w:sz w:val="24"/>
        </w:rPr>
        <w:t xml:space="preserve">1. </w:t>
      </w:r>
      <w:r w:rsidR="00644FB4" w:rsidRPr="00644FB4">
        <w:rPr>
          <w:rFonts w:ascii="Times New Roman" w:eastAsia="Times New Roman" w:hAnsi="Times New Roman" w:cs="Times New Roman"/>
          <w:noProof/>
          <w:sz w:val="24"/>
        </w:rPr>
        <w:tab/>
        <w:t>Larsson J, Holmströ M IK. How excellent anaesthetists perform in the operating theatre: a qualitative study on non-technical skills. doi:10.1093/bja/aes359.</w:t>
      </w:r>
    </w:p>
    <w:p w14:paraId="10AFC5AC"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2. </w:t>
      </w:r>
      <w:r w:rsidRPr="00644FB4">
        <w:rPr>
          <w:rFonts w:ascii="Times New Roman" w:eastAsia="Times New Roman" w:hAnsi="Times New Roman" w:cs="Times New Roman"/>
          <w:noProof/>
          <w:sz w:val="24"/>
        </w:rPr>
        <w:tab/>
        <w:t xml:space="preserve">Crossingham G V, Sice PJA, Roberts MJ, Lam WH, Gale TCE. Development of workplace-based assessments of non-technical skills in anaesthesia. </w:t>
      </w:r>
      <w:r w:rsidRPr="00644FB4">
        <w:rPr>
          <w:rFonts w:ascii="Times New Roman" w:eastAsia="Times New Roman" w:hAnsi="Times New Roman" w:cs="Times New Roman"/>
          <w:i/>
          <w:iCs/>
          <w:noProof/>
          <w:sz w:val="24"/>
        </w:rPr>
        <w:t>Anaesthesia</w:t>
      </w:r>
      <w:r w:rsidRPr="00644FB4">
        <w:rPr>
          <w:rFonts w:ascii="Times New Roman" w:eastAsia="Times New Roman" w:hAnsi="Times New Roman" w:cs="Times New Roman"/>
          <w:noProof/>
          <w:sz w:val="24"/>
        </w:rPr>
        <w:t>. 2012;67(2):158-164. http://ovidsp.ovid.com/ovidweb.cgi?T=JS&amp;PAGE=reference&amp;D=medl&amp;NEWS=N&amp;AN=22251107.</w:t>
      </w:r>
    </w:p>
    <w:p w14:paraId="423F22A3"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3. </w:t>
      </w:r>
      <w:r w:rsidRPr="00644FB4">
        <w:rPr>
          <w:rFonts w:ascii="Times New Roman" w:eastAsia="Times New Roman" w:hAnsi="Times New Roman" w:cs="Times New Roman"/>
          <w:noProof/>
          <w:sz w:val="24"/>
        </w:rPr>
        <w:tab/>
        <w:t xml:space="preserve">Fletcher GCL, Mcgeorge P, Flin RH, Glavin RJ, Maran NJ. The role of non-technical skills in anaesthesia: a review of current literature. </w:t>
      </w:r>
      <w:r w:rsidRPr="00644FB4">
        <w:rPr>
          <w:rFonts w:ascii="Times New Roman" w:eastAsia="Times New Roman" w:hAnsi="Times New Roman" w:cs="Times New Roman"/>
          <w:i/>
          <w:iCs/>
          <w:noProof/>
          <w:sz w:val="24"/>
        </w:rPr>
        <w:t>Br J Anaesth</w:t>
      </w:r>
      <w:r w:rsidRPr="00644FB4">
        <w:rPr>
          <w:rFonts w:ascii="Times New Roman" w:eastAsia="Times New Roman" w:hAnsi="Times New Roman" w:cs="Times New Roman"/>
          <w:noProof/>
          <w:sz w:val="24"/>
        </w:rPr>
        <w:t>. 2002;88:418-429. https://www.erasmusmc.nl/cs-skillslab/3454337/3428027/The_role_of_non-technical_s1.pdf. Accessed August 15, 2017.</w:t>
      </w:r>
    </w:p>
    <w:p w14:paraId="0B20A82D"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4. </w:t>
      </w:r>
      <w:r w:rsidRPr="00644FB4">
        <w:rPr>
          <w:rFonts w:ascii="Times New Roman" w:eastAsia="Times New Roman" w:hAnsi="Times New Roman" w:cs="Times New Roman"/>
          <w:noProof/>
          <w:sz w:val="24"/>
        </w:rPr>
        <w:tab/>
        <w:t xml:space="preserve">Hu YY, Arriaga AF, Peyre SE, Corso KA, Roth EM, Greenberg CC. Deconstructing intraoperative communication failures. </w:t>
      </w:r>
      <w:r w:rsidRPr="00644FB4">
        <w:rPr>
          <w:rFonts w:ascii="Times New Roman" w:eastAsia="Times New Roman" w:hAnsi="Times New Roman" w:cs="Times New Roman"/>
          <w:i/>
          <w:iCs/>
          <w:noProof/>
          <w:sz w:val="24"/>
        </w:rPr>
        <w:t>J Surg Res</w:t>
      </w:r>
      <w:r w:rsidRPr="00644FB4">
        <w:rPr>
          <w:rFonts w:ascii="Times New Roman" w:eastAsia="Times New Roman" w:hAnsi="Times New Roman" w:cs="Times New Roman"/>
          <w:noProof/>
          <w:sz w:val="24"/>
        </w:rPr>
        <w:t>. 2012;177(1):37-42. doi:10.1016/j.jss.2012.04.029.</w:t>
      </w:r>
    </w:p>
    <w:p w14:paraId="7EE07B78"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5. </w:t>
      </w:r>
      <w:r w:rsidRPr="00644FB4">
        <w:rPr>
          <w:rFonts w:ascii="Times New Roman" w:eastAsia="Times New Roman" w:hAnsi="Times New Roman" w:cs="Times New Roman"/>
          <w:noProof/>
          <w:sz w:val="24"/>
        </w:rPr>
        <w:tab/>
        <w:t xml:space="preserve">Anderson O, Davis R, Hanna GB, Vincent CA. Surgical adverse events: A systematic review. </w:t>
      </w:r>
      <w:r w:rsidRPr="00644FB4">
        <w:rPr>
          <w:rFonts w:ascii="Times New Roman" w:eastAsia="Times New Roman" w:hAnsi="Times New Roman" w:cs="Times New Roman"/>
          <w:i/>
          <w:iCs/>
          <w:noProof/>
          <w:sz w:val="24"/>
        </w:rPr>
        <w:t>Am J Surg</w:t>
      </w:r>
      <w:r w:rsidRPr="00644FB4">
        <w:rPr>
          <w:rFonts w:ascii="Times New Roman" w:eastAsia="Times New Roman" w:hAnsi="Times New Roman" w:cs="Times New Roman"/>
          <w:noProof/>
          <w:sz w:val="24"/>
        </w:rPr>
        <w:t>. 2013;206(2):253-262. doi:10.1016/j.amjsurg.2012.11.009.</w:t>
      </w:r>
    </w:p>
    <w:p w14:paraId="04EDA27C"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6. </w:t>
      </w:r>
      <w:r w:rsidRPr="00644FB4">
        <w:rPr>
          <w:rFonts w:ascii="Times New Roman" w:eastAsia="Times New Roman" w:hAnsi="Times New Roman" w:cs="Times New Roman"/>
          <w:noProof/>
          <w:sz w:val="24"/>
        </w:rPr>
        <w:tab/>
        <w:t xml:space="preserve">Mazzocco K, Petitti DB, Fong KT, et al. Surgical team behaviors and patient outcomes. </w:t>
      </w:r>
      <w:r w:rsidRPr="00644FB4">
        <w:rPr>
          <w:rFonts w:ascii="Times New Roman" w:eastAsia="Times New Roman" w:hAnsi="Times New Roman" w:cs="Times New Roman"/>
          <w:i/>
          <w:iCs/>
          <w:noProof/>
          <w:sz w:val="24"/>
        </w:rPr>
        <w:t>Am J Surg</w:t>
      </w:r>
      <w:r w:rsidRPr="00644FB4">
        <w:rPr>
          <w:rFonts w:ascii="Times New Roman" w:eastAsia="Times New Roman" w:hAnsi="Times New Roman" w:cs="Times New Roman"/>
          <w:noProof/>
          <w:sz w:val="24"/>
        </w:rPr>
        <w:t>. 2009;197(5):678-685. doi:10.1016/j.amjsurg.2008.03.002.</w:t>
      </w:r>
    </w:p>
    <w:p w14:paraId="2B7F1423"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7. </w:t>
      </w:r>
      <w:r w:rsidRPr="00644FB4">
        <w:rPr>
          <w:rFonts w:ascii="Times New Roman" w:eastAsia="Times New Roman" w:hAnsi="Times New Roman" w:cs="Times New Roman"/>
          <w:noProof/>
          <w:sz w:val="24"/>
        </w:rPr>
        <w:tab/>
        <w:t xml:space="preserve">Catchpole K, Mishra A, Handa A, McCulloch P. Teamwork and error in the operating room: analysis of skills and roles. </w:t>
      </w:r>
      <w:r w:rsidRPr="00644FB4">
        <w:rPr>
          <w:rFonts w:ascii="Times New Roman" w:eastAsia="Times New Roman" w:hAnsi="Times New Roman" w:cs="Times New Roman"/>
          <w:i/>
          <w:iCs/>
          <w:noProof/>
          <w:sz w:val="24"/>
        </w:rPr>
        <w:t>Ann Surg</w:t>
      </w:r>
      <w:r w:rsidRPr="00644FB4">
        <w:rPr>
          <w:rFonts w:ascii="Times New Roman" w:eastAsia="Times New Roman" w:hAnsi="Times New Roman" w:cs="Times New Roman"/>
          <w:noProof/>
          <w:sz w:val="24"/>
        </w:rPr>
        <w:t>. 2008;247(4):699-706. doi:10.1097/SLA.0b013e3181642ec8.</w:t>
      </w:r>
    </w:p>
    <w:p w14:paraId="4534592F"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8. </w:t>
      </w:r>
      <w:r w:rsidRPr="00644FB4">
        <w:rPr>
          <w:rFonts w:ascii="Times New Roman" w:eastAsia="Times New Roman" w:hAnsi="Times New Roman" w:cs="Times New Roman"/>
          <w:noProof/>
          <w:sz w:val="24"/>
        </w:rPr>
        <w:tab/>
        <w:t xml:space="preserve">Weller J, Boyd M. Making a Difference Through Improving Teamwork in the Operating Room: A Systematic Review of the Evidence on What Works. </w:t>
      </w:r>
      <w:r w:rsidRPr="00644FB4">
        <w:rPr>
          <w:rFonts w:ascii="Times New Roman" w:eastAsia="Times New Roman" w:hAnsi="Times New Roman" w:cs="Times New Roman"/>
          <w:i/>
          <w:iCs/>
          <w:noProof/>
          <w:sz w:val="24"/>
        </w:rPr>
        <w:t>Curr Anesthesiol Rep</w:t>
      </w:r>
      <w:r w:rsidRPr="00644FB4">
        <w:rPr>
          <w:rFonts w:ascii="Times New Roman" w:eastAsia="Times New Roman" w:hAnsi="Times New Roman" w:cs="Times New Roman"/>
          <w:noProof/>
          <w:sz w:val="24"/>
        </w:rPr>
        <w:t>. 2014;4(2):77-83. doi:10.1007/s40140-014-0050-0.</w:t>
      </w:r>
    </w:p>
    <w:p w14:paraId="044E2B15"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9. </w:t>
      </w:r>
      <w:r w:rsidRPr="00644FB4">
        <w:rPr>
          <w:rFonts w:ascii="Times New Roman" w:eastAsia="Times New Roman" w:hAnsi="Times New Roman" w:cs="Times New Roman"/>
          <w:noProof/>
          <w:sz w:val="24"/>
        </w:rPr>
        <w:tab/>
        <w:t xml:space="preserve">Van Beuzekom M, Boer F, Akerboom S, Hudson P. Patient safety: Latent risk factors. </w:t>
      </w:r>
      <w:r w:rsidRPr="00644FB4">
        <w:rPr>
          <w:rFonts w:ascii="Times New Roman" w:eastAsia="Times New Roman" w:hAnsi="Times New Roman" w:cs="Times New Roman"/>
          <w:i/>
          <w:iCs/>
          <w:noProof/>
          <w:sz w:val="24"/>
        </w:rPr>
        <w:t>Br J Anaesth</w:t>
      </w:r>
      <w:r w:rsidRPr="00644FB4">
        <w:rPr>
          <w:rFonts w:ascii="Times New Roman" w:eastAsia="Times New Roman" w:hAnsi="Times New Roman" w:cs="Times New Roman"/>
          <w:noProof/>
          <w:sz w:val="24"/>
        </w:rPr>
        <w:t>. 2010;105(1):52-59. doi:10.1093/bja/aeq135.</w:t>
      </w:r>
    </w:p>
    <w:p w14:paraId="45D77149"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10. </w:t>
      </w:r>
      <w:r w:rsidRPr="00644FB4">
        <w:rPr>
          <w:rFonts w:ascii="Times New Roman" w:eastAsia="Times New Roman" w:hAnsi="Times New Roman" w:cs="Times New Roman"/>
          <w:noProof/>
          <w:sz w:val="24"/>
        </w:rPr>
        <w:tab/>
        <w:t xml:space="preserve">Stein JE. The Swiss cheese model of adverse event occurrence—Closing the holes. </w:t>
      </w:r>
      <w:r w:rsidRPr="00644FB4">
        <w:rPr>
          <w:rFonts w:ascii="Times New Roman" w:eastAsia="Times New Roman" w:hAnsi="Times New Roman" w:cs="Times New Roman"/>
          <w:i/>
          <w:iCs/>
          <w:noProof/>
          <w:sz w:val="24"/>
        </w:rPr>
        <w:t>Semin Pediatr Surg</w:t>
      </w:r>
      <w:r w:rsidRPr="00644FB4">
        <w:rPr>
          <w:rFonts w:ascii="Times New Roman" w:eastAsia="Times New Roman" w:hAnsi="Times New Roman" w:cs="Times New Roman"/>
          <w:noProof/>
          <w:sz w:val="24"/>
        </w:rPr>
        <w:t>. 2015;24(6):278-282. doi:10.1053/j.sempedsurg.2015.08.003.</w:t>
      </w:r>
    </w:p>
    <w:p w14:paraId="7521E13F"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11. </w:t>
      </w:r>
      <w:r w:rsidRPr="00644FB4">
        <w:rPr>
          <w:rFonts w:ascii="Times New Roman" w:eastAsia="Times New Roman" w:hAnsi="Times New Roman" w:cs="Times New Roman"/>
          <w:noProof/>
          <w:sz w:val="24"/>
        </w:rPr>
        <w:tab/>
        <w:t xml:space="preserve">Stodel EJ, Wyand A, Crooks S, Moffett S, Chiu M, Hudson CCC. Designing and Implementing a Competency-Based Training Program for Anesthesiology Residents at the University of Ottawa. </w:t>
      </w:r>
      <w:r w:rsidRPr="00644FB4">
        <w:rPr>
          <w:rFonts w:ascii="Times New Roman" w:eastAsia="Times New Roman" w:hAnsi="Times New Roman" w:cs="Times New Roman"/>
          <w:i/>
          <w:iCs/>
          <w:noProof/>
          <w:sz w:val="24"/>
        </w:rPr>
        <w:t>Anesthesiol Res Pract</w:t>
      </w:r>
      <w:r w:rsidRPr="00644FB4">
        <w:rPr>
          <w:rFonts w:ascii="Times New Roman" w:eastAsia="Times New Roman" w:hAnsi="Times New Roman" w:cs="Times New Roman"/>
          <w:noProof/>
          <w:sz w:val="24"/>
        </w:rPr>
        <w:t>. 2015;2015. doi:10.1155/2015/713038.</w:t>
      </w:r>
    </w:p>
    <w:p w14:paraId="2FCB2506"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12. </w:t>
      </w:r>
      <w:r w:rsidRPr="00644FB4">
        <w:rPr>
          <w:rFonts w:ascii="Times New Roman" w:eastAsia="Times New Roman" w:hAnsi="Times New Roman" w:cs="Times New Roman"/>
          <w:noProof/>
          <w:sz w:val="24"/>
        </w:rPr>
        <w:tab/>
        <w:t xml:space="preserve">Ebert TJ, Fox CA. Competency-based Education in Anesthesiology. </w:t>
      </w:r>
      <w:r w:rsidRPr="00644FB4">
        <w:rPr>
          <w:rFonts w:ascii="Times New Roman" w:eastAsia="Times New Roman" w:hAnsi="Times New Roman" w:cs="Times New Roman"/>
          <w:i/>
          <w:iCs/>
          <w:noProof/>
          <w:sz w:val="24"/>
        </w:rPr>
        <w:t>Anesthesiology</w:t>
      </w:r>
      <w:r w:rsidRPr="00644FB4">
        <w:rPr>
          <w:rFonts w:ascii="Times New Roman" w:eastAsia="Times New Roman" w:hAnsi="Times New Roman" w:cs="Times New Roman"/>
          <w:noProof/>
          <w:sz w:val="24"/>
        </w:rPr>
        <w:t xml:space="preserve">. </w:t>
      </w:r>
      <w:r w:rsidRPr="00644FB4">
        <w:rPr>
          <w:rFonts w:ascii="Times New Roman" w:eastAsia="Times New Roman" w:hAnsi="Times New Roman" w:cs="Times New Roman"/>
          <w:noProof/>
          <w:sz w:val="24"/>
        </w:rPr>
        <w:lastRenderedPageBreak/>
        <w:t>2014;120(1):24-31. doi:10.1097/ALN.0000000000000039.</w:t>
      </w:r>
    </w:p>
    <w:p w14:paraId="1F5829D4"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13. </w:t>
      </w:r>
      <w:r w:rsidRPr="00644FB4">
        <w:rPr>
          <w:rFonts w:ascii="Times New Roman" w:eastAsia="Times New Roman" w:hAnsi="Times New Roman" w:cs="Times New Roman"/>
          <w:noProof/>
          <w:sz w:val="24"/>
        </w:rPr>
        <w:tab/>
        <w:t>Royal College of Physicians and Surgeons of Canada. Anesthesiology Competencies. http://www.royalcollege.ca/rc/faces/oracle/webcenter/portalapp/pages/viewDocument.jspx?document_id=RCP-00161435&amp;_adf.ctrl-state=10w28tl0td_17&amp;_afrLoop=12070258186657680&amp;_afrWindowMode=0&amp;_afrWindowId=null#!%40%40%3F_afrWindowId%3Dnull%26document_id%3DRCP-0. Published 2017. Accessed August 9, 2017.</w:t>
      </w:r>
    </w:p>
    <w:p w14:paraId="14496AE8"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14. </w:t>
      </w:r>
      <w:r w:rsidRPr="00644FB4">
        <w:rPr>
          <w:rFonts w:ascii="Times New Roman" w:eastAsia="Times New Roman" w:hAnsi="Times New Roman" w:cs="Times New Roman"/>
          <w:noProof/>
          <w:sz w:val="24"/>
        </w:rPr>
        <w:tab/>
        <w:t>Accreditation Council for Graduate Medical Education. The Anesthesiology Milestone Project. https://www.acgme.org/Portals/0/PDFs/Milestones/AnesthesiologyMilestones.pdf. Published 2015. Accessed August 9, 2017.</w:t>
      </w:r>
    </w:p>
    <w:p w14:paraId="5F97054B"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15. </w:t>
      </w:r>
      <w:r w:rsidRPr="00644FB4">
        <w:rPr>
          <w:rFonts w:ascii="Times New Roman" w:eastAsia="Times New Roman" w:hAnsi="Times New Roman" w:cs="Times New Roman"/>
          <w:noProof/>
          <w:sz w:val="24"/>
        </w:rPr>
        <w:tab/>
        <w:t xml:space="preserve">Sharma B, Orzech N, Boet S, Grantcharov T. Non-technical skills assessment in the post-operative setting. </w:t>
      </w:r>
      <w:r w:rsidRPr="00644FB4">
        <w:rPr>
          <w:rFonts w:ascii="Times New Roman" w:eastAsia="Times New Roman" w:hAnsi="Times New Roman" w:cs="Times New Roman"/>
          <w:i/>
          <w:iCs/>
          <w:noProof/>
          <w:sz w:val="24"/>
        </w:rPr>
        <w:t>J Am Coll Surg</w:t>
      </w:r>
      <w:r w:rsidRPr="00644FB4">
        <w:rPr>
          <w:rFonts w:ascii="Times New Roman" w:eastAsia="Times New Roman" w:hAnsi="Times New Roman" w:cs="Times New Roman"/>
          <w:noProof/>
          <w:sz w:val="24"/>
        </w:rPr>
        <w:t>. 2011;213(3 SUPPL. 1):S122. http://ovidsp.ovid.com/ovidweb.cgi?T=JS&amp;PAGE=reference&amp;D=emed13&amp;NEWS=N&amp;AN=71254689.</w:t>
      </w:r>
    </w:p>
    <w:p w14:paraId="3FB3053C"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16. </w:t>
      </w:r>
      <w:r w:rsidRPr="00644FB4">
        <w:rPr>
          <w:rFonts w:ascii="Times New Roman" w:eastAsia="Times New Roman" w:hAnsi="Times New Roman" w:cs="Times New Roman"/>
          <w:noProof/>
          <w:sz w:val="24"/>
        </w:rPr>
        <w:tab/>
        <w:t xml:space="preserve">Whittaker G, Abboudi H, Khan MS, Dasgupta P, Ahmed K. Teamwork Assessment Tools in Modern Surgical Practice: A Systematic Review. </w:t>
      </w:r>
      <w:r w:rsidRPr="00644FB4">
        <w:rPr>
          <w:rFonts w:ascii="Times New Roman" w:eastAsia="Times New Roman" w:hAnsi="Times New Roman" w:cs="Times New Roman"/>
          <w:i/>
          <w:iCs/>
          <w:noProof/>
          <w:sz w:val="24"/>
        </w:rPr>
        <w:t>Surg Res Pract</w:t>
      </w:r>
      <w:r w:rsidRPr="00644FB4">
        <w:rPr>
          <w:rFonts w:ascii="Times New Roman" w:eastAsia="Times New Roman" w:hAnsi="Times New Roman" w:cs="Times New Roman"/>
          <w:noProof/>
          <w:sz w:val="24"/>
        </w:rPr>
        <w:t>. 2015;2015:494827. doi:10.1155/2015/494827.</w:t>
      </w:r>
    </w:p>
    <w:p w14:paraId="51DC935B"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17. </w:t>
      </w:r>
      <w:r w:rsidRPr="00644FB4">
        <w:rPr>
          <w:rFonts w:ascii="Times New Roman" w:eastAsia="Times New Roman" w:hAnsi="Times New Roman" w:cs="Times New Roman"/>
          <w:noProof/>
          <w:sz w:val="24"/>
        </w:rPr>
        <w:tab/>
        <w:t xml:space="preserve">Larsson J. Monitoring the anaesthetist in the operating theatre – professional competence and patient safety. </w:t>
      </w:r>
      <w:r w:rsidRPr="00644FB4">
        <w:rPr>
          <w:rFonts w:ascii="Times New Roman" w:eastAsia="Times New Roman" w:hAnsi="Times New Roman" w:cs="Times New Roman"/>
          <w:i/>
          <w:iCs/>
          <w:noProof/>
          <w:sz w:val="24"/>
        </w:rPr>
        <w:t>Anaesthesia</w:t>
      </w:r>
      <w:r w:rsidRPr="00644FB4">
        <w:rPr>
          <w:rFonts w:ascii="Times New Roman" w:eastAsia="Times New Roman" w:hAnsi="Times New Roman" w:cs="Times New Roman"/>
          <w:noProof/>
          <w:sz w:val="24"/>
        </w:rPr>
        <w:t>. 2017;72:76-83. doi:10.1111/anae.13743.</w:t>
      </w:r>
    </w:p>
    <w:p w14:paraId="160DEB9E"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18. </w:t>
      </w:r>
      <w:r w:rsidRPr="00644FB4">
        <w:rPr>
          <w:rFonts w:ascii="Times New Roman" w:eastAsia="Times New Roman" w:hAnsi="Times New Roman" w:cs="Times New Roman"/>
          <w:noProof/>
          <w:sz w:val="24"/>
        </w:rPr>
        <w:tab/>
        <w:t xml:space="preserve">Shea BJ, Hamel C, Wells GA, et al. AMSTAR is a reliable and valid measurement tool to assess the methodological quality of systematic reviews. </w:t>
      </w:r>
      <w:r w:rsidRPr="00644FB4">
        <w:rPr>
          <w:rFonts w:ascii="Times New Roman" w:eastAsia="Times New Roman" w:hAnsi="Times New Roman" w:cs="Times New Roman"/>
          <w:i/>
          <w:iCs/>
          <w:noProof/>
          <w:sz w:val="24"/>
        </w:rPr>
        <w:t>J Clin Epidemiol</w:t>
      </w:r>
      <w:r w:rsidRPr="00644FB4">
        <w:rPr>
          <w:rFonts w:ascii="Times New Roman" w:eastAsia="Times New Roman" w:hAnsi="Times New Roman" w:cs="Times New Roman"/>
          <w:noProof/>
          <w:sz w:val="24"/>
        </w:rPr>
        <w:t>. 2009;62(10):1013-1020. doi:10.1016/j.jclinepi.2008.10.009.</w:t>
      </w:r>
    </w:p>
    <w:p w14:paraId="2F14D2E8"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19. </w:t>
      </w:r>
      <w:r w:rsidRPr="00644FB4">
        <w:rPr>
          <w:rFonts w:ascii="Times New Roman" w:eastAsia="Times New Roman" w:hAnsi="Times New Roman" w:cs="Times New Roman"/>
          <w:noProof/>
          <w:sz w:val="24"/>
        </w:rPr>
        <w:tab/>
        <w:t xml:space="preserve">Moher D, Liberati A, Tetzlaff J, Altman DG, PRISMA Group. Reprint--preferred reporting items for systematic reviews and meta-analyses: the PRISMA statement. </w:t>
      </w:r>
      <w:r w:rsidRPr="00644FB4">
        <w:rPr>
          <w:rFonts w:ascii="Times New Roman" w:eastAsia="Times New Roman" w:hAnsi="Times New Roman" w:cs="Times New Roman"/>
          <w:i/>
          <w:iCs/>
          <w:noProof/>
          <w:sz w:val="24"/>
        </w:rPr>
        <w:t>Phys Ther</w:t>
      </w:r>
      <w:r w:rsidRPr="00644FB4">
        <w:rPr>
          <w:rFonts w:ascii="Times New Roman" w:eastAsia="Times New Roman" w:hAnsi="Times New Roman" w:cs="Times New Roman"/>
          <w:noProof/>
          <w:sz w:val="24"/>
        </w:rPr>
        <w:t>. 2009;89(9):873-880. http://www.ncbi.nlm.nih.gov/pubmed/19723669. Accessed August 4, 2017.</w:t>
      </w:r>
    </w:p>
    <w:p w14:paraId="4CEBE533"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20. </w:t>
      </w:r>
      <w:r w:rsidRPr="00644FB4">
        <w:rPr>
          <w:rFonts w:ascii="Times New Roman" w:eastAsia="Times New Roman" w:hAnsi="Times New Roman" w:cs="Times New Roman"/>
          <w:noProof/>
          <w:sz w:val="24"/>
        </w:rPr>
        <w:tab/>
        <w:t xml:space="preserve">Eva KW, Regehr G. Self-assessment in the health professions: a reformulation and research agenda. </w:t>
      </w:r>
      <w:r w:rsidRPr="00644FB4">
        <w:rPr>
          <w:rFonts w:ascii="Times New Roman" w:eastAsia="Times New Roman" w:hAnsi="Times New Roman" w:cs="Times New Roman"/>
          <w:i/>
          <w:iCs/>
          <w:noProof/>
          <w:sz w:val="24"/>
        </w:rPr>
        <w:t>Acad Med</w:t>
      </w:r>
      <w:r w:rsidRPr="00644FB4">
        <w:rPr>
          <w:rFonts w:ascii="Times New Roman" w:eastAsia="Times New Roman" w:hAnsi="Times New Roman" w:cs="Times New Roman"/>
          <w:noProof/>
          <w:sz w:val="24"/>
        </w:rPr>
        <w:t>. 2005;80(10 Suppl):S46-S54. doi:10.1097/00001888-200510001-00015.</w:t>
      </w:r>
    </w:p>
    <w:p w14:paraId="10C4A3FB"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21. </w:t>
      </w:r>
      <w:r w:rsidRPr="00644FB4">
        <w:rPr>
          <w:rFonts w:ascii="Times New Roman" w:eastAsia="Times New Roman" w:hAnsi="Times New Roman" w:cs="Times New Roman"/>
          <w:noProof/>
          <w:sz w:val="24"/>
        </w:rPr>
        <w:tab/>
        <w:t>Google Inc. Google Translate. https://translate.google.ca/. Published 2016. Accessed December 9, 2016.</w:t>
      </w:r>
    </w:p>
    <w:p w14:paraId="62D38E7A"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22. </w:t>
      </w:r>
      <w:r w:rsidRPr="00644FB4">
        <w:rPr>
          <w:rFonts w:ascii="Times New Roman" w:eastAsia="Times New Roman" w:hAnsi="Times New Roman" w:cs="Times New Roman"/>
          <w:noProof/>
          <w:sz w:val="24"/>
        </w:rPr>
        <w:tab/>
        <w:t xml:space="preserve">Terwee CB, Mokkink LB, Knol DL, Ostelo RWJG, Bouter LM, De Vet HCW. Rating the methodological quality in systematic reviews of studies on measurement properties: A scoring system for the COSMIN checklist. </w:t>
      </w:r>
      <w:r w:rsidRPr="00644FB4">
        <w:rPr>
          <w:rFonts w:ascii="Times New Roman" w:eastAsia="Times New Roman" w:hAnsi="Times New Roman" w:cs="Times New Roman"/>
          <w:i/>
          <w:iCs/>
          <w:noProof/>
          <w:sz w:val="24"/>
        </w:rPr>
        <w:t>Qual Life Res</w:t>
      </w:r>
      <w:r w:rsidRPr="00644FB4">
        <w:rPr>
          <w:rFonts w:ascii="Times New Roman" w:eastAsia="Times New Roman" w:hAnsi="Times New Roman" w:cs="Times New Roman"/>
          <w:noProof/>
          <w:sz w:val="24"/>
        </w:rPr>
        <w:t>. 2012;21(4):651-657. doi:10.1007/s11136-011-9960-1.</w:t>
      </w:r>
    </w:p>
    <w:p w14:paraId="690DC44C"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23. </w:t>
      </w:r>
      <w:r w:rsidRPr="00644FB4">
        <w:rPr>
          <w:rFonts w:ascii="Times New Roman" w:eastAsia="Times New Roman" w:hAnsi="Times New Roman" w:cs="Times New Roman"/>
          <w:noProof/>
          <w:sz w:val="24"/>
        </w:rPr>
        <w:tab/>
        <w:t xml:space="preserve">Vacha-Haase T, Henson RK, Caruso JC. Reliability Generalization: Moving toward Improved Understanding and Use of Score Reliability. </w:t>
      </w:r>
      <w:r w:rsidRPr="00644FB4">
        <w:rPr>
          <w:rFonts w:ascii="Times New Roman" w:eastAsia="Times New Roman" w:hAnsi="Times New Roman" w:cs="Times New Roman"/>
          <w:i/>
          <w:iCs/>
          <w:noProof/>
          <w:sz w:val="24"/>
        </w:rPr>
        <w:t>Educ Psychol Meas</w:t>
      </w:r>
      <w:r w:rsidRPr="00644FB4">
        <w:rPr>
          <w:rFonts w:ascii="Times New Roman" w:eastAsia="Times New Roman" w:hAnsi="Times New Roman" w:cs="Times New Roman"/>
          <w:noProof/>
          <w:sz w:val="24"/>
        </w:rPr>
        <w:t>. 2002;62(4):562-569. doi:10.1177/0013164402062004002.</w:t>
      </w:r>
    </w:p>
    <w:p w14:paraId="5030799D"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24. </w:t>
      </w:r>
      <w:r w:rsidRPr="00644FB4">
        <w:rPr>
          <w:rFonts w:ascii="Times New Roman" w:eastAsia="Times New Roman" w:hAnsi="Times New Roman" w:cs="Times New Roman"/>
          <w:noProof/>
          <w:sz w:val="24"/>
        </w:rPr>
        <w:tab/>
        <w:t xml:space="preserve">Vacha-Haase T. Reliability generalization: exploring variance in measurement error affecting score reliability across studies. </w:t>
      </w:r>
      <w:r w:rsidRPr="00644FB4">
        <w:rPr>
          <w:rFonts w:ascii="Times New Roman" w:eastAsia="Times New Roman" w:hAnsi="Times New Roman" w:cs="Times New Roman"/>
          <w:i/>
          <w:iCs/>
          <w:noProof/>
          <w:sz w:val="24"/>
        </w:rPr>
        <w:t>Educ Psychol Meas</w:t>
      </w:r>
      <w:r w:rsidRPr="00644FB4">
        <w:rPr>
          <w:rFonts w:ascii="Times New Roman" w:eastAsia="Times New Roman" w:hAnsi="Times New Roman" w:cs="Times New Roman"/>
          <w:noProof/>
          <w:sz w:val="24"/>
        </w:rPr>
        <w:t>. 1998;58(1):6-20.</w:t>
      </w:r>
    </w:p>
    <w:p w14:paraId="6EB66C5A"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25. </w:t>
      </w:r>
      <w:r w:rsidRPr="00644FB4">
        <w:rPr>
          <w:rFonts w:ascii="Times New Roman" w:eastAsia="Times New Roman" w:hAnsi="Times New Roman" w:cs="Times New Roman"/>
          <w:noProof/>
          <w:sz w:val="24"/>
        </w:rPr>
        <w:tab/>
        <w:t xml:space="preserve">Sánchez-Meca J, López-López JA, López-Pina JA. Some recommended statistical analytic practices when reliability generalization studies are conducted. </w:t>
      </w:r>
      <w:r w:rsidRPr="00644FB4">
        <w:rPr>
          <w:rFonts w:ascii="Times New Roman" w:eastAsia="Times New Roman" w:hAnsi="Times New Roman" w:cs="Times New Roman"/>
          <w:i/>
          <w:iCs/>
          <w:noProof/>
          <w:sz w:val="24"/>
        </w:rPr>
        <w:t>Br J Math Stat Psychol</w:t>
      </w:r>
      <w:r w:rsidRPr="00644FB4">
        <w:rPr>
          <w:rFonts w:ascii="Times New Roman" w:eastAsia="Times New Roman" w:hAnsi="Times New Roman" w:cs="Times New Roman"/>
          <w:noProof/>
          <w:sz w:val="24"/>
        </w:rPr>
        <w:t>. 2013;66(3):402-425. doi:10.1111/j.2044-8317.2012.02057.x.</w:t>
      </w:r>
    </w:p>
    <w:p w14:paraId="67679D3F" w14:textId="77777777" w:rsidR="00644FB4" w:rsidRPr="00644FB4" w:rsidRDefault="00644FB4" w:rsidP="00644FB4">
      <w:pPr>
        <w:widowControl w:val="0"/>
        <w:autoSpaceDE w:val="0"/>
        <w:autoSpaceDN w:val="0"/>
        <w:adjustRightInd w:val="0"/>
        <w:spacing w:after="0" w:line="240" w:lineRule="auto"/>
        <w:ind w:left="640" w:hanging="640"/>
        <w:rPr>
          <w:rFonts w:ascii="Times New Roman" w:eastAsia="Times New Roman" w:hAnsi="Times New Roman" w:cs="Times New Roman"/>
          <w:noProof/>
          <w:sz w:val="24"/>
        </w:rPr>
      </w:pPr>
      <w:r w:rsidRPr="00644FB4">
        <w:rPr>
          <w:rFonts w:ascii="Times New Roman" w:eastAsia="Times New Roman" w:hAnsi="Times New Roman" w:cs="Times New Roman"/>
          <w:noProof/>
          <w:sz w:val="24"/>
        </w:rPr>
        <w:t xml:space="preserve">26. </w:t>
      </w:r>
      <w:r w:rsidRPr="00644FB4">
        <w:rPr>
          <w:rFonts w:ascii="Times New Roman" w:eastAsia="Times New Roman" w:hAnsi="Times New Roman" w:cs="Times New Roman"/>
          <w:noProof/>
          <w:sz w:val="24"/>
        </w:rPr>
        <w:tab/>
        <w:t>Weller JM, Bloch M, Young S, et al. Evaluation of high ®delity patient simulator in assessment of performance of anaesthetists. doi:10.1093/bja/aeg002.</w:t>
      </w:r>
    </w:p>
    <w:p w14:paraId="0D08711A" w14:textId="77777777" w:rsidR="00644FB4" w:rsidRPr="00644FB4" w:rsidRDefault="00644FB4" w:rsidP="00644FB4">
      <w:pPr>
        <w:widowControl w:val="0"/>
        <w:autoSpaceDE w:val="0"/>
        <w:autoSpaceDN w:val="0"/>
        <w:adjustRightInd w:val="0"/>
        <w:spacing w:after="0" w:line="240" w:lineRule="auto"/>
        <w:ind w:left="640" w:hanging="640"/>
        <w:rPr>
          <w:rFonts w:ascii="Times New Roman" w:hAnsi="Times New Roman" w:cs="Times New Roman"/>
          <w:noProof/>
          <w:sz w:val="24"/>
        </w:rPr>
      </w:pPr>
      <w:r w:rsidRPr="00644FB4">
        <w:rPr>
          <w:rFonts w:ascii="Times New Roman" w:eastAsia="Times New Roman" w:hAnsi="Times New Roman" w:cs="Times New Roman"/>
          <w:noProof/>
          <w:sz w:val="24"/>
        </w:rPr>
        <w:lastRenderedPageBreak/>
        <w:t xml:space="preserve">27. </w:t>
      </w:r>
      <w:r w:rsidRPr="00644FB4">
        <w:rPr>
          <w:rFonts w:ascii="Times New Roman" w:eastAsia="Times New Roman" w:hAnsi="Times New Roman" w:cs="Times New Roman"/>
          <w:noProof/>
          <w:sz w:val="24"/>
        </w:rPr>
        <w:tab/>
        <w:t xml:space="preserve">Langerman A, Grantcharov TP. Are We Ready for Our Close-up? </w:t>
      </w:r>
      <w:r w:rsidRPr="00644FB4">
        <w:rPr>
          <w:rFonts w:ascii="Times New Roman" w:eastAsia="Times New Roman" w:hAnsi="Times New Roman" w:cs="Times New Roman"/>
          <w:i/>
          <w:iCs/>
          <w:noProof/>
          <w:sz w:val="24"/>
        </w:rPr>
        <w:t>Ann Surg</w:t>
      </w:r>
      <w:r w:rsidRPr="00644FB4">
        <w:rPr>
          <w:rFonts w:ascii="Times New Roman" w:eastAsia="Times New Roman" w:hAnsi="Times New Roman" w:cs="Times New Roman"/>
          <w:noProof/>
          <w:sz w:val="24"/>
        </w:rPr>
        <w:t>. 2017;XX(Xx):1. doi:10.1097/SLA.0000000000002232.</w:t>
      </w:r>
    </w:p>
    <w:p w14:paraId="73428551" w14:textId="7CB20109" w:rsidR="00BF1C09" w:rsidRPr="00B44716" w:rsidRDefault="007603FB" w:rsidP="00644FB4">
      <w:pPr>
        <w:widowControl w:val="0"/>
        <w:autoSpaceDE w:val="0"/>
        <w:autoSpaceDN w:val="0"/>
        <w:adjustRightInd w:val="0"/>
        <w:spacing w:after="0" w:line="240" w:lineRule="auto"/>
        <w:ind w:left="640" w:hanging="640"/>
        <w:rPr>
          <w:rFonts w:ascii="Times New Roman" w:hAnsi="Times New Roman" w:cs="Times New Roman"/>
          <w:color w:val="000000" w:themeColor="text1"/>
          <w:sz w:val="24"/>
          <w:szCs w:val="24"/>
        </w:rPr>
      </w:pPr>
      <w:r w:rsidRPr="00B44716">
        <w:rPr>
          <w:rFonts w:ascii="Times New Roman" w:hAnsi="Times New Roman" w:cs="Times New Roman"/>
          <w:color w:val="000000" w:themeColor="text1"/>
          <w:sz w:val="24"/>
          <w:szCs w:val="24"/>
        </w:rPr>
        <w:fldChar w:fldCharType="end"/>
      </w:r>
    </w:p>
    <w:p w14:paraId="5F3326A3" w14:textId="77777777" w:rsidR="004539BE" w:rsidRPr="00B44716" w:rsidRDefault="004539BE" w:rsidP="004E75D7">
      <w:pPr>
        <w:widowControl w:val="0"/>
        <w:autoSpaceDE w:val="0"/>
        <w:autoSpaceDN w:val="0"/>
        <w:adjustRightInd w:val="0"/>
        <w:spacing w:after="0" w:line="240" w:lineRule="auto"/>
        <w:ind w:left="640" w:hanging="640"/>
        <w:contextualSpacing/>
        <w:rPr>
          <w:rFonts w:ascii="Times New Roman" w:hAnsi="Times New Roman" w:cs="Times New Roman"/>
          <w:color w:val="000000" w:themeColor="text1"/>
          <w:sz w:val="24"/>
          <w:szCs w:val="24"/>
        </w:rPr>
      </w:pPr>
    </w:p>
    <w:p w14:paraId="7260000C" w14:textId="4E50831E" w:rsidR="0039774E" w:rsidRPr="00B44716" w:rsidRDefault="0039774E" w:rsidP="00B76F15">
      <w:pPr>
        <w:widowControl w:val="0"/>
        <w:autoSpaceDE w:val="0"/>
        <w:autoSpaceDN w:val="0"/>
        <w:adjustRightInd w:val="0"/>
        <w:spacing w:after="0" w:line="240" w:lineRule="auto"/>
        <w:rPr>
          <w:rFonts w:ascii="Times New Roman" w:hAnsi="Times New Roman" w:cs="Times New Roman"/>
          <w:color w:val="000000" w:themeColor="text1"/>
          <w:sz w:val="24"/>
          <w:szCs w:val="24"/>
        </w:rPr>
      </w:pPr>
    </w:p>
    <w:p w14:paraId="35F4C35A" w14:textId="36E7B6E3" w:rsidR="00BF1C09" w:rsidRPr="00B44716" w:rsidRDefault="00BF1C09" w:rsidP="004E75D7">
      <w:pPr>
        <w:widowControl w:val="0"/>
        <w:autoSpaceDE w:val="0"/>
        <w:autoSpaceDN w:val="0"/>
        <w:adjustRightInd w:val="0"/>
        <w:spacing w:after="0" w:line="240" w:lineRule="auto"/>
        <w:ind w:left="640" w:hanging="640"/>
        <w:contextualSpacing/>
        <w:rPr>
          <w:rFonts w:ascii="Times New Roman" w:hAnsi="Times New Roman" w:cs="Times New Roman"/>
          <w:color w:val="000000" w:themeColor="text1"/>
          <w:sz w:val="24"/>
          <w:szCs w:val="24"/>
        </w:rPr>
      </w:pPr>
    </w:p>
    <w:sectPr w:rsidR="00BF1C09" w:rsidRPr="00B44716" w:rsidSect="00025993">
      <w:headerReference w:type="even" r:id="rId8"/>
      <w:headerReference w:type="default" r:id="rId9"/>
      <w:footerReference w:type="even" r:id="rId10"/>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79385" w14:textId="77777777" w:rsidR="00BA743B" w:rsidRDefault="00BA743B" w:rsidP="00336C4D">
      <w:pPr>
        <w:spacing w:after="0" w:line="240" w:lineRule="auto"/>
      </w:pPr>
      <w:r>
        <w:separator/>
      </w:r>
    </w:p>
  </w:endnote>
  <w:endnote w:type="continuationSeparator" w:id="0">
    <w:p w14:paraId="675B3C2E" w14:textId="77777777" w:rsidR="00BA743B" w:rsidRDefault="00BA743B" w:rsidP="00336C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ゴシック">
    <w:charset w:val="80"/>
    <w:family w:val="auto"/>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6B40B5" w14:textId="77777777" w:rsidR="00CC0663" w:rsidRDefault="00CC0663" w:rsidP="005F79B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09E26B7" w14:textId="77777777" w:rsidR="00CC0663" w:rsidRDefault="00CC0663" w:rsidP="005F79B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ACC0C6" w14:textId="77777777" w:rsidR="00CC0663" w:rsidRDefault="00CC0663" w:rsidP="005F79B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92D19">
      <w:rPr>
        <w:rStyle w:val="PageNumber"/>
        <w:noProof/>
      </w:rPr>
      <w:t>1</w:t>
    </w:r>
    <w:r>
      <w:rPr>
        <w:rStyle w:val="PageNumber"/>
      </w:rPr>
      <w:fldChar w:fldCharType="end"/>
    </w:r>
  </w:p>
  <w:p w14:paraId="6F6C288B" w14:textId="77777777" w:rsidR="00CC0663" w:rsidRPr="0036282D" w:rsidRDefault="00CC0663" w:rsidP="005F79B1">
    <w:pPr>
      <w:pStyle w:val="Footer"/>
      <w:ind w:right="360"/>
      <w:rPr>
        <w:rFonts w:ascii="Times New Roman" w:hAnsi="Times New Roman"/>
      </w:rPr>
    </w:pPr>
    <w:r>
      <w:rPr>
        <w:rFonts w:ascii="Times New Roman" w:hAnsi="Times New Roman"/>
      </w:rPr>
      <w:tab/>
    </w:r>
    <w:r>
      <w:rPr>
        <w:rFonts w:ascii="Times New Roman" w:hAnsi="Times New Roman"/>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7CD89D" w14:textId="77777777" w:rsidR="00BA743B" w:rsidRDefault="00BA743B" w:rsidP="00336C4D">
      <w:pPr>
        <w:spacing w:after="0" w:line="240" w:lineRule="auto"/>
      </w:pPr>
      <w:r>
        <w:separator/>
      </w:r>
    </w:p>
  </w:footnote>
  <w:footnote w:type="continuationSeparator" w:id="0">
    <w:p w14:paraId="61E39DE4" w14:textId="77777777" w:rsidR="00BA743B" w:rsidRDefault="00BA743B" w:rsidP="00336C4D">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F0D513" w14:textId="77777777" w:rsidR="00CC0663" w:rsidRDefault="00CC0663" w:rsidP="005F79B1">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72B1BE9" w14:textId="77777777" w:rsidR="00CC0663" w:rsidRDefault="00CC0663" w:rsidP="005F79B1">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F76922" w14:textId="21AE1468" w:rsidR="00CC0663" w:rsidRPr="00691E57" w:rsidRDefault="00CC0663" w:rsidP="005F79B1">
    <w:pPr>
      <w:pStyle w:val="Header"/>
      <w:framePr w:wrap="none" w:vAnchor="text" w:hAnchor="margin" w:xAlign="right" w:y="1"/>
      <w:rPr>
        <w:rStyle w:val="PageNumber"/>
        <w:rFonts w:ascii="Times New Roman" w:hAnsi="Times New Roman"/>
      </w:rPr>
    </w:pPr>
    <w:r w:rsidRPr="00691E57">
      <w:rPr>
        <w:rStyle w:val="PageNumber"/>
        <w:rFonts w:ascii="Times New Roman" w:hAnsi="Times New Roman"/>
      </w:rPr>
      <w:t xml:space="preserve"> </w:t>
    </w:r>
    <w:r w:rsidRPr="00691E57">
      <w:rPr>
        <w:rStyle w:val="PageNumber"/>
        <w:rFonts w:ascii="Times New Roman" w:hAnsi="Times New Roman"/>
      </w:rPr>
      <w:fldChar w:fldCharType="begin"/>
    </w:r>
    <w:r w:rsidRPr="00691E57">
      <w:rPr>
        <w:rStyle w:val="PageNumber"/>
        <w:rFonts w:ascii="Times New Roman" w:hAnsi="Times New Roman"/>
      </w:rPr>
      <w:instrText xml:space="preserve">PAGE  </w:instrText>
    </w:r>
    <w:r w:rsidRPr="00691E57">
      <w:rPr>
        <w:rStyle w:val="PageNumber"/>
        <w:rFonts w:ascii="Times New Roman" w:hAnsi="Times New Roman"/>
      </w:rPr>
      <w:fldChar w:fldCharType="separate"/>
    </w:r>
    <w:r w:rsidR="00E92D19">
      <w:rPr>
        <w:rStyle w:val="PageNumber"/>
        <w:rFonts w:ascii="Times New Roman" w:hAnsi="Times New Roman"/>
        <w:noProof/>
      </w:rPr>
      <w:t>1</w:t>
    </w:r>
    <w:r w:rsidRPr="00691E57">
      <w:rPr>
        <w:rStyle w:val="PageNumber"/>
        <w:rFonts w:ascii="Times New Roman" w:hAnsi="Times New Roman"/>
      </w:rPr>
      <w:fldChar w:fldCharType="end"/>
    </w:r>
  </w:p>
  <w:p w14:paraId="2689346A" w14:textId="77777777" w:rsidR="00CC0663" w:rsidRDefault="00CC0663" w:rsidP="005F79B1">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609A4"/>
    <w:multiLevelType w:val="hybridMultilevel"/>
    <w:tmpl w:val="3D568210"/>
    <w:lvl w:ilvl="0" w:tplc="013CBABE">
      <w:start w:val="1"/>
      <w:numFmt w:val="decimal"/>
      <w:lvlText w:val="%1"/>
      <w:lvlJc w:val="left"/>
      <w:pPr>
        <w:ind w:left="643" w:hanging="360"/>
      </w:pPr>
      <w:rPr>
        <w:rFonts w:ascii="Times New Roman" w:eastAsiaTheme="minorHAnsi" w:hAnsi="Times New Roman" w:cs="Times New Roman"/>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1C331F7"/>
    <w:multiLevelType w:val="hybridMultilevel"/>
    <w:tmpl w:val="5650B3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295A60"/>
    <w:multiLevelType w:val="hybridMultilevel"/>
    <w:tmpl w:val="7CF072B2"/>
    <w:lvl w:ilvl="0" w:tplc="E910AB2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BE173B"/>
    <w:multiLevelType w:val="hybridMultilevel"/>
    <w:tmpl w:val="6B5E8BB8"/>
    <w:lvl w:ilvl="0" w:tplc="7B0299C4">
      <w:start w:val="501"/>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6F025A"/>
    <w:multiLevelType w:val="hybridMultilevel"/>
    <w:tmpl w:val="FA40F5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CD475F"/>
    <w:multiLevelType w:val="hybridMultilevel"/>
    <w:tmpl w:val="A210B268"/>
    <w:lvl w:ilvl="0" w:tplc="FAF4FC6E">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8ED4DA7"/>
    <w:multiLevelType w:val="hybridMultilevel"/>
    <w:tmpl w:val="3690B3DC"/>
    <w:lvl w:ilvl="0" w:tplc="E10E5AF8">
      <w:start w:val="1500"/>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AD27ABA"/>
    <w:multiLevelType w:val="hybridMultilevel"/>
    <w:tmpl w:val="41E8C47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71A311F"/>
    <w:multiLevelType w:val="hybridMultilevel"/>
    <w:tmpl w:val="37F6582C"/>
    <w:lvl w:ilvl="0" w:tplc="B44E9E74">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D065022"/>
    <w:multiLevelType w:val="hybridMultilevel"/>
    <w:tmpl w:val="72AEDB4E"/>
    <w:lvl w:ilvl="0" w:tplc="1B6C4062">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76A655C"/>
    <w:multiLevelType w:val="hybridMultilevel"/>
    <w:tmpl w:val="2D00B91E"/>
    <w:lvl w:ilvl="0" w:tplc="24BEF41C">
      <w:start w:val="1"/>
      <w:numFmt w:val="decimal"/>
      <w:lvlText w:val="%1."/>
      <w:lvlJc w:val="left"/>
      <w:pPr>
        <w:ind w:left="90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463206E"/>
    <w:multiLevelType w:val="hybridMultilevel"/>
    <w:tmpl w:val="6268BB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9D3213F"/>
    <w:multiLevelType w:val="hybridMultilevel"/>
    <w:tmpl w:val="5D96BF28"/>
    <w:lvl w:ilvl="0" w:tplc="61845DC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557E4E"/>
    <w:multiLevelType w:val="hybridMultilevel"/>
    <w:tmpl w:val="DA5A3862"/>
    <w:lvl w:ilvl="0" w:tplc="30D608FA">
      <w:start w:val="50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7"/>
  </w:num>
  <w:num w:numId="2">
    <w:abstractNumId w:val="11"/>
  </w:num>
  <w:num w:numId="3">
    <w:abstractNumId w:val="4"/>
  </w:num>
  <w:num w:numId="4">
    <w:abstractNumId w:val="10"/>
  </w:num>
  <w:num w:numId="5">
    <w:abstractNumId w:val="8"/>
  </w:num>
  <w:num w:numId="6">
    <w:abstractNumId w:val="9"/>
  </w:num>
  <w:num w:numId="7">
    <w:abstractNumId w:val="1"/>
  </w:num>
  <w:num w:numId="8">
    <w:abstractNumId w:val="0"/>
  </w:num>
  <w:num w:numId="9">
    <w:abstractNumId w:val="2"/>
  </w:num>
  <w:num w:numId="10">
    <w:abstractNumId w:val="5"/>
  </w:num>
  <w:num w:numId="11">
    <w:abstractNumId w:val="6"/>
  </w:num>
  <w:num w:numId="12">
    <w:abstractNumId w:val="12"/>
  </w:num>
  <w:num w:numId="13">
    <w:abstractNumId w:val="13"/>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nnals Surgery Perso&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rzaadxtw3s9fzned0ab5d2t8radxt0p5fzve&quot;&gt;Tout&lt;record-ids&gt;&lt;item&gt;5892&lt;/item&gt;&lt;item&gt;5893&lt;/item&gt;&lt;item&gt;5957&lt;/item&gt;&lt;item&gt;6388&lt;/item&gt;&lt;/record-ids&gt;&lt;/item&gt;&lt;/Libraries&gt;"/>
  </w:docVars>
  <w:rsids>
    <w:rsidRoot w:val="008A32FD"/>
    <w:rsid w:val="00001894"/>
    <w:rsid w:val="00002354"/>
    <w:rsid w:val="000029EA"/>
    <w:rsid w:val="00004A57"/>
    <w:rsid w:val="00004A8B"/>
    <w:rsid w:val="00006DE9"/>
    <w:rsid w:val="00007219"/>
    <w:rsid w:val="00015AEB"/>
    <w:rsid w:val="00020118"/>
    <w:rsid w:val="00022FB9"/>
    <w:rsid w:val="00023787"/>
    <w:rsid w:val="00025946"/>
    <w:rsid w:val="00025993"/>
    <w:rsid w:val="000259E8"/>
    <w:rsid w:val="000264E6"/>
    <w:rsid w:val="00026C6D"/>
    <w:rsid w:val="000336BA"/>
    <w:rsid w:val="000427FE"/>
    <w:rsid w:val="00045F62"/>
    <w:rsid w:val="00051C00"/>
    <w:rsid w:val="0005718F"/>
    <w:rsid w:val="00062639"/>
    <w:rsid w:val="0006708B"/>
    <w:rsid w:val="00074062"/>
    <w:rsid w:val="000751F2"/>
    <w:rsid w:val="0008096E"/>
    <w:rsid w:val="00080C27"/>
    <w:rsid w:val="00090633"/>
    <w:rsid w:val="00091987"/>
    <w:rsid w:val="0009478B"/>
    <w:rsid w:val="00096743"/>
    <w:rsid w:val="00096D94"/>
    <w:rsid w:val="000B31EE"/>
    <w:rsid w:val="000B5AF1"/>
    <w:rsid w:val="000C50F2"/>
    <w:rsid w:val="000C5975"/>
    <w:rsid w:val="000C6ABC"/>
    <w:rsid w:val="000C739D"/>
    <w:rsid w:val="000C7663"/>
    <w:rsid w:val="000D07CA"/>
    <w:rsid w:val="000D406F"/>
    <w:rsid w:val="000D59EE"/>
    <w:rsid w:val="000E5D58"/>
    <w:rsid w:val="000F7AF7"/>
    <w:rsid w:val="00100685"/>
    <w:rsid w:val="00101998"/>
    <w:rsid w:val="00106F0E"/>
    <w:rsid w:val="00112594"/>
    <w:rsid w:val="00113ED8"/>
    <w:rsid w:val="0011452F"/>
    <w:rsid w:val="00120018"/>
    <w:rsid w:val="00120A3A"/>
    <w:rsid w:val="00122C91"/>
    <w:rsid w:val="0012686B"/>
    <w:rsid w:val="001274D7"/>
    <w:rsid w:val="001303BB"/>
    <w:rsid w:val="00131DDA"/>
    <w:rsid w:val="00131EC6"/>
    <w:rsid w:val="0013590B"/>
    <w:rsid w:val="00142A52"/>
    <w:rsid w:val="00142AF7"/>
    <w:rsid w:val="001466FF"/>
    <w:rsid w:val="00146BF1"/>
    <w:rsid w:val="00157A5E"/>
    <w:rsid w:val="001651AA"/>
    <w:rsid w:val="00173043"/>
    <w:rsid w:val="00183EC6"/>
    <w:rsid w:val="0019096B"/>
    <w:rsid w:val="001949EA"/>
    <w:rsid w:val="00195DA3"/>
    <w:rsid w:val="00196BD6"/>
    <w:rsid w:val="00197230"/>
    <w:rsid w:val="00197797"/>
    <w:rsid w:val="001979A4"/>
    <w:rsid w:val="001A1D36"/>
    <w:rsid w:val="001A37F9"/>
    <w:rsid w:val="001A5585"/>
    <w:rsid w:val="001A5AC6"/>
    <w:rsid w:val="001A606D"/>
    <w:rsid w:val="001B0675"/>
    <w:rsid w:val="001B42CF"/>
    <w:rsid w:val="001B661F"/>
    <w:rsid w:val="001B6641"/>
    <w:rsid w:val="001B6AC4"/>
    <w:rsid w:val="001C14D2"/>
    <w:rsid w:val="001C37C2"/>
    <w:rsid w:val="001C3A36"/>
    <w:rsid w:val="001C426B"/>
    <w:rsid w:val="001C5AC2"/>
    <w:rsid w:val="001C78DA"/>
    <w:rsid w:val="001C7CFA"/>
    <w:rsid w:val="001D061A"/>
    <w:rsid w:val="001D1D62"/>
    <w:rsid w:val="001D1F73"/>
    <w:rsid w:val="001D21F1"/>
    <w:rsid w:val="001D3856"/>
    <w:rsid w:val="001E72A4"/>
    <w:rsid w:val="001F04C6"/>
    <w:rsid w:val="001F3AEB"/>
    <w:rsid w:val="001F5929"/>
    <w:rsid w:val="0020036D"/>
    <w:rsid w:val="00202848"/>
    <w:rsid w:val="00203B70"/>
    <w:rsid w:val="00204B0F"/>
    <w:rsid w:val="00205E2A"/>
    <w:rsid w:val="00207C3D"/>
    <w:rsid w:val="00213142"/>
    <w:rsid w:val="00213B82"/>
    <w:rsid w:val="00213FF2"/>
    <w:rsid w:val="00214ADE"/>
    <w:rsid w:val="00220559"/>
    <w:rsid w:val="00224014"/>
    <w:rsid w:val="002302F1"/>
    <w:rsid w:val="00230673"/>
    <w:rsid w:val="002330FE"/>
    <w:rsid w:val="00242C6D"/>
    <w:rsid w:val="00243427"/>
    <w:rsid w:val="00243A91"/>
    <w:rsid w:val="00244A43"/>
    <w:rsid w:val="00245F37"/>
    <w:rsid w:val="00250C36"/>
    <w:rsid w:val="00256845"/>
    <w:rsid w:val="00262E91"/>
    <w:rsid w:val="00264C40"/>
    <w:rsid w:val="00266042"/>
    <w:rsid w:val="00272E84"/>
    <w:rsid w:val="00274D7C"/>
    <w:rsid w:val="00276C76"/>
    <w:rsid w:val="00277B31"/>
    <w:rsid w:val="00280E8D"/>
    <w:rsid w:val="00282F3F"/>
    <w:rsid w:val="002902E8"/>
    <w:rsid w:val="00293829"/>
    <w:rsid w:val="002A1C77"/>
    <w:rsid w:val="002A26A4"/>
    <w:rsid w:val="002A3BB7"/>
    <w:rsid w:val="002B4A82"/>
    <w:rsid w:val="002B4BC6"/>
    <w:rsid w:val="002B78FA"/>
    <w:rsid w:val="002C50DB"/>
    <w:rsid w:val="002D52CA"/>
    <w:rsid w:val="002D776F"/>
    <w:rsid w:val="002E09F9"/>
    <w:rsid w:val="002E0C3D"/>
    <w:rsid w:val="002E44AA"/>
    <w:rsid w:val="002F1463"/>
    <w:rsid w:val="002F750A"/>
    <w:rsid w:val="002F79A2"/>
    <w:rsid w:val="00302B6B"/>
    <w:rsid w:val="00305A05"/>
    <w:rsid w:val="00307234"/>
    <w:rsid w:val="0031204D"/>
    <w:rsid w:val="0031210C"/>
    <w:rsid w:val="003123ED"/>
    <w:rsid w:val="00312F69"/>
    <w:rsid w:val="0031433B"/>
    <w:rsid w:val="00320D47"/>
    <w:rsid w:val="00322486"/>
    <w:rsid w:val="00322B1F"/>
    <w:rsid w:val="00324DD8"/>
    <w:rsid w:val="00325E00"/>
    <w:rsid w:val="00326E7F"/>
    <w:rsid w:val="0032729E"/>
    <w:rsid w:val="003310BD"/>
    <w:rsid w:val="003355AC"/>
    <w:rsid w:val="0033624D"/>
    <w:rsid w:val="0033641D"/>
    <w:rsid w:val="00336C4D"/>
    <w:rsid w:val="00340893"/>
    <w:rsid w:val="00342AC7"/>
    <w:rsid w:val="00342D44"/>
    <w:rsid w:val="00343568"/>
    <w:rsid w:val="003453DE"/>
    <w:rsid w:val="00347654"/>
    <w:rsid w:val="00350D1A"/>
    <w:rsid w:val="00353ACA"/>
    <w:rsid w:val="00355C55"/>
    <w:rsid w:val="003569B4"/>
    <w:rsid w:val="00361533"/>
    <w:rsid w:val="0036236F"/>
    <w:rsid w:val="003639EA"/>
    <w:rsid w:val="0036745B"/>
    <w:rsid w:val="003737A5"/>
    <w:rsid w:val="003742A5"/>
    <w:rsid w:val="00376984"/>
    <w:rsid w:val="00380330"/>
    <w:rsid w:val="0038221A"/>
    <w:rsid w:val="00382E94"/>
    <w:rsid w:val="003844F6"/>
    <w:rsid w:val="00385B91"/>
    <w:rsid w:val="00386CDB"/>
    <w:rsid w:val="003902EE"/>
    <w:rsid w:val="00390719"/>
    <w:rsid w:val="003921CC"/>
    <w:rsid w:val="003935C9"/>
    <w:rsid w:val="0039567D"/>
    <w:rsid w:val="00396261"/>
    <w:rsid w:val="00396E66"/>
    <w:rsid w:val="0039728B"/>
    <w:rsid w:val="0039734E"/>
    <w:rsid w:val="0039774E"/>
    <w:rsid w:val="003A40B0"/>
    <w:rsid w:val="003A5110"/>
    <w:rsid w:val="003B2C67"/>
    <w:rsid w:val="003B41A9"/>
    <w:rsid w:val="003C758A"/>
    <w:rsid w:val="003C774A"/>
    <w:rsid w:val="003C78DD"/>
    <w:rsid w:val="003D3F06"/>
    <w:rsid w:val="003E129F"/>
    <w:rsid w:val="003E4D67"/>
    <w:rsid w:val="003E60B7"/>
    <w:rsid w:val="003E6D20"/>
    <w:rsid w:val="003E7620"/>
    <w:rsid w:val="003E7D86"/>
    <w:rsid w:val="003F4590"/>
    <w:rsid w:val="003F79C7"/>
    <w:rsid w:val="00402525"/>
    <w:rsid w:val="00402E44"/>
    <w:rsid w:val="004041DA"/>
    <w:rsid w:val="00405845"/>
    <w:rsid w:val="00411E73"/>
    <w:rsid w:val="00414A76"/>
    <w:rsid w:val="00416C2B"/>
    <w:rsid w:val="00421CEB"/>
    <w:rsid w:val="00426C54"/>
    <w:rsid w:val="00432903"/>
    <w:rsid w:val="00434206"/>
    <w:rsid w:val="00437897"/>
    <w:rsid w:val="00440298"/>
    <w:rsid w:val="00441E4D"/>
    <w:rsid w:val="0044268F"/>
    <w:rsid w:val="00443492"/>
    <w:rsid w:val="00443623"/>
    <w:rsid w:val="004516C8"/>
    <w:rsid w:val="004539BE"/>
    <w:rsid w:val="00456754"/>
    <w:rsid w:val="004572C9"/>
    <w:rsid w:val="00460BF3"/>
    <w:rsid w:val="004643D7"/>
    <w:rsid w:val="0046615D"/>
    <w:rsid w:val="00467B2F"/>
    <w:rsid w:val="00471451"/>
    <w:rsid w:val="004749CA"/>
    <w:rsid w:val="004804AD"/>
    <w:rsid w:val="004808F2"/>
    <w:rsid w:val="004811BD"/>
    <w:rsid w:val="004828D9"/>
    <w:rsid w:val="004847DA"/>
    <w:rsid w:val="00490200"/>
    <w:rsid w:val="00494188"/>
    <w:rsid w:val="0049621C"/>
    <w:rsid w:val="004A081A"/>
    <w:rsid w:val="004A1CE2"/>
    <w:rsid w:val="004A3B3D"/>
    <w:rsid w:val="004A6548"/>
    <w:rsid w:val="004C2A5D"/>
    <w:rsid w:val="004D225F"/>
    <w:rsid w:val="004D2D40"/>
    <w:rsid w:val="004D5CDF"/>
    <w:rsid w:val="004D6713"/>
    <w:rsid w:val="004E4B23"/>
    <w:rsid w:val="004E4FE7"/>
    <w:rsid w:val="004E75D7"/>
    <w:rsid w:val="004F2D23"/>
    <w:rsid w:val="004F31C6"/>
    <w:rsid w:val="004F54ED"/>
    <w:rsid w:val="004F57FE"/>
    <w:rsid w:val="00502733"/>
    <w:rsid w:val="00503354"/>
    <w:rsid w:val="0050399D"/>
    <w:rsid w:val="00504E87"/>
    <w:rsid w:val="00506151"/>
    <w:rsid w:val="00510CF7"/>
    <w:rsid w:val="00513135"/>
    <w:rsid w:val="005158B5"/>
    <w:rsid w:val="00517EC7"/>
    <w:rsid w:val="00521582"/>
    <w:rsid w:val="00524B9A"/>
    <w:rsid w:val="00526915"/>
    <w:rsid w:val="00527EFC"/>
    <w:rsid w:val="0053285E"/>
    <w:rsid w:val="00532910"/>
    <w:rsid w:val="0053306F"/>
    <w:rsid w:val="005366A2"/>
    <w:rsid w:val="00542F30"/>
    <w:rsid w:val="00543421"/>
    <w:rsid w:val="005442E9"/>
    <w:rsid w:val="00546711"/>
    <w:rsid w:val="0054731F"/>
    <w:rsid w:val="005503BE"/>
    <w:rsid w:val="00551BF5"/>
    <w:rsid w:val="00557B6D"/>
    <w:rsid w:val="00560D43"/>
    <w:rsid w:val="00561D3F"/>
    <w:rsid w:val="0056341A"/>
    <w:rsid w:val="00564436"/>
    <w:rsid w:val="00571926"/>
    <w:rsid w:val="00571C5C"/>
    <w:rsid w:val="00571CCD"/>
    <w:rsid w:val="0057225E"/>
    <w:rsid w:val="005758C1"/>
    <w:rsid w:val="00576B53"/>
    <w:rsid w:val="00580CEA"/>
    <w:rsid w:val="0058551F"/>
    <w:rsid w:val="00586674"/>
    <w:rsid w:val="00593B94"/>
    <w:rsid w:val="00596547"/>
    <w:rsid w:val="00597CFF"/>
    <w:rsid w:val="005A094D"/>
    <w:rsid w:val="005A75B9"/>
    <w:rsid w:val="005C01F8"/>
    <w:rsid w:val="005C6365"/>
    <w:rsid w:val="005C697F"/>
    <w:rsid w:val="005C7530"/>
    <w:rsid w:val="005C76D5"/>
    <w:rsid w:val="005D0AFC"/>
    <w:rsid w:val="005D1755"/>
    <w:rsid w:val="005D1C7B"/>
    <w:rsid w:val="005D2BFB"/>
    <w:rsid w:val="005E29A5"/>
    <w:rsid w:val="005F0D31"/>
    <w:rsid w:val="005F1034"/>
    <w:rsid w:val="005F79B1"/>
    <w:rsid w:val="006015C2"/>
    <w:rsid w:val="00603967"/>
    <w:rsid w:val="006048E5"/>
    <w:rsid w:val="00604B8F"/>
    <w:rsid w:val="00606A16"/>
    <w:rsid w:val="00606E0F"/>
    <w:rsid w:val="00607F85"/>
    <w:rsid w:val="0061031C"/>
    <w:rsid w:val="00623604"/>
    <w:rsid w:val="006237CD"/>
    <w:rsid w:val="0062484C"/>
    <w:rsid w:val="0063333C"/>
    <w:rsid w:val="00633E09"/>
    <w:rsid w:val="00634A33"/>
    <w:rsid w:val="0063614D"/>
    <w:rsid w:val="006366A9"/>
    <w:rsid w:val="00644354"/>
    <w:rsid w:val="00644FB4"/>
    <w:rsid w:val="00645604"/>
    <w:rsid w:val="0064667F"/>
    <w:rsid w:val="006469D9"/>
    <w:rsid w:val="00646DE4"/>
    <w:rsid w:val="006504F0"/>
    <w:rsid w:val="0065155D"/>
    <w:rsid w:val="00651CB1"/>
    <w:rsid w:val="00653DC6"/>
    <w:rsid w:val="00653F33"/>
    <w:rsid w:val="006574EB"/>
    <w:rsid w:val="00657C56"/>
    <w:rsid w:val="0066423D"/>
    <w:rsid w:val="006642BA"/>
    <w:rsid w:val="0066601A"/>
    <w:rsid w:val="0067078E"/>
    <w:rsid w:val="00671912"/>
    <w:rsid w:val="00674904"/>
    <w:rsid w:val="00675BAD"/>
    <w:rsid w:val="00675D39"/>
    <w:rsid w:val="00677A42"/>
    <w:rsid w:val="00682386"/>
    <w:rsid w:val="00685397"/>
    <w:rsid w:val="00685698"/>
    <w:rsid w:val="00687438"/>
    <w:rsid w:val="006875BB"/>
    <w:rsid w:val="00687A22"/>
    <w:rsid w:val="006903D0"/>
    <w:rsid w:val="0069239C"/>
    <w:rsid w:val="006A2A4F"/>
    <w:rsid w:val="006A47B7"/>
    <w:rsid w:val="006A4C0B"/>
    <w:rsid w:val="006B1FA6"/>
    <w:rsid w:val="006C10D6"/>
    <w:rsid w:val="006C22E1"/>
    <w:rsid w:val="006C6217"/>
    <w:rsid w:val="006C7835"/>
    <w:rsid w:val="006D0CB9"/>
    <w:rsid w:val="006D59EB"/>
    <w:rsid w:val="006D6B74"/>
    <w:rsid w:val="006E0333"/>
    <w:rsid w:val="006E56B5"/>
    <w:rsid w:val="006F1226"/>
    <w:rsid w:val="006F229B"/>
    <w:rsid w:val="006F22C6"/>
    <w:rsid w:val="006F3878"/>
    <w:rsid w:val="006F3DAA"/>
    <w:rsid w:val="006F5A23"/>
    <w:rsid w:val="006F6DB5"/>
    <w:rsid w:val="0070262A"/>
    <w:rsid w:val="00702E5F"/>
    <w:rsid w:val="00706D80"/>
    <w:rsid w:val="00707986"/>
    <w:rsid w:val="00712496"/>
    <w:rsid w:val="007142EF"/>
    <w:rsid w:val="00714F6A"/>
    <w:rsid w:val="0071544B"/>
    <w:rsid w:val="00716D90"/>
    <w:rsid w:val="007201DC"/>
    <w:rsid w:val="00720949"/>
    <w:rsid w:val="00720F4D"/>
    <w:rsid w:val="00721BBB"/>
    <w:rsid w:val="00722885"/>
    <w:rsid w:val="00723C43"/>
    <w:rsid w:val="00735527"/>
    <w:rsid w:val="00735C7B"/>
    <w:rsid w:val="007419DE"/>
    <w:rsid w:val="007430FC"/>
    <w:rsid w:val="0074580F"/>
    <w:rsid w:val="0075498B"/>
    <w:rsid w:val="00756E1E"/>
    <w:rsid w:val="007603FB"/>
    <w:rsid w:val="007604F9"/>
    <w:rsid w:val="00763C82"/>
    <w:rsid w:val="0076485A"/>
    <w:rsid w:val="007652E6"/>
    <w:rsid w:val="00772052"/>
    <w:rsid w:val="00773418"/>
    <w:rsid w:val="00773CE9"/>
    <w:rsid w:val="00774134"/>
    <w:rsid w:val="007748D2"/>
    <w:rsid w:val="00775426"/>
    <w:rsid w:val="00780B31"/>
    <w:rsid w:val="00786EAD"/>
    <w:rsid w:val="0079053B"/>
    <w:rsid w:val="0079246D"/>
    <w:rsid w:val="007A0A6B"/>
    <w:rsid w:val="007A32EC"/>
    <w:rsid w:val="007A7927"/>
    <w:rsid w:val="007B18EF"/>
    <w:rsid w:val="007B19E8"/>
    <w:rsid w:val="007B1D6F"/>
    <w:rsid w:val="007B6F25"/>
    <w:rsid w:val="007C086D"/>
    <w:rsid w:val="007D03B9"/>
    <w:rsid w:val="007D2468"/>
    <w:rsid w:val="007D3384"/>
    <w:rsid w:val="007D3B4A"/>
    <w:rsid w:val="007E150F"/>
    <w:rsid w:val="007E200B"/>
    <w:rsid w:val="007E38BC"/>
    <w:rsid w:val="007F1224"/>
    <w:rsid w:val="007F1D4E"/>
    <w:rsid w:val="007F4BA3"/>
    <w:rsid w:val="00802558"/>
    <w:rsid w:val="00803555"/>
    <w:rsid w:val="00804A86"/>
    <w:rsid w:val="00805345"/>
    <w:rsid w:val="00805BBB"/>
    <w:rsid w:val="00807639"/>
    <w:rsid w:val="00807B09"/>
    <w:rsid w:val="00810BE9"/>
    <w:rsid w:val="00811D33"/>
    <w:rsid w:val="00812525"/>
    <w:rsid w:val="0081334C"/>
    <w:rsid w:val="00815EE6"/>
    <w:rsid w:val="00821A02"/>
    <w:rsid w:val="00821CDC"/>
    <w:rsid w:val="00827067"/>
    <w:rsid w:val="008368D0"/>
    <w:rsid w:val="00842FC4"/>
    <w:rsid w:val="00843960"/>
    <w:rsid w:val="008548B8"/>
    <w:rsid w:val="00855261"/>
    <w:rsid w:val="008569F4"/>
    <w:rsid w:val="00857B45"/>
    <w:rsid w:val="008669D0"/>
    <w:rsid w:val="00870F04"/>
    <w:rsid w:val="008713D6"/>
    <w:rsid w:val="00872435"/>
    <w:rsid w:val="00874979"/>
    <w:rsid w:val="00874AA9"/>
    <w:rsid w:val="0088278B"/>
    <w:rsid w:val="00886316"/>
    <w:rsid w:val="00893F9B"/>
    <w:rsid w:val="0089569D"/>
    <w:rsid w:val="008A1DE6"/>
    <w:rsid w:val="008A32FD"/>
    <w:rsid w:val="008A41D0"/>
    <w:rsid w:val="008B6022"/>
    <w:rsid w:val="008B6387"/>
    <w:rsid w:val="008C1B2A"/>
    <w:rsid w:val="008C40CD"/>
    <w:rsid w:val="008C4BF6"/>
    <w:rsid w:val="008D1ECC"/>
    <w:rsid w:val="008D21DD"/>
    <w:rsid w:val="008D609F"/>
    <w:rsid w:val="008D6FCB"/>
    <w:rsid w:val="008D70E0"/>
    <w:rsid w:val="008E0039"/>
    <w:rsid w:val="008E5442"/>
    <w:rsid w:val="008E6463"/>
    <w:rsid w:val="008E68FA"/>
    <w:rsid w:val="008F109A"/>
    <w:rsid w:val="009029A8"/>
    <w:rsid w:val="009037F4"/>
    <w:rsid w:val="0090428B"/>
    <w:rsid w:val="0091499F"/>
    <w:rsid w:val="00915E1C"/>
    <w:rsid w:val="00917650"/>
    <w:rsid w:val="009267B8"/>
    <w:rsid w:val="0092691F"/>
    <w:rsid w:val="009328C9"/>
    <w:rsid w:val="00941093"/>
    <w:rsid w:val="009500BD"/>
    <w:rsid w:val="0095096C"/>
    <w:rsid w:val="00951D2A"/>
    <w:rsid w:val="00951D7E"/>
    <w:rsid w:val="009565E7"/>
    <w:rsid w:val="00956F95"/>
    <w:rsid w:val="00974544"/>
    <w:rsid w:val="00975740"/>
    <w:rsid w:val="00975E04"/>
    <w:rsid w:val="00976533"/>
    <w:rsid w:val="0097758F"/>
    <w:rsid w:val="00986595"/>
    <w:rsid w:val="00986B25"/>
    <w:rsid w:val="0099568E"/>
    <w:rsid w:val="00997A05"/>
    <w:rsid w:val="009A0C86"/>
    <w:rsid w:val="009A1E82"/>
    <w:rsid w:val="009A53F5"/>
    <w:rsid w:val="009B0D5C"/>
    <w:rsid w:val="009B1A30"/>
    <w:rsid w:val="009B7081"/>
    <w:rsid w:val="009C09BE"/>
    <w:rsid w:val="009C46E9"/>
    <w:rsid w:val="009C4E08"/>
    <w:rsid w:val="009C7BC5"/>
    <w:rsid w:val="009D129D"/>
    <w:rsid w:val="009D1446"/>
    <w:rsid w:val="009D2566"/>
    <w:rsid w:val="009D3A43"/>
    <w:rsid w:val="009D565E"/>
    <w:rsid w:val="009D590E"/>
    <w:rsid w:val="009D6F93"/>
    <w:rsid w:val="009E0AD1"/>
    <w:rsid w:val="009E2C6A"/>
    <w:rsid w:val="009E2E88"/>
    <w:rsid w:val="009E4A98"/>
    <w:rsid w:val="009E4D2A"/>
    <w:rsid w:val="009E527E"/>
    <w:rsid w:val="009E604D"/>
    <w:rsid w:val="009E78DA"/>
    <w:rsid w:val="00A01796"/>
    <w:rsid w:val="00A0256E"/>
    <w:rsid w:val="00A02D9D"/>
    <w:rsid w:val="00A06962"/>
    <w:rsid w:val="00A1043A"/>
    <w:rsid w:val="00A1723D"/>
    <w:rsid w:val="00A2457C"/>
    <w:rsid w:val="00A24F03"/>
    <w:rsid w:val="00A31667"/>
    <w:rsid w:val="00A32D5E"/>
    <w:rsid w:val="00A334A8"/>
    <w:rsid w:val="00A35253"/>
    <w:rsid w:val="00A35F8E"/>
    <w:rsid w:val="00A36898"/>
    <w:rsid w:val="00A3756D"/>
    <w:rsid w:val="00A40B21"/>
    <w:rsid w:val="00A44EBF"/>
    <w:rsid w:val="00A452DC"/>
    <w:rsid w:val="00A45A1D"/>
    <w:rsid w:val="00A45E0B"/>
    <w:rsid w:val="00A467FF"/>
    <w:rsid w:val="00A51760"/>
    <w:rsid w:val="00A51E02"/>
    <w:rsid w:val="00A52268"/>
    <w:rsid w:val="00A556CC"/>
    <w:rsid w:val="00A55F56"/>
    <w:rsid w:val="00A62E83"/>
    <w:rsid w:val="00A676E8"/>
    <w:rsid w:val="00A713B8"/>
    <w:rsid w:val="00A7429C"/>
    <w:rsid w:val="00A77100"/>
    <w:rsid w:val="00A802BC"/>
    <w:rsid w:val="00A80F98"/>
    <w:rsid w:val="00A813D5"/>
    <w:rsid w:val="00A83632"/>
    <w:rsid w:val="00A92C81"/>
    <w:rsid w:val="00A959BD"/>
    <w:rsid w:val="00A96C71"/>
    <w:rsid w:val="00A977DE"/>
    <w:rsid w:val="00AA14C8"/>
    <w:rsid w:val="00AA2B57"/>
    <w:rsid w:val="00AA3EA4"/>
    <w:rsid w:val="00AA7567"/>
    <w:rsid w:val="00AB24CB"/>
    <w:rsid w:val="00AB619B"/>
    <w:rsid w:val="00AB66D7"/>
    <w:rsid w:val="00AB6AE3"/>
    <w:rsid w:val="00AB787C"/>
    <w:rsid w:val="00AC30AD"/>
    <w:rsid w:val="00AC4819"/>
    <w:rsid w:val="00AC74A9"/>
    <w:rsid w:val="00AC7D86"/>
    <w:rsid w:val="00AD2903"/>
    <w:rsid w:val="00AD40EB"/>
    <w:rsid w:val="00AD4864"/>
    <w:rsid w:val="00AD75B5"/>
    <w:rsid w:val="00AE05BC"/>
    <w:rsid w:val="00AE43F1"/>
    <w:rsid w:val="00AE5641"/>
    <w:rsid w:val="00AE5CA7"/>
    <w:rsid w:val="00AE7778"/>
    <w:rsid w:val="00AE782D"/>
    <w:rsid w:val="00AF01DB"/>
    <w:rsid w:val="00AF16FF"/>
    <w:rsid w:val="00AF1A0A"/>
    <w:rsid w:val="00AF418B"/>
    <w:rsid w:val="00AF753D"/>
    <w:rsid w:val="00B006CF"/>
    <w:rsid w:val="00B0298E"/>
    <w:rsid w:val="00B1283C"/>
    <w:rsid w:val="00B17D9A"/>
    <w:rsid w:val="00B200A4"/>
    <w:rsid w:val="00B2018F"/>
    <w:rsid w:val="00B22A43"/>
    <w:rsid w:val="00B25AFA"/>
    <w:rsid w:val="00B30AD6"/>
    <w:rsid w:val="00B324BF"/>
    <w:rsid w:val="00B33668"/>
    <w:rsid w:val="00B3439D"/>
    <w:rsid w:val="00B374C0"/>
    <w:rsid w:val="00B37F1D"/>
    <w:rsid w:val="00B4112E"/>
    <w:rsid w:val="00B41C9E"/>
    <w:rsid w:val="00B42694"/>
    <w:rsid w:val="00B44603"/>
    <w:rsid w:val="00B44716"/>
    <w:rsid w:val="00B45C83"/>
    <w:rsid w:val="00B52B93"/>
    <w:rsid w:val="00B52FF7"/>
    <w:rsid w:val="00B55D76"/>
    <w:rsid w:val="00B57AED"/>
    <w:rsid w:val="00B57F3C"/>
    <w:rsid w:val="00B619B7"/>
    <w:rsid w:val="00B63C69"/>
    <w:rsid w:val="00B722FC"/>
    <w:rsid w:val="00B76F15"/>
    <w:rsid w:val="00B77B04"/>
    <w:rsid w:val="00B80559"/>
    <w:rsid w:val="00B85A12"/>
    <w:rsid w:val="00B85FE1"/>
    <w:rsid w:val="00B874DE"/>
    <w:rsid w:val="00B91649"/>
    <w:rsid w:val="00B94709"/>
    <w:rsid w:val="00B94F6E"/>
    <w:rsid w:val="00BA15C1"/>
    <w:rsid w:val="00BA4942"/>
    <w:rsid w:val="00BA4ED5"/>
    <w:rsid w:val="00BA743B"/>
    <w:rsid w:val="00BB0A65"/>
    <w:rsid w:val="00BB5667"/>
    <w:rsid w:val="00BC0929"/>
    <w:rsid w:val="00BC124E"/>
    <w:rsid w:val="00BC1A18"/>
    <w:rsid w:val="00BC7A9A"/>
    <w:rsid w:val="00BC7B84"/>
    <w:rsid w:val="00BD164B"/>
    <w:rsid w:val="00BD7ABF"/>
    <w:rsid w:val="00BE2C4C"/>
    <w:rsid w:val="00BE460D"/>
    <w:rsid w:val="00BE4E80"/>
    <w:rsid w:val="00BE755C"/>
    <w:rsid w:val="00BF1C09"/>
    <w:rsid w:val="00BF3823"/>
    <w:rsid w:val="00C0604B"/>
    <w:rsid w:val="00C06675"/>
    <w:rsid w:val="00C11281"/>
    <w:rsid w:val="00C14FB6"/>
    <w:rsid w:val="00C153BE"/>
    <w:rsid w:val="00C176F0"/>
    <w:rsid w:val="00C2138A"/>
    <w:rsid w:val="00C233BB"/>
    <w:rsid w:val="00C24834"/>
    <w:rsid w:val="00C30F2B"/>
    <w:rsid w:val="00C316FC"/>
    <w:rsid w:val="00C34076"/>
    <w:rsid w:val="00C4013F"/>
    <w:rsid w:val="00C41ABF"/>
    <w:rsid w:val="00C430F1"/>
    <w:rsid w:val="00C43375"/>
    <w:rsid w:val="00C43DFD"/>
    <w:rsid w:val="00C51E71"/>
    <w:rsid w:val="00C576EE"/>
    <w:rsid w:val="00C61CDF"/>
    <w:rsid w:val="00C6203D"/>
    <w:rsid w:val="00C63C27"/>
    <w:rsid w:val="00C65182"/>
    <w:rsid w:val="00C76395"/>
    <w:rsid w:val="00C76CEE"/>
    <w:rsid w:val="00C8302A"/>
    <w:rsid w:val="00C8408E"/>
    <w:rsid w:val="00C84B09"/>
    <w:rsid w:val="00C868A6"/>
    <w:rsid w:val="00C8710B"/>
    <w:rsid w:val="00C919F5"/>
    <w:rsid w:val="00C93CB3"/>
    <w:rsid w:val="00CA38D2"/>
    <w:rsid w:val="00CB1791"/>
    <w:rsid w:val="00CB5F34"/>
    <w:rsid w:val="00CC0663"/>
    <w:rsid w:val="00CC4B12"/>
    <w:rsid w:val="00CD098B"/>
    <w:rsid w:val="00CD7623"/>
    <w:rsid w:val="00CE7050"/>
    <w:rsid w:val="00CE76C7"/>
    <w:rsid w:val="00CF0F58"/>
    <w:rsid w:val="00CF7374"/>
    <w:rsid w:val="00D10680"/>
    <w:rsid w:val="00D10B95"/>
    <w:rsid w:val="00D11C81"/>
    <w:rsid w:val="00D12797"/>
    <w:rsid w:val="00D160EA"/>
    <w:rsid w:val="00D178A8"/>
    <w:rsid w:val="00D216A7"/>
    <w:rsid w:val="00D218B6"/>
    <w:rsid w:val="00D227C2"/>
    <w:rsid w:val="00D22EF0"/>
    <w:rsid w:val="00D24DDE"/>
    <w:rsid w:val="00D35E68"/>
    <w:rsid w:val="00D43F55"/>
    <w:rsid w:val="00D4440B"/>
    <w:rsid w:val="00D45B12"/>
    <w:rsid w:val="00D52DFF"/>
    <w:rsid w:val="00D546CA"/>
    <w:rsid w:val="00D547EC"/>
    <w:rsid w:val="00D552E6"/>
    <w:rsid w:val="00D557B7"/>
    <w:rsid w:val="00D5612A"/>
    <w:rsid w:val="00D57064"/>
    <w:rsid w:val="00D57C69"/>
    <w:rsid w:val="00D60375"/>
    <w:rsid w:val="00D622BA"/>
    <w:rsid w:val="00D64132"/>
    <w:rsid w:val="00D64A97"/>
    <w:rsid w:val="00D70B69"/>
    <w:rsid w:val="00D734BB"/>
    <w:rsid w:val="00D75532"/>
    <w:rsid w:val="00D76AE9"/>
    <w:rsid w:val="00D76F02"/>
    <w:rsid w:val="00D7710A"/>
    <w:rsid w:val="00D83BCB"/>
    <w:rsid w:val="00D954E4"/>
    <w:rsid w:val="00D967C5"/>
    <w:rsid w:val="00D96A26"/>
    <w:rsid w:val="00DA0288"/>
    <w:rsid w:val="00DA2541"/>
    <w:rsid w:val="00DB39F2"/>
    <w:rsid w:val="00DB6353"/>
    <w:rsid w:val="00DC1D89"/>
    <w:rsid w:val="00DC438D"/>
    <w:rsid w:val="00DD0F76"/>
    <w:rsid w:val="00DD1102"/>
    <w:rsid w:val="00DD2DAC"/>
    <w:rsid w:val="00DD31B1"/>
    <w:rsid w:val="00DD5CE1"/>
    <w:rsid w:val="00DD789A"/>
    <w:rsid w:val="00DE2FCE"/>
    <w:rsid w:val="00DE404B"/>
    <w:rsid w:val="00DE6E06"/>
    <w:rsid w:val="00DF3BD8"/>
    <w:rsid w:val="00E02E43"/>
    <w:rsid w:val="00E037C5"/>
    <w:rsid w:val="00E07243"/>
    <w:rsid w:val="00E076DC"/>
    <w:rsid w:val="00E10316"/>
    <w:rsid w:val="00E2494E"/>
    <w:rsid w:val="00E26F80"/>
    <w:rsid w:val="00E318C9"/>
    <w:rsid w:val="00E33D24"/>
    <w:rsid w:val="00E37EA8"/>
    <w:rsid w:val="00E41048"/>
    <w:rsid w:val="00E42789"/>
    <w:rsid w:val="00E446E4"/>
    <w:rsid w:val="00E45581"/>
    <w:rsid w:val="00E45D71"/>
    <w:rsid w:val="00E47DE9"/>
    <w:rsid w:val="00E52229"/>
    <w:rsid w:val="00E5299A"/>
    <w:rsid w:val="00E52B5A"/>
    <w:rsid w:val="00E600C3"/>
    <w:rsid w:val="00E60766"/>
    <w:rsid w:val="00E62FF2"/>
    <w:rsid w:val="00E7073C"/>
    <w:rsid w:val="00E71D97"/>
    <w:rsid w:val="00E71FF3"/>
    <w:rsid w:val="00E76764"/>
    <w:rsid w:val="00E90AB6"/>
    <w:rsid w:val="00E91611"/>
    <w:rsid w:val="00E923CE"/>
    <w:rsid w:val="00E92D19"/>
    <w:rsid w:val="00E935DA"/>
    <w:rsid w:val="00E937FC"/>
    <w:rsid w:val="00E95A8F"/>
    <w:rsid w:val="00E9650D"/>
    <w:rsid w:val="00EA0299"/>
    <w:rsid w:val="00EA2512"/>
    <w:rsid w:val="00EA3E20"/>
    <w:rsid w:val="00EA4D0C"/>
    <w:rsid w:val="00EA5816"/>
    <w:rsid w:val="00EA68C0"/>
    <w:rsid w:val="00EB1C11"/>
    <w:rsid w:val="00EB677F"/>
    <w:rsid w:val="00EC36B5"/>
    <w:rsid w:val="00EC701A"/>
    <w:rsid w:val="00ED3E97"/>
    <w:rsid w:val="00ED7533"/>
    <w:rsid w:val="00EE100C"/>
    <w:rsid w:val="00EE1541"/>
    <w:rsid w:val="00EE2725"/>
    <w:rsid w:val="00EE27E9"/>
    <w:rsid w:val="00EE4063"/>
    <w:rsid w:val="00EE6B3C"/>
    <w:rsid w:val="00EF0844"/>
    <w:rsid w:val="00EF0AF2"/>
    <w:rsid w:val="00EF2205"/>
    <w:rsid w:val="00EF6D4E"/>
    <w:rsid w:val="00EF7107"/>
    <w:rsid w:val="00F00BAD"/>
    <w:rsid w:val="00F03356"/>
    <w:rsid w:val="00F05633"/>
    <w:rsid w:val="00F06CB4"/>
    <w:rsid w:val="00F10B4F"/>
    <w:rsid w:val="00F142F6"/>
    <w:rsid w:val="00F1750B"/>
    <w:rsid w:val="00F4288E"/>
    <w:rsid w:val="00F4567E"/>
    <w:rsid w:val="00F51077"/>
    <w:rsid w:val="00F5404A"/>
    <w:rsid w:val="00F55CDE"/>
    <w:rsid w:val="00F61948"/>
    <w:rsid w:val="00F62AB8"/>
    <w:rsid w:val="00F63C27"/>
    <w:rsid w:val="00F63FB7"/>
    <w:rsid w:val="00F6418F"/>
    <w:rsid w:val="00F64953"/>
    <w:rsid w:val="00F64F38"/>
    <w:rsid w:val="00F66941"/>
    <w:rsid w:val="00F750D9"/>
    <w:rsid w:val="00F81044"/>
    <w:rsid w:val="00F816B5"/>
    <w:rsid w:val="00F84323"/>
    <w:rsid w:val="00F85E74"/>
    <w:rsid w:val="00F95B65"/>
    <w:rsid w:val="00F97D6D"/>
    <w:rsid w:val="00FA1C8B"/>
    <w:rsid w:val="00FA1E52"/>
    <w:rsid w:val="00FB02E1"/>
    <w:rsid w:val="00FB0E7D"/>
    <w:rsid w:val="00FB36F1"/>
    <w:rsid w:val="00FC0A93"/>
    <w:rsid w:val="00FC15C0"/>
    <w:rsid w:val="00FC24EC"/>
    <w:rsid w:val="00FC474A"/>
    <w:rsid w:val="00FC6E82"/>
    <w:rsid w:val="00FD0BA7"/>
    <w:rsid w:val="00FD3BA1"/>
    <w:rsid w:val="00FD7CC7"/>
    <w:rsid w:val="00FE60A5"/>
    <w:rsid w:val="00FE7F12"/>
    <w:rsid w:val="00FF2B75"/>
    <w:rsid w:val="00FF3E65"/>
    <w:rsid w:val="00FF5747"/>
    <w:rsid w:val="00FF5BC1"/>
    <w:rsid w:val="00FF7B2F"/>
    <w:rsid w:val="2C20E195"/>
    <w:rsid w:val="6F8CED6C"/>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8F967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A32FD"/>
    <w:pPr>
      <w:spacing w:after="160" w:line="259" w:lineRule="auto"/>
    </w:pPr>
  </w:style>
  <w:style w:type="paragraph" w:styleId="Heading1">
    <w:name w:val="heading 1"/>
    <w:basedOn w:val="Normal"/>
    <w:next w:val="Normal"/>
    <w:link w:val="Heading1Char"/>
    <w:uiPriority w:val="9"/>
    <w:qFormat/>
    <w:rsid w:val="008A32F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8A32F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8A32F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32FD"/>
    <w:pPr>
      <w:ind w:left="720"/>
      <w:contextualSpacing/>
    </w:pPr>
  </w:style>
  <w:style w:type="character" w:customStyle="1" w:styleId="Heading1Char">
    <w:name w:val="Heading 1 Char"/>
    <w:basedOn w:val="DefaultParagraphFont"/>
    <w:link w:val="Heading1"/>
    <w:uiPriority w:val="9"/>
    <w:rsid w:val="008A32FD"/>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8A32FD"/>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8A32FD"/>
    <w:rPr>
      <w:rFonts w:asciiTheme="majorHAnsi" w:eastAsiaTheme="majorEastAsia" w:hAnsiTheme="majorHAnsi" w:cstheme="majorBidi"/>
      <w:color w:val="243F60" w:themeColor="accent1" w:themeShade="7F"/>
      <w:sz w:val="24"/>
      <w:szCs w:val="24"/>
    </w:rPr>
  </w:style>
  <w:style w:type="paragraph" w:customStyle="1" w:styleId="NoSpacing1">
    <w:name w:val="No Spacing1"/>
    <w:uiPriority w:val="1"/>
    <w:qFormat/>
    <w:rsid w:val="008A32FD"/>
    <w:pPr>
      <w:spacing w:after="0" w:line="240" w:lineRule="auto"/>
    </w:pPr>
    <w:rPr>
      <w:rFonts w:ascii="Calibri" w:eastAsia="Calibri" w:hAnsi="Calibri" w:cs="Times New Roman"/>
      <w:lang w:val="en-CA"/>
    </w:rPr>
  </w:style>
  <w:style w:type="character" w:styleId="CommentReference">
    <w:name w:val="annotation reference"/>
    <w:basedOn w:val="DefaultParagraphFont"/>
    <w:uiPriority w:val="99"/>
    <w:semiHidden/>
    <w:unhideWhenUsed/>
    <w:rsid w:val="00122C91"/>
    <w:rPr>
      <w:sz w:val="16"/>
      <w:szCs w:val="16"/>
    </w:rPr>
  </w:style>
  <w:style w:type="paragraph" w:styleId="CommentText">
    <w:name w:val="annotation text"/>
    <w:basedOn w:val="Normal"/>
    <w:link w:val="CommentTextChar"/>
    <w:uiPriority w:val="99"/>
    <w:unhideWhenUsed/>
    <w:rsid w:val="00122C91"/>
    <w:pPr>
      <w:spacing w:line="240" w:lineRule="auto"/>
    </w:pPr>
    <w:rPr>
      <w:sz w:val="20"/>
      <w:szCs w:val="20"/>
    </w:rPr>
  </w:style>
  <w:style w:type="character" w:customStyle="1" w:styleId="CommentTextChar">
    <w:name w:val="Comment Text Char"/>
    <w:basedOn w:val="DefaultParagraphFont"/>
    <w:link w:val="CommentText"/>
    <w:uiPriority w:val="99"/>
    <w:rsid w:val="00122C91"/>
    <w:rPr>
      <w:sz w:val="20"/>
      <w:szCs w:val="20"/>
    </w:rPr>
  </w:style>
  <w:style w:type="paragraph" w:styleId="CommentSubject">
    <w:name w:val="annotation subject"/>
    <w:basedOn w:val="CommentText"/>
    <w:next w:val="CommentText"/>
    <w:link w:val="CommentSubjectChar"/>
    <w:uiPriority w:val="99"/>
    <w:semiHidden/>
    <w:unhideWhenUsed/>
    <w:rsid w:val="00122C91"/>
    <w:rPr>
      <w:b/>
      <w:bCs/>
    </w:rPr>
  </w:style>
  <w:style w:type="character" w:customStyle="1" w:styleId="CommentSubjectChar">
    <w:name w:val="Comment Subject Char"/>
    <w:basedOn w:val="CommentTextChar"/>
    <w:link w:val="CommentSubject"/>
    <w:uiPriority w:val="99"/>
    <w:semiHidden/>
    <w:rsid w:val="00122C91"/>
    <w:rPr>
      <w:b/>
      <w:bCs/>
      <w:sz w:val="20"/>
      <w:szCs w:val="20"/>
    </w:rPr>
  </w:style>
  <w:style w:type="paragraph" w:styleId="BalloonText">
    <w:name w:val="Balloon Text"/>
    <w:basedOn w:val="Normal"/>
    <w:link w:val="BalloonTextChar"/>
    <w:uiPriority w:val="99"/>
    <w:semiHidden/>
    <w:unhideWhenUsed/>
    <w:rsid w:val="00122C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2C91"/>
    <w:rPr>
      <w:rFonts w:ascii="Tahoma" w:hAnsi="Tahoma" w:cs="Tahoma"/>
      <w:sz w:val="16"/>
      <w:szCs w:val="16"/>
    </w:rPr>
  </w:style>
  <w:style w:type="paragraph" w:styleId="Revision">
    <w:name w:val="Revision"/>
    <w:hidden/>
    <w:uiPriority w:val="99"/>
    <w:semiHidden/>
    <w:rsid w:val="001B42CF"/>
    <w:pPr>
      <w:spacing w:after="0" w:line="240" w:lineRule="auto"/>
    </w:pPr>
  </w:style>
  <w:style w:type="character" w:styleId="Hyperlink">
    <w:name w:val="Hyperlink"/>
    <w:basedOn w:val="DefaultParagraphFont"/>
    <w:uiPriority w:val="99"/>
    <w:unhideWhenUsed/>
    <w:rsid w:val="006C22E1"/>
    <w:rPr>
      <w:color w:val="0000FF" w:themeColor="hyperlink"/>
      <w:u w:val="single"/>
    </w:rPr>
  </w:style>
  <w:style w:type="table" w:styleId="TableGrid">
    <w:name w:val="Table Grid"/>
    <w:basedOn w:val="TableNormal"/>
    <w:uiPriority w:val="39"/>
    <w:rsid w:val="001F04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F3BD8"/>
    <w:pPr>
      <w:tabs>
        <w:tab w:val="center" w:pos="4680"/>
        <w:tab w:val="right" w:pos="9360"/>
      </w:tabs>
      <w:spacing w:after="200" w:line="276" w:lineRule="auto"/>
    </w:pPr>
    <w:rPr>
      <w:rFonts w:ascii="Calibri" w:eastAsia="Calibri" w:hAnsi="Calibri" w:cs="Times New Roman"/>
      <w:lang w:val="en-CA"/>
    </w:rPr>
  </w:style>
  <w:style w:type="character" w:customStyle="1" w:styleId="HeaderChar">
    <w:name w:val="Header Char"/>
    <w:basedOn w:val="DefaultParagraphFont"/>
    <w:link w:val="Header"/>
    <w:uiPriority w:val="99"/>
    <w:rsid w:val="00DF3BD8"/>
    <w:rPr>
      <w:rFonts w:ascii="Calibri" w:eastAsia="Calibri" w:hAnsi="Calibri" w:cs="Times New Roman"/>
      <w:lang w:val="en-CA"/>
    </w:rPr>
  </w:style>
  <w:style w:type="paragraph" w:styleId="Footer">
    <w:name w:val="footer"/>
    <w:basedOn w:val="Normal"/>
    <w:link w:val="FooterChar"/>
    <w:uiPriority w:val="99"/>
    <w:unhideWhenUsed/>
    <w:rsid w:val="00DF3BD8"/>
    <w:pPr>
      <w:tabs>
        <w:tab w:val="center" w:pos="4680"/>
        <w:tab w:val="right" w:pos="9360"/>
      </w:tabs>
      <w:spacing w:after="200" w:line="276" w:lineRule="auto"/>
    </w:pPr>
    <w:rPr>
      <w:rFonts w:ascii="Calibri" w:eastAsia="Calibri" w:hAnsi="Calibri" w:cs="Times New Roman"/>
      <w:lang w:val="en-CA"/>
    </w:rPr>
  </w:style>
  <w:style w:type="character" w:customStyle="1" w:styleId="FooterChar">
    <w:name w:val="Footer Char"/>
    <w:basedOn w:val="DefaultParagraphFont"/>
    <w:link w:val="Footer"/>
    <w:uiPriority w:val="99"/>
    <w:rsid w:val="00DF3BD8"/>
    <w:rPr>
      <w:rFonts w:ascii="Calibri" w:eastAsia="Calibri" w:hAnsi="Calibri" w:cs="Times New Roman"/>
      <w:lang w:val="en-CA"/>
    </w:rPr>
  </w:style>
  <w:style w:type="character" w:styleId="PageNumber">
    <w:name w:val="page number"/>
    <w:uiPriority w:val="99"/>
    <w:semiHidden/>
    <w:unhideWhenUsed/>
    <w:rsid w:val="00DF3BD8"/>
  </w:style>
  <w:style w:type="character" w:styleId="FollowedHyperlink">
    <w:name w:val="FollowedHyperlink"/>
    <w:basedOn w:val="DefaultParagraphFont"/>
    <w:uiPriority w:val="99"/>
    <w:semiHidden/>
    <w:unhideWhenUsed/>
    <w:rsid w:val="001D061A"/>
    <w:rPr>
      <w:color w:val="800080" w:themeColor="followedHyperlink"/>
      <w:u w:val="single"/>
    </w:rPr>
  </w:style>
  <w:style w:type="paragraph" w:customStyle="1" w:styleId="Normal1">
    <w:name w:val="Normal1"/>
    <w:rsid w:val="00A1043A"/>
    <w:pPr>
      <w:spacing w:after="0" w:line="240" w:lineRule="auto"/>
    </w:pPr>
    <w:rPr>
      <w:rFonts w:ascii="Cambria" w:eastAsia="Cambria" w:hAnsi="Cambria" w:cs="Cambria"/>
      <w:color w:val="000000"/>
      <w:sz w:val="24"/>
      <w:szCs w:val="24"/>
    </w:rPr>
  </w:style>
  <w:style w:type="paragraph" w:styleId="NormalWeb">
    <w:name w:val="Normal (Web)"/>
    <w:basedOn w:val="Normal"/>
    <w:uiPriority w:val="99"/>
    <w:semiHidden/>
    <w:unhideWhenUsed/>
    <w:rsid w:val="00DD789A"/>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D789A"/>
    <w:rPr>
      <w:b/>
      <w:bCs/>
    </w:rPr>
  </w:style>
  <w:style w:type="character" w:styleId="Emphasis">
    <w:name w:val="Emphasis"/>
    <w:basedOn w:val="DefaultParagraphFont"/>
    <w:uiPriority w:val="20"/>
    <w:qFormat/>
    <w:rsid w:val="00DD789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549484">
      <w:bodyDiv w:val="1"/>
      <w:marLeft w:val="0"/>
      <w:marRight w:val="0"/>
      <w:marTop w:val="0"/>
      <w:marBottom w:val="0"/>
      <w:divBdr>
        <w:top w:val="none" w:sz="0" w:space="0" w:color="auto"/>
        <w:left w:val="none" w:sz="0" w:space="0" w:color="auto"/>
        <w:bottom w:val="none" w:sz="0" w:space="0" w:color="auto"/>
        <w:right w:val="none" w:sz="0" w:space="0" w:color="auto"/>
      </w:divBdr>
    </w:div>
    <w:div w:id="1137145840">
      <w:bodyDiv w:val="1"/>
      <w:marLeft w:val="0"/>
      <w:marRight w:val="0"/>
      <w:marTop w:val="0"/>
      <w:marBottom w:val="0"/>
      <w:divBdr>
        <w:top w:val="none" w:sz="0" w:space="0" w:color="auto"/>
        <w:left w:val="none" w:sz="0" w:space="0" w:color="auto"/>
        <w:bottom w:val="none" w:sz="0" w:space="0" w:color="auto"/>
        <w:right w:val="none" w:sz="0" w:space="0" w:color="auto"/>
      </w:divBdr>
    </w:div>
    <w:div w:id="1297760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3174A7-DB56-4E4A-B046-7D0B6C7F96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6</Pages>
  <Words>7427</Words>
  <Characters>42337</Characters>
  <Application>Microsoft Macintosh Word</Application>
  <DocSecurity>0</DocSecurity>
  <Lines>352</Lines>
  <Paragraphs>99</Paragraphs>
  <ScaleCrop>false</ScaleCrop>
  <HeadingPairs>
    <vt:vector size="2" baseType="variant">
      <vt:variant>
        <vt:lpstr>Title</vt:lpstr>
      </vt:variant>
      <vt:variant>
        <vt:i4>1</vt:i4>
      </vt:variant>
    </vt:vector>
  </HeadingPairs>
  <TitlesOfParts>
    <vt:vector size="1" baseType="lpstr">
      <vt:lpstr/>
    </vt:vector>
  </TitlesOfParts>
  <Company>The Ottawa Hospital</Company>
  <LinksUpToDate>false</LinksUpToDate>
  <CharactersWithSpaces>49665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Etherington, Nicole</dc:creator>
  <cp:lastModifiedBy>Nicole Etherington</cp:lastModifiedBy>
  <cp:revision>9</cp:revision>
  <dcterms:created xsi:type="dcterms:W3CDTF">2017-11-09T21:24:00Z</dcterms:created>
  <dcterms:modified xsi:type="dcterms:W3CDTF">2017-11-09T21:56:00Z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43793c76-88b3-31ed-9fd9-0a1bdff765b4</vt:lpwstr>
  </property>
  <property fmtid="{D5CDD505-2E9C-101B-9397-08002B2CF9AE}" pid="4" name="Mendeley Citation Style_1">
    <vt:lpwstr>http://www.zotero.org/styles/american-medical-association</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