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920C8" w14:textId="16D403DB" w:rsidR="008A32FD" w:rsidRPr="00A556CC" w:rsidRDefault="00B44603" w:rsidP="004E75D7">
      <w:pPr>
        <w:spacing w:after="0" w:line="240" w:lineRule="auto"/>
        <w:contextualSpacing/>
        <w:rPr>
          <w:rFonts w:ascii="Times New Roman" w:hAnsi="Times New Roman" w:cs="Times New Roman"/>
          <w:b/>
          <w:color w:val="000000" w:themeColor="text1"/>
          <w:sz w:val="24"/>
          <w:szCs w:val="24"/>
        </w:rPr>
      </w:pPr>
      <w:r w:rsidRPr="00A556CC">
        <w:rPr>
          <w:rFonts w:ascii="Times New Roman" w:hAnsi="Times New Roman" w:cs="Times New Roman"/>
          <w:b/>
          <w:color w:val="000000" w:themeColor="text1"/>
          <w:sz w:val="24"/>
          <w:szCs w:val="24"/>
        </w:rPr>
        <w:t xml:space="preserve">Measuring </w:t>
      </w:r>
      <w:r w:rsidR="00C30F2B" w:rsidRPr="00A556CC">
        <w:rPr>
          <w:rFonts w:ascii="Times New Roman" w:hAnsi="Times New Roman" w:cs="Times New Roman"/>
          <w:b/>
          <w:color w:val="000000" w:themeColor="text1"/>
          <w:sz w:val="24"/>
          <w:szCs w:val="24"/>
        </w:rPr>
        <w:t>non-technical skills</w:t>
      </w:r>
      <w:r w:rsidR="00821A02" w:rsidRPr="00A556CC">
        <w:rPr>
          <w:rFonts w:ascii="Times New Roman" w:hAnsi="Times New Roman" w:cs="Times New Roman"/>
          <w:b/>
          <w:color w:val="000000" w:themeColor="text1"/>
          <w:sz w:val="24"/>
          <w:szCs w:val="24"/>
        </w:rPr>
        <w:t xml:space="preserve"> of anesthesiologists</w:t>
      </w:r>
      <w:r w:rsidR="00C30F2B" w:rsidRPr="00A556CC">
        <w:rPr>
          <w:rFonts w:ascii="Times New Roman" w:hAnsi="Times New Roman" w:cs="Times New Roman"/>
          <w:b/>
          <w:color w:val="000000" w:themeColor="text1"/>
          <w:sz w:val="24"/>
          <w:szCs w:val="24"/>
        </w:rPr>
        <w:t xml:space="preserve"> in the operating room</w:t>
      </w:r>
      <w:r w:rsidR="008A32FD" w:rsidRPr="00A556CC">
        <w:rPr>
          <w:rFonts w:ascii="Times New Roman" w:hAnsi="Times New Roman" w:cs="Times New Roman"/>
          <w:b/>
          <w:color w:val="000000" w:themeColor="text1"/>
          <w:sz w:val="24"/>
          <w:szCs w:val="24"/>
        </w:rPr>
        <w:t>: A systematic review of assessment tools</w:t>
      </w:r>
      <w:r w:rsidR="00874AA9" w:rsidRPr="00A556CC">
        <w:rPr>
          <w:rFonts w:ascii="Times New Roman" w:hAnsi="Times New Roman" w:cs="Times New Roman"/>
          <w:b/>
          <w:color w:val="000000" w:themeColor="text1"/>
          <w:sz w:val="24"/>
          <w:szCs w:val="24"/>
        </w:rPr>
        <w:t xml:space="preserve"> and their </w:t>
      </w:r>
      <w:r w:rsidR="009E604D" w:rsidRPr="00A556CC">
        <w:rPr>
          <w:rFonts w:ascii="Times New Roman" w:hAnsi="Times New Roman" w:cs="Times New Roman"/>
          <w:b/>
          <w:color w:val="000000" w:themeColor="text1"/>
          <w:sz w:val="24"/>
          <w:szCs w:val="24"/>
        </w:rPr>
        <w:t>measurement</w:t>
      </w:r>
      <w:r w:rsidR="00874AA9" w:rsidRPr="00A556CC">
        <w:rPr>
          <w:rFonts w:ascii="Times New Roman" w:hAnsi="Times New Roman" w:cs="Times New Roman"/>
          <w:b/>
          <w:color w:val="000000" w:themeColor="text1"/>
          <w:sz w:val="24"/>
          <w:szCs w:val="24"/>
        </w:rPr>
        <w:t xml:space="preserve"> properties</w:t>
      </w:r>
    </w:p>
    <w:p w14:paraId="0FDD64F7" w14:textId="77777777" w:rsidR="008A32FD" w:rsidRPr="00B44716" w:rsidRDefault="008A32FD" w:rsidP="004E75D7">
      <w:pPr>
        <w:spacing w:after="0" w:line="240" w:lineRule="auto"/>
        <w:contextualSpacing/>
        <w:rPr>
          <w:rFonts w:ascii="Times New Roman" w:hAnsi="Times New Roman" w:cs="Times New Roman"/>
          <w:b/>
          <w:color w:val="000000" w:themeColor="text1"/>
          <w:sz w:val="24"/>
          <w:szCs w:val="24"/>
        </w:rPr>
      </w:pPr>
    </w:p>
    <w:p w14:paraId="3A25C3B9" w14:textId="74EAB61A" w:rsidR="00775426" w:rsidRDefault="00A556CC" w:rsidP="004E75D7">
      <w:pPr>
        <w:spacing w:after="0" w:line="24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Start Date and Anticipated Completion Date</w:t>
      </w:r>
    </w:p>
    <w:p w14:paraId="31D9359E" w14:textId="4FF3B43A" w:rsidR="00A556CC" w:rsidRDefault="00A556CC" w:rsidP="004E75D7">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October 2017-June 2018</w:t>
      </w:r>
    </w:p>
    <w:p w14:paraId="6B58FD20" w14:textId="77777777" w:rsidR="00A556CC" w:rsidRDefault="00A556CC" w:rsidP="004E75D7">
      <w:pPr>
        <w:spacing w:after="0" w:line="240" w:lineRule="auto"/>
        <w:contextualSpacing/>
        <w:rPr>
          <w:rFonts w:ascii="Times New Roman" w:hAnsi="Times New Roman" w:cs="Times New Roman"/>
          <w:color w:val="000000" w:themeColor="text1"/>
          <w:sz w:val="24"/>
          <w:szCs w:val="24"/>
        </w:rPr>
      </w:pPr>
    </w:p>
    <w:p w14:paraId="5EA4AF70" w14:textId="5A4CCD63" w:rsidR="00A556CC" w:rsidRPr="00A556CC" w:rsidRDefault="00A556CC" w:rsidP="004E75D7">
      <w:pPr>
        <w:spacing w:after="0" w:line="24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Principal Investigator/Guarantor of Review</w:t>
      </w:r>
    </w:p>
    <w:p w14:paraId="73EDF3E9" w14:textId="77777777" w:rsidR="00A556CC" w:rsidRDefault="00A556CC" w:rsidP="004E75D7">
      <w:pPr>
        <w:spacing w:after="0" w:line="240" w:lineRule="auto"/>
        <w:contextualSpacing/>
        <w:rPr>
          <w:rFonts w:ascii="Times New Roman" w:hAnsi="Times New Roman"/>
          <w:sz w:val="24"/>
          <w:szCs w:val="24"/>
        </w:rPr>
      </w:pPr>
      <w:r w:rsidRPr="00383FCC">
        <w:rPr>
          <w:rFonts w:ascii="Times New Roman" w:hAnsi="Times New Roman"/>
          <w:sz w:val="24"/>
          <w:szCs w:val="24"/>
        </w:rPr>
        <w:t>Sylvain Boet, MD, PhD, Department of An</w:t>
      </w:r>
      <w:r>
        <w:rPr>
          <w:rFonts w:ascii="Times New Roman" w:hAnsi="Times New Roman"/>
          <w:sz w:val="24"/>
          <w:szCs w:val="24"/>
        </w:rPr>
        <w:t>esthesiology and Pain Medicine</w:t>
      </w:r>
    </w:p>
    <w:p w14:paraId="0A3B969F" w14:textId="77777777" w:rsidR="00A556CC" w:rsidRDefault="00A556CC" w:rsidP="004E75D7">
      <w:pPr>
        <w:spacing w:after="0" w:line="240" w:lineRule="auto"/>
        <w:contextualSpacing/>
        <w:rPr>
          <w:rFonts w:ascii="Times New Roman" w:hAnsi="Times New Roman"/>
          <w:sz w:val="24"/>
          <w:szCs w:val="24"/>
        </w:rPr>
      </w:pPr>
      <w:r w:rsidRPr="00383FCC">
        <w:rPr>
          <w:rFonts w:ascii="Times New Roman" w:hAnsi="Times New Roman"/>
          <w:sz w:val="24"/>
          <w:szCs w:val="24"/>
        </w:rPr>
        <w:t>The O</w:t>
      </w:r>
      <w:r>
        <w:rPr>
          <w:rFonts w:ascii="Times New Roman" w:hAnsi="Times New Roman"/>
          <w:sz w:val="24"/>
          <w:szCs w:val="24"/>
        </w:rPr>
        <w:t>ttawa Hospital, General Campus</w:t>
      </w:r>
    </w:p>
    <w:p w14:paraId="1F117D3D" w14:textId="77777777" w:rsidR="00A556CC" w:rsidRDefault="00A556CC" w:rsidP="004E75D7">
      <w:pPr>
        <w:spacing w:after="0" w:line="240" w:lineRule="auto"/>
        <w:contextualSpacing/>
        <w:rPr>
          <w:rFonts w:ascii="Times New Roman" w:hAnsi="Times New Roman"/>
          <w:sz w:val="24"/>
          <w:szCs w:val="24"/>
        </w:rPr>
      </w:pPr>
      <w:r w:rsidRPr="00383FCC">
        <w:rPr>
          <w:rFonts w:ascii="Times New Roman" w:hAnsi="Times New Roman"/>
          <w:sz w:val="24"/>
          <w:szCs w:val="24"/>
        </w:rPr>
        <w:t>501 Smy</w:t>
      </w:r>
      <w:r>
        <w:rPr>
          <w:rFonts w:ascii="Times New Roman" w:hAnsi="Times New Roman"/>
          <w:sz w:val="24"/>
          <w:szCs w:val="24"/>
        </w:rPr>
        <w:t>th Rd, Critical Care Wing 1401</w:t>
      </w:r>
    </w:p>
    <w:p w14:paraId="642DFEC3" w14:textId="6605ACBF" w:rsidR="00A556CC" w:rsidRDefault="00A556CC" w:rsidP="004E75D7">
      <w:pPr>
        <w:spacing w:after="0" w:line="240" w:lineRule="auto"/>
        <w:contextualSpacing/>
        <w:rPr>
          <w:rFonts w:ascii="Times New Roman" w:hAnsi="Times New Roman"/>
          <w:sz w:val="24"/>
          <w:szCs w:val="24"/>
        </w:rPr>
      </w:pPr>
      <w:r>
        <w:rPr>
          <w:rFonts w:ascii="Times New Roman" w:hAnsi="Times New Roman"/>
          <w:sz w:val="24"/>
          <w:szCs w:val="24"/>
        </w:rPr>
        <w:t xml:space="preserve">Ottawa, Ontario </w:t>
      </w:r>
      <w:r w:rsidRPr="00383FCC">
        <w:rPr>
          <w:rFonts w:ascii="Times New Roman" w:hAnsi="Times New Roman"/>
          <w:sz w:val="24"/>
          <w:szCs w:val="24"/>
        </w:rPr>
        <w:t>K1H 8L6</w:t>
      </w:r>
    </w:p>
    <w:p w14:paraId="4F70329E" w14:textId="41C3DD13" w:rsidR="00A556CC" w:rsidRDefault="00A556CC" w:rsidP="004E75D7">
      <w:pPr>
        <w:spacing w:after="0" w:line="240" w:lineRule="auto"/>
        <w:contextualSpacing/>
        <w:rPr>
          <w:rFonts w:ascii="Times New Roman" w:hAnsi="Times New Roman"/>
          <w:sz w:val="24"/>
          <w:szCs w:val="24"/>
        </w:rPr>
      </w:pPr>
      <w:r w:rsidRPr="00A556CC">
        <w:rPr>
          <w:rFonts w:ascii="Times New Roman" w:hAnsi="Times New Roman"/>
          <w:sz w:val="24"/>
          <w:szCs w:val="24"/>
        </w:rPr>
        <w:t>sboet@toh.</w:t>
      </w:r>
      <w:r w:rsidRPr="00A556CC">
        <w:rPr>
          <w:rFonts w:ascii="Times New Roman" w:hAnsi="Times New Roman"/>
          <w:sz w:val="24"/>
          <w:szCs w:val="24"/>
        </w:rPr>
        <w:t>c</w:t>
      </w:r>
      <w:r w:rsidRPr="00A556CC">
        <w:rPr>
          <w:rFonts w:ascii="Times New Roman" w:hAnsi="Times New Roman"/>
          <w:sz w:val="24"/>
          <w:szCs w:val="24"/>
        </w:rPr>
        <w:t>a</w:t>
      </w:r>
    </w:p>
    <w:p w14:paraId="02C1112E" w14:textId="77777777" w:rsidR="00A556CC" w:rsidRDefault="00A556CC" w:rsidP="004E75D7">
      <w:pPr>
        <w:spacing w:after="0" w:line="240" w:lineRule="auto"/>
        <w:contextualSpacing/>
        <w:rPr>
          <w:rFonts w:ascii="Times New Roman" w:hAnsi="Times New Roman" w:cs="Times New Roman"/>
          <w:color w:val="000000" w:themeColor="text1"/>
          <w:sz w:val="24"/>
          <w:szCs w:val="24"/>
        </w:rPr>
      </w:pPr>
    </w:p>
    <w:p w14:paraId="1E52C792" w14:textId="04C2A2F3" w:rsidR="00A556CC" w:rsidRPr="00A556CC" w:rsidRDefault="00A556CC" w:rsidP="004E75D7">
      <w:pPr>
        <w:spacing w:after="0" w:line="24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Review Team Members and Organizational Affiliations </w:t>
      </w:r>
    </w:p>
    <w:p w14:paraId="402D80AE" w14:textId="70AD7ED7" w:rsidR="00F63C27" w:rsidRDefault="00F63FB7" w:rsidP="004E75D7">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Sarah Larrigan, BSc (Candidate) – University of Ottawa </w:t>
      </w:r>
    </w:p>
    <w:p w14:paraId="7BBB83DB" w14:textId="0E87D94E" w:rsidR="006D6B74" w:rsidRDefault="00347654" w:rsidP="006D6B74">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Leonardo Calderon</w:t>
      </w:r>
      <w:r w:rsidR="004A3B3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MD Candidate</w:t>
      </w:r>
      <w:r w:rsidR="004A3B3D">
        <w:rPr>
          <w:rFonts w:ascii="Times New Roman" w:hAnsi="Times New Roman" w:cs="Times New Roman"/>
          <w:color w:val="000000" w:themeColor="text1"/>
          <w:sz w:val="24"/>
          <w:szCs w:val="24"/>
        </w:rPr>
        <w:t xml:space="preserve"> </w:t>
      </w:r>
      <w:r w:rsidR="00A556CC">
        <w:rPr>
          <w:rFonts w:ascii="Times New Roman" w:hAnsi="Times New Roman" w:cs="Times New Roman"/>
          <w:color w:val="000000" w:themeColor="text1"/>
          <w:sz w:val="24"/>
          <w:szCs w:val="24"/>
        </w:rPr>
        <w:t>–</w:t>
      </w:r>
      <w:r w:rsidR="004A3B3D">
        <w:rPr>
          <w:rFonts w:ascii="Times New Roman" w:hAnsi="Times New Roman" w:cs="Times New Roman"/>
          <w:color w:val="000000" w:themeColor="text1"/>
          <w:sz w:val="24"/>
          <w:szCs w:val="24"/>
        </w:rPr>
        <w:t xml:space="preserve"> </w:t>
      </w:r>
      <w:r w:rsidR="00A556CC">
        <w:rPr>
          <w:rFonts w:ascii="Times New Roman" w:hAnsi="Times New Roman" w:cs="Times New Roman"/>
          <w:color w:val="000000" w:themeColor="text1"/>
          <w:sz w:val="24"/>
          <w:szCs w:val="24"/>
        </w:rPr>
        <w:t>University of Ottawa</w:t>
      </w:r>
      <w:r w:rsidR="006D6B74">
        <w:rPr>
          <w:rFonts w:ascii="Times New Roman" w:hAnsi="Times New Roman" w:cs="Times New Roman"/>
          <w:color w:val="000000" w:themeColor="text1"/>
          <w:sz w:val="24"/>
          <w:szCs w:val="24"/>
        </w:rPr>
        <w:t xml:space="preserve"> </w:t>
      </w:r>
    </w:p>
    <w:p w14:paraId="48EA9235" w14:textId="46E8562E" w:rsidR="009E2E88" w:rsidRDefault="004A3B3D" w:rsidP="004E75D7">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Henry Liu, MD Candidate - University of Ottawa</w:t>
      </w:r>
    </w:p>
    <w:p w14:paraId="2A1A2EF9" w14:textId="39F1FFFF" w:rsidR="00350D1A" w:rsidRDefault="00350D1A" w:rsidP="00350D1A">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Katrina </w:t>
      </w:r>
      <w:r w:rsidR="00A62E83">
        <w:rPr>
          <w:rFonts w:ascii="Times New Roman" w:hAnsi="Times New Roman" w:cs="Times New Roman"/>
          <w:color w:val="000000" w:themeColor="text1"/>
          <w:sz w:val="24"/>
          <w:szCs w:val="24"/>
        </w:rPr>
        <w:t xml:space="preserve">J. </w:t>
      </w:r>
      <w:r>
        <w:rPr>
          <w:rFonts w:ascii="Times New Roman" w:hAnsi="Times New Roman" w:cs="Times New Roman"/>
          <w:color w:val="000000" w:themeColor="text1"/>
          <w:sz w:val="24"/>
          <w:szCs w:val="24"/>
        </w:rPr>
        <w:t xml:space="preserve">Sullivan, </w:t>
      </w:r>
      <w:r w:rsidR="00F63FB7">
        <w:rPr>
          <w:rFonts w:ascii="Times New Roman" w:hAnsi="Times New Roman" w:cs="Times New Roman"/>
          <w:color w:val="000000" w:themeColor="text1"/>
          <w:sz w:val="24"/>
          <w:szCs w:val="24"/>
        </w:rPr>
        <w:t>MSc</w:t>
      </w:r>
      <w:r>
        <w:rPr>
          <w:rFonts w:ascii="Times New Roman" w:hAnsi="Times New Roman" w:cs="Times New Roman"/>
          <w:color w:val="000000" w:themeColor="text1"/>
          <w:sz w:val="24"/>
          <w:szCs w:val="24"/>
        </w:rPr>
        <w:t xml:space="preserve"> – The Ottawa Hospital </w:t>
      </w:r>
      <w:r w:rsidR="00A556CC">
        <w:rPr>
          <w:rFonts w:ascii="Times New Roman" w:hAnsi="Times New Roman" w:cs="Times New Roman"/>
          <w:color w:val="000000" w:themeColor="text1"/>
          <w:sz w:val="24"/>
          <w:szCs w:val="24"/>
        </w:rPr>
        <w:t>Research Institute</w:t>
      </w:r>
    </w:p>
    <w:p w14:paraId="14DF14E6" w14:textId="13F6AA90" w:rsidR="0050399D" w:rsidRPr="00B44716" w:rsidRDefault="0050399D" w:rsidP="0050399D">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Nicole Etherington, PhD – The Ottawa Hospital </w:t>
      </w:r>
      <w:r w:rsidR="00A556CC">
        <w:rPr>
          <w:rFonts w:ascii="Times New Roman" w:hAnsi="Times New Roman" w:cs="Times New Roman"/>
          <w:color w:val="000000" w:themeColor="text1"/>
          <w:sz w:val="24"/>
          <w:szCs w:val="24"/>
        </w:rPr>
        <w:t>Research Institute</w:t>
      </w:r>
    </w:p>
    <w:p w14:paraId="6A523B9E" w14:textId="77777777" w:rsidR="008A32FD" w:rsidRPr="00B44716" w:rsidRDefault="008A32FD" w:rsidP="004E75D7">
      <w:pPr>
        <w:spacing w:after="0" w:line="240" w:lineRule="auto"/>
        <w:contextualSpacing/>
        <w:rPr>
          <w:rFonts w:ascii="Times New Roman" w:hAnsi="Times New Roman" w:cs="Times New Roman"/>
          <w:color w:val="000000" w:themeColor="text1"/>
          <w:sz w:val="24"/>
          <w:szCs w:val="24"/>
        </w:rPr>
      </w:pPr>
    </w:p>
    <w:p w14:paraId="630F9F5C" w14:textId="77777777" w:rsidR="008A32FD" w:rsidRPr="00B44716" w:rsidRDefault="008A32FD" w:rsidP="004E75D7">
      <w:pPr>
        <w:spacing w:after="0" w:line="240" w:lineRule="auto"/>
        <w:contextualSpacing/>
        <w:rPr>
          <w:rFonts w:ascii="Times New Roman" w:hAnsi="Times New Roman" w:cs="Times New Roman"/>
          <w:color w:val="000000" w:themeColor="text1"/>
          <w:sz w:val="24"/>
          <w:szCs w:val="24"/>
        </w:rPr>
      </w:pPr>
    </w:p>
    <w:p w14:paraId="68917485" w14:textId="77777777" w:rsidR="008A32FD" w:rsidRPr="00B44716" w:rsidRDefault="008A32FD" w:rsidP="004E75D7">
      <w:pPr>
        <w:spacing w:after="0" w:line="240" w:lineRule="auto"/>
        <w:contextualSpacing/>
        <w:rPr>
          <w:rFonts w:ascii="Times New Roman" w:hAnsi="Times New Roman" w:cs="Times New Roman"/>
          <w:color w:val="000000" w:themeColor="text1"/>
          <w:sz w:val="24"/>
          <w:szCs w:val="24"/>
        </w:rPr>
      </w:pPr>
    </w:p>
    <w:p w14:paraId="0014FCE0" w14:textId="77777777" w:rsidR="008A32FD" w:rsidRPr="00B44716" w:rsidRDefault="008A32FD" w:rsidP="004E75D7">
      <w:pPr>
        <w:spacing w:after="0" w:line="240" w:lineRule="auto"/>
        <w:contextualSpacing/>
        <w:rPr>
          <w:rFonts w:ascii="Times New Roman" w:hAnsi="Times New Roman" w:cs="Times New Roman"/>
          <w:color w:val="000000" w:themeColor="text1"/>
          <w:sz w:val="24"/>
          <w:szCs w:val="24"/>
        </w:rPr>
      </w:pPr>
    </w:p>
    <w:p w14:paraId="4E1190BB" w14:textId="7576795A" w:rsidR="00DF3BD8" w:rsidRPr="00F63FB7" w:rsidRDefault="00DF3BD8" w:rsidP="004E75D7">
      <w:pPr>
        <w:spacing w:after="0" w:line="240" w:lineRule="auto"/>
        <w:contextualSpacing/>
        <w:rPr>
          <w:rFonts w:ascii="Times New Roman" w:hAnsi="Times New Roman" w:cs="Times New Roman"/>
          <w:b/>
          <w:color w:val="000000" w:themeColor="text1"/>
          <w:sz w:val="24"/>
          <w:szCs w:val="24"/>
        </w:rPr>
      </w:pPr>
    </w:p>
    <w:p w14:paraId="3865F187" w14:textId="77777777" w:rsidR="008A32FD" w:rsidRDefault="008A32FD" w:rsidP="004E75D7">
      <w:pPr>
        <w:spacing w:after="0" w:line="240" w:lineRule="auto"/>
        <w:contextualSpacing/>
        <w:rPr>
          <w:rFonts w:ascii="Times New Roman" w:eastAsia="MS Gothic" w:hAnsi="Times New Roman"/>
          <w:b/>
          <w:bCs/>
          <w:sz w:val="24"/>
          <w:szCs w:val="24"/>
        </w:rPr>
      </w:pPr>
    </w:p>
    <w:p w14:paraId="61913858" w14:textId="77777777" w:rsidR="00A556CC" w:rsidRDefault="00A556CC" w:rsidP="004E75D7">
      <w:pPr>
        <w:spacing w:after="0" w:line="240" w:lineRule="auto"/>
        <w:contextualSpacing/>
        <w:rPr>
          <w:rFonts w:ascii="Times New Roman" w:eastAsia="MS Gothic" w:hAnsi="Times New Roman"/>
          <w:b/>
          <w:bCs/>
          <w:sz w:val="24"/>
          <w:szCs w:val="24"/>
        </w:rPr>
      </w:pPr>
    </w:p>
    <w:p w14:paraId="1B2B72F8" w14:textId="77777777" w:rsidR="00A556CC" w:rsidRDefault="00A556CC" w:rsidP="004E75D7">
      <w:pPr>
        <w:spacing w:after="0" w:line="240" w:lineRule="auto"/>
        <w:contextualSpacing/>
        <w:rPr>
          <w:rFonts w:ascii="Times New Roman" w:eastAsia="MS Gothic" w:hAnsi="Times New Roman"/>
          <w:b/>
          <w:bCs/>
          <w:sz w:val="24"/>
          <w:szCs w:val="24"/>
        </w:rPr>
      </w:pPr>
    </w:p>
    <w:p w14:paraId="6CE65641" w14:textId="77777777" w:rsidR="00A556CC" w:rsidRDefault="00A556CC" w:rsidP="004E75D7">
      <w:pPr>
        <w:spacing w:after="0" w:line="240" w:lineRule="auto"/>
        <w:contextualSpacing/>
        <w:rPr>
          <w:rFonts w:ascii="Times New Roman" w:eastAsia="MS Gothic" w:hAnsi="Times New Roman"/>
          <w:b/>
          <w:bCs/>
          <w:sz w:val="24"/>
          <w:szCs w:val="24"/>
        </w:rPr>
      </w:pPr>
    </w:p>
    <w:p w14:paraId="5B87E45D" w14:textId="77777777" w:rsidR="00A556CC" w:rsidRDefault="00A556CC" w:rsidP="004E75D7">
      <w:pPr>
        <w:spacing w:after="0" w:line="240" w:lineRule="auto"/>
        <w:contextualSpacing/>
        <w:rPr>
          <w:rFonts w:ascii="Times New Roman" w:eastAsia="MS Gothic" w:hAnsi="Times New Roman"/>
          <w:b/>
          <w:bCs/>
          <w:sz w:val="24"/>
          <w:szCs w:val="24"/>
        </w:rPr>
      </w:pPr>
    </w:p>
    <w:p w14:paraId="07509B3B" w14:textId="77777777" w:rsidR="00A556CC" w:rsidRDefault="00A556CC" w:rsidP="004E75D7">
      <w:pPr>
        <w:spacing w:after="0" w:line="240" w:lineRule="auto"/>
        <w:contextualSpacing/>
        <w:rPr>
          <w:rFonts w:ascii="Times New Roman" w:eastAsia="MS Gothic" w:hAnsi="Times New Roman"/>
          <w:b/>
          <w:bCs/>
          <w:sz w:val="24"/>
          <w:szCs w:val="24"/>
        </w:rPr>
      </w:pPr>
    </w:p>
    <w:p w14:paraId="3A5FD8F0" w14:textId="77777777" w:rsidR="00A556CC" w:rsidRDefault="00A556CC" w:rsidP="004E75D7">
      <w:pPr>
        <w:spacing w:after="0" w:line="240" w:lineRule="auto"/>
        <w:contextualSpacing/>
        <w:rPr>
          <w:rFonts w:ascii="Times New Roman" w:eastAsia="MS Gothic" w:hAnsi="Times New Roman"/>
          <w:b/>
          <w:bCs/>
          <w:sz w:val="24"/>
          <w:szCs w:val="24"/>
        </w:rPr>
      </w:pPr>
    </w:p>
    <w:p w14:paraId="0A123300" w14:textId="77777777" w:rsidR="00A556CC" w:rsidRDefault="00A556CC" w:rsidP="004E75D7">
      <w:pPr>
        <w:spacing w:after="0" w:line="240" w:lineRule="auto"/>
        <w:contextualSpacing/>
        <w:rPr>
          <w:rFonts w:ascii="Times New Roman" w:eastAsia="MS Gothic" w:hAnsi="Times New Roman"/>
          <w:b/>
          <w:bCs/>
          <w:sz w:val="24"/>
          <w:szCs w:val="24"/>
        </w:rPr>
      </w:pPr>
    </w:p>
    <w:p w14:paraId="773B493C" w14:textId="77777777" w:rsidR="00A556CC" w:rsidRDefault="00A556CC" w:rsidP="004E75D7">
      <w:pPr>
        <w:spacing w:after="0" w:line="240" w:lineRule="auto"/>
        <w:contextualSpacing/>
        <w:rPr>
          <w:rFonts w:ascii="Times New Roman" w:eastAsia="MS Gothic" w:hAnsi="Times New Roman"/>
          <w:b/>
          <w:bCs/>
          <w:sz w:val="24"/>
          <w:szCs w:val="24"/>
        </w:rPr>
      </w:pPr>
    </w:p>
    <w:p w14:paraId="38757284" w14:textId="77777777" w:rsidR="00A556CC" w:rsidRDefault="00A556CC" w:rsidP="004E75D7">
      <w:pPr>
        <w:spacing w:after="0" w:line="240" w:lineRule="auto"/>
        <w:contextualSpacing/>
        <w:rPr>
          <w:rFonts w:ascii="Times New Roman" w:eastAsia="MS Gothic" w:hAnsi="Times New Roman"/>
          <w:b/>
          <w:bCs/>
          <w:sz w:val="24"/>
          <w:szCs w:val="24"/>
        </w:rPr>
      </w:pPr>
    </w:p>
    <w:p w14:paraId="0CB70534" w14:textId="77777777" w:rsidR="00A556CC" w:rsidRDefault="00A556CC" w:rsidP="004E75D7">
      <w:pPr>
        <w:spacing w:after="0" w:line="240" w:lineRule="auto"/>
        <w:contextualSpacing/>
        <w:rPr>
          <w:rFonts w:ascii="Times New Roman" w:eastAsia="MS Gothic" w:hAnsi="Times New Roman"/>
          <w:b/>
          <w:bCs/>
          <w:sz w:val="24"/>
          <w:szCs w:val="24"/>
        </w:rPr>
      </w:pPr>
    </w:p>
    <w:p w14:paraId="644F47CC" w14:textId="77777777" w:rsidR="00A556CC" w:rsidRDefault="00A556CC" w:rsidP="004E75D7">
      <w:pPr>
        <w:spacing w:after="0" w:line="240" w:lineRule="auto"/>
        <w:contextualSpacing/>
        <w:rPr>
          <w:rFonts w:ascii="Times New Roman" w:eastAsia="MS Gothic" w:hAnsi="Times New Roman"/>
          <w:b/>
          <w:bCs/>
          <w:sz w:val="24"/>
          <w:szCs w:val="24"/>
        </w:rPr>
      </w:pPr>
    </w:p>
    <w:p w14:paraId="508247E2" w14:textId="77777777" w:rsidR="00A556CC" w:rsidRDefault="00A556CC" w:rsidP="004E75D7">
      <w:pPr>
        <w:spacing w:after="0" w:line="240" w:lineRule="auto"/>
        <w:contextualSpacing/>
        <w:rPr>
          <w:rFonts w:ascii="Times New Roman" w:eastAsia="MS Gothic" w:hAnsi="Times New Roman"/>
          <w:b/>
          <w:bCs/>
          <w:sz w:val="24"/>
          <w:szCs w:val="24"/>
        </w:rPr>
      </w:pPr>
    </w:p>
    <w:p w14:paraId="310C7CB9" w14:textId="77777777" w:rsidR="00A556CC" w:rsidRDefault="00A556CC" w:rsidP="004E75D7">
      <w:pPr>
        <w:spacing w:after="0" w:line="240" w:lineRule="auto"/>
        <w:contextualSpacing/>
        <w:rPr>
          <w:rFonts w:ascii="Times New Roman" w:eastAsia="MS Gothic" w:hAnsi="Times New Roman"/>
          <w:b/>
          <w:bCs/>
          <w:sz w:val="24"/>
          <w:szCs w:val="24"/>
        </w:rPr>
      </w:pPr>
    </w:p>
    <w:p w14:paraId="471993F5" w14:textId="77777777" w:rsidR="00A556CC" w:rsidRDefault="00A556CC" w:rsidP="004E75D7">
      <w:pPr>
        <w:spacing w:after="0" w:line="240" w:lineRule="auto"/>
        <w:contextualSpacing/>
        <w:rPr>
          <w:rFonts w:ascii="Times New Roman" w:eastAsia="MS Gothic" w:hAnsi="Times New Roman"/>
          <w:b/>
          <w:bCs/>
          <w:sz w:val="24"/>
          <w:szCs w:val="24"/>
        </w:rPr>
      </w:pPr>
    </w:p>
    <w:p w14:paraId="3B4DF42C" w14:textId="77777777" w:rsidR="00A556CC" w:rsidRDefault="00A556CC" w:rsidP="004E75D7">
      <w:pPr>
        <w:spacing w:after="0" w:line="240" w:lineRule="auto"/>
        <w:contextualSpacing/>
        <w:rPr>
          <w:rFonts w:ascii="Times New Roman" w:eastAsia="MS Gothic" w:hAnsi="Times New Roman"/>
          <w:b/>
          <w:bCs/>
          <w:sz w:val="24"/>
          <w:szCs w:val="24"/>
        </w:rPr>
      </w:pPr>
    </w:p>
    <w:p w14:paraId="389D117A" w14:textId="77777777" w:rsidR="00A556CC" w:rsidRDefault="00A556CC" w:rsidP="004E75D7">
      <w:pPr>
        <w:spacing w:after="0" w:line="240" w:lineRule="auto"/>
        <w:contextualSpacing/>
        <w:rPr>
          <w:rFonts w:ascii="Times New Roman" w:eastAsia="MS Gothic" w:hAnsi="Times New Roman"/>
          <w:b/>
          <w:bCs/>
          <w:sz w:val="24"/>
          <w:szCs w:val="24"/>
        </w:rPr>
      </w:pPr>
    </w:p>
    <w:p w14:paraId="7CB458D2" w14:textId="77777777" w:rsidR="00A556CC" w:rsidRDefault="00A556CC" w:rsidP="004E75D7">
      <w:pPr>
        <w:spacing w:after="0" w:line="240" w:lineRule="auto"/>
        <w:contextualSpacing/>
        <w:rPr>
          <w:rFonts w:ascii="Times New Roman" w:eastAsia="MS Gothic" w:hAnsi="Times New Roman"/>
          <w:b/>
          <w:bCs/>
          <w:sz w:val="24"/>
          <w:szCs w:val="24"/>
        </w:rPr>
      </w:pPr>
    </w:p>
    <w:p w14:paraId="2DC078E3" w14:textId="77777777" w:rsidR="00A556CC" w:rsidRDefault="00A556CC" w:rsidP="004E75D7">
      <w:pPr>
        <w:spacing w:after="0" w:line="240" w:lineRule="auto"/>
        <w:contextualSpacing/>
        <w:rPr>
          <w:rFonts w:ascii="Times New Roman" w:eastAsia="MS Gothic" w:hAnsi="Times New Roman"/>
          <w:b/>
          <w:bCs/>
          <w:sz w:val="24"/>
          <w:szCs w:val="24"/>
        </w:rPr>
      </w:pPr>
    </w:p>
    <w:p w14:paraId="4BEA5509" w14:textId="77777777" w:rsidR="00A556CC" w:rsidRDefault="00A556CC" w:rsidP="004E75D7">
      <w:pPr>
        <w:spacing w:after="0" w:line="240" w:lineRule="auto"/>
        <w:contextualSpacing/>
        <w:rPr>
          <w:rFonts w:ascii="Times New Roman" w:eastAsia="MS Gothic" w:hAnsi="Times New Roman"/>
          <w:b/>
          <w:bCs/>
          <w:sz w:val="24"/>
          <w:szCs w:val="24"/>
        </w:rPr>
      </w:pPr>
    </w:p>
    <w:p w14:paraId="77CD196D" w14:textId="77777777" w:rsidR="00A556CC" w:rsidRDefault="00A556CC" w:rsidP="004E75D7">
      <w:pPr>
        <w:spacing w:after="0" w:line="240" w:lineRule="auto"/>
        <w:contextualSpacing/>
        <w:rPr>
          <w:rFonts w:ascii="Times New Roman" w:eastAsia="MS Gothic" w:hAnsi="Times New Roman"/>
          <w:b/>
          <w:bCs/>
          <w:sz w:val="24"/>
          <w:szCs w:val="24"/>
        </w:rPr>
      </w:pPr>
    </w:p>
    <w:p w14:paraId="12555EAA" w14:textId="77777777" w:rsidR="00A556CC" w:rsidRDefault="00A556CC" w:rsidP="004E75D7">
      <w:pPr>
        <w:spacing w:after="0" w:line="240" w:lineRule="auto"/>
        <w:contextualSpacing/>
        <w:rPr>
          <w:rFonts w:ascii="Times New Roman" w:eastAsia="MS Gothic" w:hAnsi="Times New Roman"/>
          <w:b/>
          <w:bCs/>
          <w:sz w:val="24"/>
          <w:szCs w:val="24"/>
        </w:rPr>
      </w:pPr>
    </w:p>
    <w:p w14:paraId="701D612B" w14:textId="1AB6B027" w:rsidR="00A556CC" w:rsidRDefault="00A556CC" w:rsidP="004E75D7">
      <w:pPr>
        <w:spacing w:after="0" w:line="240" w:lineRule="auto"/>
        <w:contextualSpacing/>
        <w:rPr>
          <w:rFonts w:ascii="Times New Roman" w:eastAsia="MS Gothic" w:hAnsi="Times New Roman"/>
          <w:b/>
          <w:bCs/>
          <w:sz w:val="24"/>
          <w:szCs w:val="24"/>
        </w:rPr>
      </w:pPr>
      <w:r>
        <w:rPr>
          <w:rFonts w:ascii="Times New Roman" w:eastAsia="MS Gothic" w:hAnsi="Times New Roman"/>
          <w:b/>
          <w:bCs/>
          <w:sz w:val="24"/>
          <w:szCs w:val="24"/>
        </w:rPr>
        <w:lastRenderedPageBreak/>
        <w:t>Protocol Development and Contributions</w:t>
      </w:r>
    </w:p>
    <w:p w14:paraId="6B1EE150" w14:textId="480D8CD4" w:rsidR="00A556CC" w:rsidRDefault="00A556CC" w:rsidP="004E75D7">
      <w:pPr>
        <w:spacing w:after="0" w:line="240" w:lineRule="auto"/>
        <w:contextualSpacing/>
        <w:rPr>
          <w:rFonts w:ascii="Times New Roman" w:eastAsia="MS Gothic" w:hAnsi="Times New Roman"/>
          <w:bCs/>
          <w:sz w:val="24"/>
          <w:szCs w:val="24"/>
        </w:rPr>
      </w:pPr>
      <w:r>
        <w:rPr>
          <w:rFonts w:ascii="Times New Roman" w:eastAsia="MS Gothic" w:hAnsi="Times New Roman"/>
          <w:bCs/>
          <w:sz w:val="24"/>
          <w:szCs w:val="24"/>
        </w:rPr>
        <w:t xml:space="preserve">This protocol follows the Preferred Reporting Items for Systematic Review and Meta-Analysis Protocols (PRIMSA-P). The conception, design, and initial drafting of this protocol was led by the core group of investigators identified above. </w:t>
      </w:r>
    </w:p>
    <w:p w14:paraId="618F0DB4" w14:textId="77777777" w:rsidR="00A556CC" w:rsidRDefault="00A556CC" w:rsidP="004E75D7">
      <w:pPr>
        <w:spacing w:after="0" w:line="240" w:lineRule="auto"/>
        <w:contextualSpacing/>
        <w:rPr>
          <w:rFonts w:ascii="Times New Roman" w:eastAsia="MS Gothic" w:hAnsi="Times New Roman"/>
          <w:bCs/>
          <w:sz w:val="24"/>
          <w:szCs w:val="24"/>
        </w:rPr>
      </w:pPr>
    </w:p>
    <w:p w14:paraId="4AE08412" w14:textId="47029260" w:rsidR="00A556CC" w:rsidRDefault="00A556CC" w:rsidP="004E75D7">
      <w:pPr>
        <w:spacing w:after="0" w:line="240" w:lineRule="auto"/>
        <w:contextualSpacing/>
        <w:rPr>
          <w:rFonts w:ascii="Times New Roman" w:eastAsia="MS Gothic" w:hAnsi="Times New Roman"/>
          <w:b/>
          <w:bCs/>
          <w:sz w:val="24"/>
          <w:szCs w:val="24"/>
        </w:rPr>
      </w:pPr>
      <w:r>
        <w:rPr>
          <w:rFonts w:ascii="Times New Roman" w:eastAsia="MS Gothic" w:hAnsi="Times New Roman"/>
          <w:b/>
          <w:bCs/>
          <w:sz w:val="24"/>
          <w:szCs w:val="24"/>
        </w:rPr>
        <w:t>Organizational Affiliation of Review</w:t>
      </w:r>
    </w:p>
    <w:p w14:paraId="22378553" w14:textId="132E32E1" w:rsidR="00A556CC" w:rsidRDefault="00A556CC" w:rsidP="004E75D7">
      <w:pPr>
        <w:spacing w:after="0" w:line="240" w:lineRule="auto"/>
        <w:contextualSpacing/>
        <w:rPr>
          <w:rFonts w:ascii="Times New Roman" w:eastAsia="MS Gothic" w:hAnsi="Times New Roman"/>
          <w:bCs/>
          <w:sz w:val="24"/>
          <w:szCs w:val="24"/>
        </w:rPr>
      </w:pPr>
      <w:r>
        <w:rPr>
          <w:rFonts w:ascii="Times New Roman" w:eastAsia="MS Gothic" w:hAnsi="Times New Roman"/>
          <w:bCs/>
          <w:sz w:val="24"/>
          <w:szCs w:val="24"/>
        </w:rPr>
        <w:t>Ottawa Hospital Research Institute</w:t>
      </w:r>
    </w:p>
    <w:p w14:paraId="48B642D1" w14:textId="77777777" w:rsidR="00A556CC" w:rsidRDefault="00A556CC" w:rsidP="004E75D7">
      <w:pPr>
        <w:spacing w:after="0" w:line="240" w:lineRule="auto"/>
        <w:contextualSpacing/>
        <w:rPr>
          <w:rFonts w:ascii="Times New Roman" w:eastAsia="MS Gothic" w:hAnsi="Times New Roman"/>
          <w:bCs/>
          <w:sz w:val="24"/>
          <w:szCs w:val="24"/>
        </w:rPr>
      </w:pPr>
    </w:p>
    <w:p w14:paraId="6E62AB3E" w14:textId="6FF09815" w:rsidR="00A556CC" w:rsidRDefault="00A556CC" w:rsidP="004E75D7">
      <w:pPr>
        <w:spacing w:after="0" w:line="240" w:lineRule="auto"/>
        <w:contextualSpacing/>
        <w:rPr>
          <w:rFonts w:ascii="Times New Roman" w:eastAsia="MS Gothic" w:hAnsi="Times New Roman"/>
          <w:b/>
          <w:bCs/>
          <w:sz w:val="24"/>
          <w:szCs w:val="24"/>
        </w:rPr>
      </w:pPr>
      <w:r>
        <w:rPr>
          <w:rFonts w:ascii="Times New Roman" w:eastAsia="MS Gothic" w:hAnsi="Times New Roman"/>
          <w:b/>
          <w:bCs/>
          <w:sz w:val="24"/>
          <w:szCs w:val="24"/>
        </w:rPr>
        <w:t>Funding Sources/Sponsors</w:t>
      </w:r>
    </w:p>
    <w:p w14:paraId="5CA63949" w14:textId="4017F807" w:rsidR="00A556CC" w:rsidRDefault="00A556CC" w:rsidP="004E75D7">
      <w:pPr>
        <w:spacing w:after="0" w:line="240" w:lineRule="auto"/>
        <w:contextualSpacing/>
        <w:rPr>
          <w:rFonts w:ascii="Times New Roman" w:eastAsia="MS Gothic" w:hAnsi="Times New Roman"/>
          <w:bCs/>
          <w:sz w:val="24"/>
          <w:szCs w:val="24"/>
        </w:rPr>
      </w:pPr>
      <w:r>
        <w:rPr>
          <w:rFonts w:ascii="Times New Roman" w:eastAsia="MS Gothic" w:hAnsi="Times New Roman"/>
          <w:bCs/>
          <w:sz w:val="24"/>
          <w:szCs w:val="24"/>
        </w:rPr>
        <w:t xml:space="preserve">Sylvain Boet was supported by The Ottawa Hospital Anesthesia Alternate Funds Association. </w:t>
      </w:r>
    </w:p>
    <w:p w14:paraId="7C07536A" w14:textId="77777777" w:rsidR="00A556CC" w:rsidRDefault="00A556CC" w:rsidP="004E75D7">
      <w:pPr>
        <w:spacing w:after="0" w:line="240" w:lineRule="auto"/>
        <w:contextualSpacing/>
        <w:rPr>
          <w:rFonts w:ascii="Times New Roman" w:eastAsia="MS Gothic" w:hAnsi="Times New Roman"/>
          <w:bCs/>
          <w:sz w:val="24"/>
          <w:szCs w:val="24"/>
        </w:rPr>
      </w:pPr>
    </w:p>
    <w:p w14:paraId="7292FB62" w14:textId="4B2A1658" w:rsidR="00A556CC" w:rsidRDefault="00A556CC" w:rsidP="004E75D7">
      <w:pPr>
        <w:spacing w:after="0" w:line="240" w:lineRule="auto"/>
        <w:contextualSpacing/>
        <w:rPr>
          <w:rFonts w:ascii="Times New Roman" w:eastAsia="MS Gothic" w:hAnsi="Times New Roman"/>
          <w:b/>
          <w:bCs/>
          <w:sz w:val="24"/>
          <w:szCs w:val="24"/>
        </w:rPr>
      </w:pPr>
      <w:r>
        <w:rPr>
          <w:rFonts w:ascii="Times New Roman" w:eastAsia="MS Gothic" w:hAnsi="Times New Roman"/>
          <w:b/>
          <w:bCs/>
          <w:sz w:val="24"/>
          <w:szCs w:val="24"/>
        </w:rPr>
        <w:t>Conflicts of Interest</w:t>
      </w:r>
    </w:p>
    <w:p w14:paraId="0BC2CC73" w14:textId="5DCB2860" w:rsidR="00A556CC" w:rsidRPr="00A556CC" w:rsidRDefault="00A556CC" w:rsidP="004E75D7">
      <w:pPr>
        <w:spacing w:after="0" w:line="240" w:lineRule="auto"/>
        <w:contextualSpacing/>
        <w:rPr>
          <w:rFonts w:ascii="Times New Roman" w:eastAsia="MS Gothic" w:hAnsi="Times New Roman"/>
          <w:bCs/>
          <w:sz w:val="24"/>
          <w:szCs w:val="24"/>
        </w:rPr>
      </w:pPr>
      <w:r>
        <w:rPr>
          <w:rFonts w:ascii="Times New Roman" w:eastAsia="MS Gothic" w:hAnsi="Times New Roman"/>
          <w:bCs/>
          <w:sz w:val="24"/>
          <w:szCs w:val="24"/>
        </w:rPr>
        <w:t xml:space="preserve">The authors have no conflicts of interest to declare. </w:t>
      </w:r>
    </w:p>
    <w:p w14:paraId="2BCCDA9D" w14:textId="77777777" w:rsidR="005C6365" w:rsidRDefault="005C6365" w:rsidP="004E75D7">
      <w:pPr>
        <w:spacing w:after="0" w:line="240" w:lineRule="auto"/>
        <w:contextualSpacing/>
        <w:rPr>
          <w:rFonts w:ascii="Times New Roman" w:hAnsi="Times New Roman" w:cs="Times New Roman"/>
          <w:b/>
          <w:color w:val="000000" w:themeColor="text1"/>
          <w:sz w:val="24"/>
          <w:szCs w:val="24"/>
        </w:rPr>
      </w:pPr>
    </w:p>
    <w:p w14:paraId="2287368F" w14:textId="509DACFF" w:rsidR="0065155D" w:rsidRPr="00B44716" w:rsidRDefault="00506151" w:rsidP="004E75D7">
      <w:pPr>
        <w:spacing w:after="0" w:line="24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Background and </w:t>
      </w:r>
      <w:r w:rsidR="0065155D">
        <w:rPr>
          <w:rFonts w:ascii="Times New Roman" w:hAnsi="Times New Roman" w:cs="Times New Roman"/>
          <w:b/>
          <w:color w:val="000000" w:themeColor="text1"/>
          <w:sz w:val="24"/>
          <w:szCs w:val="24"/>
        </w:rPr>
        <w:t>Rationale</w:t>
      </w:r>
    </w:p>
    <w:p w14:paraId="0475930F" w14:textId="0C5476D9" w:rsidR="0039728B" w:rsidRDefault="0039728B" w:rsidP="00F056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Clinical competence in anesthesia requires proficiency in n</w:t>
      </w:r>
      <w:r w:rsidR="00BE4E80">
        <w:rPr>
          <w:rFonts w:ascii="Times New Roman" w:hAnsi="Times New Roman" w:cs="Times New Roman"/>
          <w:color w:val="000000" w:themeColor="text1"/>
          <w:sz w:val="24"/>
          <w:szCs w:val="24"/>
        </w:rPr>
        <w:t xml:space="preserve">on-technical skills </w:t>
      </w:r>
      <w:r>
        <w:rPr>
          <w:rFonts w:ascii="Times New Roman" w:hAnsi="Times New Roman" w:cs="Times New Roman"/>
          <w:color w:val="000000" w:themeColor="text1"/>
          <w:sz w:val="24"/>
          <w:szCs w:val="24"/>
        </w:rPr>
        <w:t xml:space="preserve">(e.g. </w:t>
      </w:r>
      <w:r w:rsidR="00BE4E80">
        <w:rPr>
          <w:rFonts w:ascii="Times New Roman" w:hAnsi="Times New Roman" w:cs="Times New Roman"/>
          <w:color w:val="000000" w:themeColor="text1"/>
          <w:sz w:val="24"/>
          <w:szCs w:val="24"/>
        </w:rPr>
        <w:t>communica</w:t>
      </w:r>
      <w:r>
        <w:rPr>
          <w:rFonts w:ascii="Times New Roman" w:hAnsi="Times New Roman" w:cs="Times New Roman"/>
          <w:color w:val="000000" w:themeColor="text1"/>
          <w:sz w:val="24"/>
          <w:szCs w:val="24"/>
        </w:rPr>
        <w:t>tion, leadership,</w:t>
      </w:r>
      <w:r w:rsidR="00BE4E80">
        <w:rPr>
          <w:rFonts w:ascii="Times New Roman" w:hAnsi="Times New Roman" w:cs="Times New Roman"/>
          <w:color w:val="000000" w:themeColor="text1"/>
          <w:sz w:val="24"/>
          <w:szCs w:val="24"/>
        </w:rPr>
        <w:t xml:space="preserve"> situation awareness</w:t>
      </w:r>
      <w:r>
        <w:rPr>
          <w:rFonts w:ascii="Times New Roman" w:hAnsi="Times New Roman" w:cs="Times New Roman"/>
          <w:color w:val="000000" w:themeColor="text1"/>
          <w:sz w:val="24"/>
          <w:szCs w:val="24"/>
        </w:rPr>
        <w:t>)</w:t>
      </w:r>
      <w:r w:rsidR="007B1D6F">
        <w:rPr>
          <w:rFonts w:ascii="Times New Roman" w:hAnsi="Times New Roman" w:cs="Times New Roman"/>
          <w:color w:val="000000" w:themeColor="text1"/>
          <w:sz w:val="24"/>
          <w:szCs w:val="24"/>
        </w:rPr>
        <w:t>.</w:t>
      </w:r>
      <w:r w:rsidR="00AF16FF">
        <w:rPr>
          <w:rFonts w:ascii="Times New Roman" w:hAnsi="Times New Roman" w:cs="Times New Roman"/>
          <w:color w:val="000000" w:themeColor="text1"/>
          <w:sz w:val="24"/>
          <w:szCs w:val="24"/>
        </w:rPr>
        <w:fldChar w:fldCharType="begin" w:fldLock="1"/>
      </w:r>
      <w:r w:rsidR="0091499F">
        <w:rPr>
          <w:rFonts w:ascii="Times New Roman" w:hAnsi="Times New Roman" w:cs="Times New Roman"/>
          <w:color w:val="000000" w:themeColor="text1"/>
          <w:sz w:val="24"/>
          <w:szCs w:val="24"/>
        </w:rPr>
        <w:instrText>ADDIN CSL_CITATION { "citationItems" : [ { "id" : "ITEM-1", "itemData" : { "DOI" : "10.1093/bja/aes359", "abstract" : "Background. Teaching trainees to become competent professionals who can keep the complex system of anaesthesia safe is important. From a safety point of view, non-technical skills such as smooth cooperation and good communication deserve as much attention as theoretical knowledge and practical skills, which by tradition have dominated training programmes in anaesthesiology. This study aimed to describe the way excellent anaesthetists act in the operating theatre, as seen by experienced anaesthesia nurses. Methods. The study had a descriptive and qualitative design. Five focus group interviews with three or four experienced Swedish anaesthesia nurses in each group were conducted. Interviews were analysed by using a qualitative method, looking for common themes. Results. Six themes were found: (A) structured, responsible, and focused way of approaching work tasks; (B) clear and informative, briefing the team about the action plan before induction; (C) humble to the complexity of anaesthesia, admitting own fallibility; (D) patient-centred, having a personal contact with the patient before induction; (D) fluent in practical work without losing overview; and (F) calm and clear in critical situations, being able to change to a strong leading style. Conclusions. Experienced anaesthesia nurses gave nuanced descriptions of how excellent anaesthetists behave and perform. These aspects of the anaesthetist's work often attract too little attention in specialist training, notwithstanding their importance for safety and fluency at work. Creating role models based on studies like the present one could be one way of increasing safety in anaesthesia.", "author" : [ { "dropping-particle" : "", "family" : "Larsson", "given" : "J", "non-dropping-particle" : "", "parse-names" : false, "suffix" : "" }, { "dropping-particle" : "", "family" : "Holmstr\u00f6 M", "given" : "I K", "non-dropping-particle" : "", "parse-names" : false, "suffix" : "" } ], "id" : "ITEM-1", "issued" : { "date-parts" : [ [ "0" ] ] }, "title" : "How excellent anaesthetists perform in the operating theatre: a qualitative study on non-technical skills", "type" : "article-journal" }, "uris" : [ "http://www.mendeley.com/documents/?uuid=079b84f6-3f0c-3772-8af4-104b7cd0c21b" ] }, { "id" : "ITEM-2", "itemData" : { "ISSN" : "1365-2044", "abstract" : "Non-technical skills are recognised as crucial to good anaesthetic practice. We designed and evaluated a specialty-specific tool to assess non-technical aspects of trainee performance in theatre, based on a system previously found reliable in a recruitment setting. We compared inter-rater agreement (multir-ater kappa) for live assessments in theatre with that in a selection centre and a video-based rater training exercise. Twenty-seven trainees participated in the first in-theatre assessment round and 40 in the second. Round- 1 scores had poor inter-rater agreement (mean kappa = 0.20) and low reliability (generalisability coefficient G = 0.50). A subsequent assessor training exercise showed good inter-rater agreement, (mean kappa = 0.79) but did not improve performance of the assessment tool when used in round 2 (mean kappa = 0.14, G = 0.42). Inter-rater agreement in two selection centres (mean kappa = 0.61 and 0.69) exceeded that found in theatre. Assessment tools that perform reliably in controlled settings may not do so in the workplace.Copyright Anaesthesia Ac 2011 The Association of Anaesthetists of Great Britain and Ireland", "author" : [ { "dropping-particle" : "V", "family" : "Crossingham", "given" : "G", "non-dropping-particle" : "", "parse-names" : false, "suffix" : "" }, { "dropping-particle" : "", "family" : "Sice", "given" : "P J A", "non-dropping-particle" : "", "parse-names" : false, "suffix" : "" }, { "dropping-particle" : "", "family" : "Roberts", "given" : "M J", "non-dropping-particle" : "", "parse-names" : false, "suffix" : "" }, { "dropping-particle" : "", "family" : "Lam", "given" : "W H", "non-dropping-particle" : "", "parse-names" : false, "suffix" : "" }, { "dropping-particle" : "", "family" : "Gale", "given" : "T C E", "non-dropping-particle" : "", "parse-names" : false, "suffix" : "" } ], "container-title" : "Anaesthesia", "id" : "ITEM-2", "issue" : "2", "issued" : { "date-parts" : [ [ "2012" ] ] }, "page" : "158-164", "publisher-place" : "England", "title" : "Development of workplace-based assessments of non-technical skills in anaesthesia", "type" : "article-journal", "volume" : "67" }, "uris" : [ "http://www.mendeley.com/documents/?uuid=81a19403-294c-437d-bdf9-1dbf03db9a9e" ] }, { "id" : "ITEM-3", "itemData" : { "author" : [ { "dropping-particle" : "", "family" : "Fletcher", "given" : "G C L", "non-dropping-particle" : "", "parse-names" : false, "suffix" : "" }, { "dropping-particle" : "", "family" : "Mcgeorge", "given" : "P", "non-dropping-particle" : "", "parse-names" : false, "suffix" : "" }, { "dropping-particle" : "", "family" : "Flin", "given" : "R H", "non-dropping-particle" : "", "parse-names" : false, "suffix" : "" }, { "dropping-particle" : "", "family" : "Glavin", "given" : "R J", "non-dropping-particle" : "", "parse-names" : false, "suffix" : "" }, { "dropping-particle" : "", "family" : "Maran", "given" : "N J", "non-dropping-particle" : "", "parse-names" : false, "suffix" : "" } ], "container-title" : "Br J Anaesth", "id" : "ITEM-3", "issued" : { "date-parts" : [ [ "2002" ] ] }, "page" : "418-29", "title" : "The role of non-technical skills in anaesthesia: a review of current literature", "type" : "article-journal", "volume" : "88" }, "uris" : [ "http://www.mendeley.com/documents/?uuid=fed73605-847d-31f6-bfea-850e95e5f6ac" ] } ], "mendeley" : { "formattedCitation" : "&lt;sup&gt;1\u20133&lt;/sup&gt;", "plainTextFormattedCitation" : "1\u20133", "previouslyFormattedCitation" : "&lt;sup&gt;1\u20133&lt;/sup&gt;" }, "properties" : { "noteIndex" : 0 }, "schema" : "https://github.com/citation-style-language/schema/raw/master/csl-citation.json" }</w:instrText>
      </w:r>
      <w:r w:rsidR="00AF16FF">
        <w:rPr>
          <w:rFonts w:ascii="Times New Roman" w:hAnsi="Times New Roman" w:cs="Times New Roman"/>
          <w:color w:val="000000" w:themeColor="text1"/>
          <w:sz w:val="24"/>
          <w:szCs w:val="24"/>
        </w:rPr>
        <w:fldChar w:fldCharType="separate"/>
      </w:r>
      <w:r w:rsidR="00AF16FF" w:rsidRPr="00AF16FF">
        <w:rPr>
          <w:rFonts w:ascii="Times New Roman" w:hAnsi="Times New Roman" w:cs="Times New Roman"/>
          <w:noProof/>
          <w:color w:val="000000" w:themeColor="text1"/>
          <w:sz w:val="24"/>
          <w:szCs w:val="24"/>
          <w:vertAlign w:val="superscript"/>
        </w:rPr>
        <w:t>1–3</w:t>
      </w:r>
      <w:r w:rsidR="00AF16FF">
        <w:rPr>
          <w:rFonts w:ascii="Times New Roman" w:hAnsi="Times New Roman" w:cs="Times New Roman"/>
          <w:color w:val="000000" w:themeColor="text1"/>
          <w:sz w:val="24"/>
          <w:szCs w:val="24"/>
        </w:rPr>
        <w:fldChar w:fldCharType="end"/>
      </w:r>
      <w:r w:rsidR="003623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Despite the importance of technical skills for effective operating room (OR) performance, a large </w:t>
      </w:r>
      <w:r>
        <w:rPr>
          <w:rFonts w:ascii="Times New Roman" w:hAnsi="Times New Roman" w:cs="Times New Roman"/>
          <w:color w:val="000000" w:themeColor="text1"/>
          <w:sz w:val="24"/>
          <w:szCs w:val="24"/>
        </w:rPr>
        <w:t>proportion of intraoperative errors, adverse patient outcomes, and mortality</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"10.1016/j.jss.2012.04.029", "ISBN" : "0022-4804", "ISSN" : "00224804", "PMID" : "22591922", "abstract" : "Background: Communication failure is a common contributor to adverse events. We sought to characterize communication failures during complex operations. Methods: We video recorded and transcribed six complex operations, representing 22 h of patient care. For each communication event, we determined the participants and the content discussed. Failures were classified into four types: audience (key individuals missing), purpose (issue nonresolution), content (insufficient/inaccurate information), and/or occasion (futile timing). We added a systems category to reflect communication occurring at the organizational level. The impact of each identified failure was described. Results: We observed communication failures in every case (mean 29, median 28, range 13-48), at a rate of one every 8 min. Cross-disciplinary exchanges resulted in failure nearly twice as often as intradisciplinary ones. Discussions about or mandated by hospital policy (20%), personnel (18%), or other patient care (17%) were most error prone. Audience and purpose each accounted for &gt;40% of failures. A substantial proportion (26%) reflected flawed systems for communication, particularly those for disseminating policy (29% of system failures), coordinating personnel (27%), and conveying the procedure planned (27%) or the equipment needed (24%). In 81% of failures, inefficiency (extraneous discussion and/or work) resulted. Resource waste (19%) and work-arounds (13%) also were frequently seen. Conclusions: During complex operations, communication failures occur frequently and lead to inefficiency. Prevention may be achieved by improving synchronous, cross-disciplinary communication. The rate of failure during discussions about/mandated by policy highlights the need for carefully designed standardized interventions. System-level support for asynchronous perioperative communication may streamline operating room coordination and preparation efforts. ?? 2012 Elsevier Inc. All rights reserved.", "author" : [ { "dropping-particle" : "", "family" : "Hu", "given" : "Yue Yung", "non-dropping-particle" : "", "parse-names" : false, "suffix" : "" }, { "dropping-particle" : "", "family" : "Arriaga", "given" : "Alexander F.", "non-dropping-particle" : "", "parse-names" : false, "suffix" : "" }, { "dropping-particle" : "", "family" : "Peyre", "given" : "Sarah E.", "non-dropping-particle" : "", "parse-names" : false, "suffix" : "" }, { "dropping-particle" : "", "family" : "Corso", "given" : "Katherine A.", "non-dropping-particle" : "", "parse-names" : false, "suffix" : "" }, { "dropping-particle" : "", "family" : "Roth", "given" : "Emilie M.", "non-dropping-particle" : "", "parse-names" : false, "suffix" : "" }, { "dropping-particle" : "", "family" : "Greenberg", "given" : "Caprice C.", "non-dropping-particle" : "", "parse-names" : false, "suffix" : "" } ], "container-title" : "Journal of Surgical Research", "id" : "ITEM-1", "issue" : "1", "issued" : { "date-parts" : [ [ "2012" ] ] }, "page" : "37-42", "publisher" : "Elsevier Ltd", "title" : "Deconstructing intraoperative communication failures", "type" : "article-journal", "volume" : "177" }, "uris" : [ "http://www.mendeley.com/documents/?uuid=bdc19a15-dcb3-488c-8a2a-dcff169103ff" ] }, { "id" : "ITEM-2", "itemData" : { "DOI" : "10.1016/j.amjsurg.2012.11.009", "ISBN" : "1879-1883 (Electronic)\\n0002-9610 (Linking)", "ISSN" : "00029610", "PMID" : "23642651", "abstract" : "Background: The aim of this systematic review is to quantify potentially preventable patient harm from the frequency, severity, and preventability of the consequences and causes of surgical adverse events to help target patient safety improvement efforts. Data Sources: Two authors independently reviewed articles retrieved from systematic searches of the Cochrane library, MEDLINE, Embase, PsycINFO, and Cumulative Index to Nursing &amp; Allied Health Literature databases for inclusion and exclusion criteria, methodology, and end points. All retrospective record review studies of adverse events were included. The primary end point was the frequency of general surgery adverse events. The secondary end points were the severity and preventability of consequences and causes. Conclusions: Fourteen record review studies incorporating 16,424 surgical patients were included. Adverse events occurred in 14.4% of patients (interquartile range [IQR], 12.5% to 20.1%), and potentially preventable adverse events occurred in 5.2% (IQR, 4.2% to 7.0%). The consequences of 3.6% of adverse events (IQR, 3.1% to 4.4%) were fatal, those of 10.4% (IQR, 8.5% to 12.3%) were severe, those of 34.2% (IQR, 29.2% to 39.2%) were moderate, and those of 52.5% (IQR, 49.8% to 55.3%) were minor. Errors in nonoperative management caused more frequent adverse events than errors in surgical technique. \u00a9 2013 Elsevier Inc. All rights reserved.", "author" : [ { "dropping-particle" : "", "family" : "Anderson", "given" : "Oliver", "non-dropping-particle" : "", "parse-names" : false, "suffix" : "" }, { "dropping-particle" : "", "family" : "Davis", "given" : "Rachel", "non-dropping-particle" : "", "parse-names" : false, "suffix" : "" }, { "dropping-particle" : "", "family" : "Hanna", "given" : "George B.", "non-dropping-particle" : "", "parse-names" : false, "suffix" : "" }, { "dropping-particle" : "", "family" : "Vincent", "given" : "Charles A.", "non-dropping-particle" : "", "parse-names" : false, "suffix" : "" } ], "container-title" : "American Journal of Surgery", "id" : "ITEM-2", "issue" : "2", "issued" : { "date-parts" : [ [ "2013" ] ] }, "page" : "253-262", "publisher" : "Elsevier Inc", "title" : "Surgical adverse events: A systematic review", "type" : "article-journal", "volume" : "206" }, "uris" : [ "http://www.mendeley.com/documents/?uuid=737c7e78-deb9-4642-920f-dc5c9bf13d70" ] }, { "id" : "ITEM-3", "itemData" : { "DOI" : "10.1016/j.amjsurg.2008.03.002", "ISBN" : "0002-9610", "ISSN" : "00029610", "PMID" : "18789425", "abstract" : "Background: Little evidence exists that links teamwork to patient outcomes. We conducted this study to determine if patients of teams with good teamwork had better outcomes than those with poor teamwork. Methods: Observers used a standardized instrument to assess team behaviors. Retrospective chart review was performed to measure 30-day outcomes. Multiple logistic regressions were calculated to assess the independence of the association between teamwork with patient outcome after adjusting for American Society of Anesthesiologists (ASA) score. Results: In univariate analyses, patients had increased odds of complications or death when the following behaviors were exhibited less frequently: information sharing during intraoperative phases, briefing during handoff phases, and information sharing during handoff phases. Composite measures of teamwork across all operative phases were significantly associated with complication or death after adjusting for ASA score (odds ratio 4.82; 95% confidence interval, 1.30-17.87). Conclusion: When teams exhibited infrequent team behaviors, patients were more likely to experience death or major complication. ?? 2009 Elsevier Inc. All rights reserved.", "author" : [ { "dropping-particle" : "", "family" : "Mazzocco", "given" : "Karen", "non-dropping-particle" : "", "parse-names" : false, "suffix" : "" }, { "dropping-particle" : "", "family" : "Petitti", "given" : "Diana B.", "non-dropping-particle" : "", "parse-names" : false, "suffix" : "" }, { "dropping-particle" : "", "family" : "Fong", "given" : "Kenneth T.", "non-dropping-particle" : "", "parse-names" : false, "suffix" : "" }, { "dropping-particle" : "", "family" : "Bonacum", "given" : "Doug", "non-dropping-particle" : "", "parse-names" : false, "suffix" : "" }, { "dropping-particle" : "", "family" : "Brookey", "given" : "John", "non-dropping-particle" : "", "parse-names" : false, "suffix" : "" }, { "dropping-particle" : "", "family" : "Graham", "given" : "Suzanne", "non-dropping-particle" : "", "parse-names" : false, "suffix" : "" }, { "dropping-particle" : "", "family" : "Lasky", "given" : "Robert E.", "non-dropping-particle" : "", "parse-names" : false, "suffix" : "" }, { "dropping-particle" : "", "family" : "Sexton", "given" : "J. Bryan", "non-dropping-particle" : "", "parse-names" : false, "suffix" : "" }, { "dropping-particle" : "", "family" : "Thomas", "given" : "Eric J.", "non-dropping-particle" : "", "parse-names" : false, "suffix" : "" } ], "container-title" : "American Journal of Surgery", "id" : "ITEM-3", "issue" : "5", "issued" : { "date-parts" : [ [ "2009" ] ] }, "page" : "678-685", "publisher" : "Elsevier Inc.", "title" : "Surgical team behaviors and patient outcomes", "type" : "article-journal", "volume" : "197" }, "uris" : [ "http://www.mendeley.com/documents/?uuid=43d045c5-8cfe-491d-b71c-5f3440e7567e" ] }, { "id" : "ITEM-4", "itemData" : { "DOI" : "10.1097/SLA.0b013e3181642ec8", "ISBN" : "0003-4932 (Print)\\r0003-4932 (Linking)", "ISSN" : "0003-4932", "PMID" : "18362635", "abstract" : "OBJECTIVE: To analyze the effects of surgical, anesthetic, and nursing teamwork skills on technical outcomes. SUMMARY BACKGROUND DATA: The value of team skills in reducing adverse events in the operating room is presently receiving considerable attention. Current work has not yet identified in detail how the teamwork and communication skills of surgeons, anesthetists, and nurses affect the course of an operation. METHODS: Twenty-six laparoscopic cholecystectomies and 22 carotid endarterectomies were studied using direct observation methods. For each operation, teams' skills were scored for the whole team, and for nursing, surgical, and anesthetic subteams on 4 dimensions (leadership and management [LM]; teamwork and cooperation; problem solving and decision making; and situation awareness). Operating time, errors in surgical technique, and other procedural problems and errors were measured as outcome parameters for each operation. The relationships between teamwork scores and these outcome parameters within each operation were examined using analysis of variance and linear regression. RESULTS: Surgical (F(2,42) = 3.32, P = 0.046) and anesthetic (F(2,42) = 3.26, P = 0.048) LM had significant but opposite relationships with operating time in each operation: operating time increased significantly with higher anesthetic but decreased with higher surgical LM scores. Errors in surgical technique had a strong association with surgical situation awareness (F(2,42) = 7.93, P &lt; 0.001) in each operation. Other procedural problems and errors were related to the intraoperative LM skills of the nurses (F(5,1) = 3.96, P = 0.027). CONCLUSIONS: Detailed analysis of team interactions and dimensions is feasible and valuable, yielding important insights into relationships between nontechnical skills, technical performance, and operative duration. These results support the concept that interventions designed to improve teamwork and communication may have beneficial effects on technical performance and patient outcome.", "author" : [ { "dropping-particle" : "", "family" : "Catchpole", "given" : "K", "non-dropping-particle" : "", "parse-names" : false, "suffix" : "" }, { "dropping-particle" : "", "family" : "Mishra", "given" : "A", "non-dropping-particle" : "", "parse-names" : false, "suffix" : "" }, { "dropping-particle" : "", "family" : "Handa", "given" : "A", "non-dropping-particle" : "", "parse-names" : false, "suffix" : "" }, { "dropping-particle" : "", "family" : "McCulloch", "given" : "P", "non-dropping-particle" : "", "parse-names" : false, "suffix" : "" } ], "container-title" : "Ann Surg", "id" : "ITEM-4", "issue" : "4", "issued" : { "date-parts" : [ [ "2008" ] ] }, "page" : "699-706", "title" : "Teamwork and error in the operating room: analysis of skills and roles", "type" : "article-journal", "volume" : "247" }, "uris" : [ "http://www.mendeley.com/documents/?uuid=3bd6a9a9-876e-4348-b8f3-a89a1194c9ce" ] }, { "id" : "ITEM-5", "itemData" : { "DOI" : "10.1007/s40140-014-0050-0", "ISSN" : "2167-6275", "abstract" : "Surgical patients are at risk of harm from avoidable adverse events, many of which are at least in part attributable to failures in teamwork and communication. We undertook a systematic review of studies of interven-tions to improve teamwork and communication in the operating room (OR) that measured an outcome important for patient care in the clinical environment. We found good evidence to support several interventions: structured approaches to information sharing between OR team members; ongoing programmes of team training; and organisational changes to support team function. Many studies demonstrated improved team function in the clini-cal environment, improved OR processes, and/or improved patient outcomes. This review identified successful approaches to improving teamwork and communication in the OR and provided recommendations for practice.", "author" : [ { "dropping-particle" : "", "family" : "Weller", "given" : "Jennifer", "non-dropping-particle" : "", "parse-names" : false, "suffix" : "" }, { "dropping-particle" : "", "family" : "Boyd", "given" : "Matthew", "non-dropping-particle" : "", "parse-names" : false, "suffix" : "" } ], "container-title" : "Current Anesthesiology Reports", "id" : "ITEM-5", "issue" : "2", "issued" : { "date-parts" : [ [ "2014" ] ] }, "page" : "77-83", "title" : "Making a Difference Through Improving Teamwork in the Operating Room: A Systematic Review of the Evidence on What Works", "type" : "article-journal", "volume" : "4" }, "uris" : [ "http://www.mendeley.com/documents/?uuid=bd1c2868-8f53-461f-ade2-d8ab3ad37ff0" ] }, { "id" : "ITEM-6", "itemData" : { "DOI" : "10.1093/bja/aeq135", "ISBN" : "1471-6771 (Electronic)\\r0007-0912 (Linking)", "ISSN" : "00070912", "PMID" : "20551026", "abstract" : "The person-centred analysis and prevention approach has long dominated proposals to improve patient safety in healthcare. In this approach, the focus is on the individual responsible for making an error. An alternative is the systems-centred approach, in which attention is paid to the organizational factors that create precursors for individual errors. This approach assumes that since humans are fallible, systems must be designed to prevent humans from making errors or to be tolerant to those errors. The questions raised by this approach might, for example, include asking why an individual had specific gaps in their knowledge, experience, or ability. The systems approach focuses on working conditions rather than on errors of individuals, as the likelihood of specific errors increases with unfavourable conditions. Since the factors that promote errors are not directly visible in the working environment, they are described as latent risk factors (LRFs). Safety failures in anaesthesia, in particular, and medicine, in general, result from multiple unfavourable LRFs, so we propose that effective interventions require that attention is paid to interactions between multiple factors and actors. Understanding how LRFs affect safety can enable us to design more effective control measures that will impact significantly on both individual performance and patient outcomes.", "author" : [ { "dropping-particle" : "", "family" : "Beuzekom", "given" : "M.", "non-dropping-particle" : "Van", "parse-names" : false, "suffix" : "" }, { "dropping-particle" : "", "family" : "Boer", "given" : "F.", "non-dropping-particle" : "", "parse-names" : false, "suffix" : "" }, { "dropping-particle" : "", "family" : "Akerboom", "given" : "S.", "non-dropping-particle" : "", "parse-names" : false, "suffix" : "" }, { "dropping-particle" : "", "family" : "Hudson", "given" : "P.", "non-dropping-particle" : "", "parse-names" : false, "suffix" : "" } ], "container-title" : "British Journal of Anaesthesia", "id" : "ITEM-6", "issue" : "1", "issued" : { "date-parts" : [ [ "2010" ] ] }, "page" : "52-59", "title" : "Patient safety: Latent risk factors", "type" : "article-journal", "volume" : "105" }, "uris" : [ "http://www.mendeley.com/documents/?uuid=926ed60d-1046-40f8-a368-1f3f01b3afa6" ] }, { "id" : "ITEM-7", "itemData" : { "DOI" : "10.1053/j.sempedsurg.2015.08.003", "ISSN" : "10558586", "abstract" : "Traditional surgical attitude regarding error and complications has focused on individual failings. Human factors research has brought new and significant insights into the occurrence of error in healthcare, helping us identify systemic problems that injure patients while enhancing individual accountability and teamwork. This article introduces human factors science and its applicability to teamwork, surgical culture, medical error, and individual accountability.", "author" : [ { "dropping-particle" : "", "family" : "Stein", "given" : "James E.", "non-dropping-particle" : "", "parse-names" : false, "suffix" : "" } ], "container-title" : "Seminars in Pediatric Surgery", "id" : "ITEM-7", "issue" : "6", "issued" : { "date-parts" : [ [ "2015" ] ] }, "page" : "278-282", "title" : "The Swiss cheese model of adverse event occurrence\u2014Closing the holes", "type" : "article-journal", "volume" : "24" }, "uris" : [ "http://www.mendeley.com/documents/?uuid=c1f1354e-471d-3fc0-8e0c-192c83396bc6" ] } ], "mendeley" : { "formattedCitation" : "&lt;sup&gt;4\u201310&lt;/sup&gt;", "plainTextFormattedCitation" : "4\u201310", "previouslyFormattedCitation" : "&lt;sup&gt;4\u201310&lt;/sup&gt;" }, "properties" : { "noteIndex" : 0 }, "schema" : "https://github.com/citation-style-language/schema/raw/master/csl-citation.json" }</w:instrText>
      </w:r>
      <w:r>
        <w:rPr>
          <w:rFonts w:ascii="Times New Roman" w:hAnsi="Times New Roman"/>
          <w:sz w:val="24"/>
          <w:szCs w:val="24"/>
        </w:rPr>
        <w:fldChar w:fldCharType="separate"/>
      </w:r>
      <w:r w:rsidRPr="00AF16FF">
        <w:rPr>
          <w:rFonts w:ascii="Times New Roman" w:hAnsi="Times New Roman"/>
          <w:noProof/>
          <w:sz w:val="24"/>
          <w:szCs w:val="24"/>
          <w:vertAlign w:val="superscript"/>
        </w:rPr>
        <w:t>4–10</w:t>
      </w:r>
      <w:r>
        <w:rPr>
          <w:rFonts w:ascii="Times New Roman" w:hAnsi="Times New Roman"/>
          <w:sz w:val="24"/>
          <w:szCs w:val="24"/>
        </w:rPr>
        <w:fldChar w:fldCharType="end"/>
      </w:r>
      <w:r>
        <w:rPr>
          <w:rFonts w:ascii="Times New Roman" w:hAnsi="Times New Roman"/>
          <w:sz w:val="24"/>
          <w:szCs w:val="24"/>
        </w:rPr>
        <w:t xml:space="preserve"> is due to deficiencies in non-technical skills. </w:t>
      </w:r>
    </w:p>
    <w:p w14:paraId="5CFD97A1" w14:textId="77777777" w:rsidR="00DD2DAC" w:rsidRDefault="00DD2DAC" w:rsidP="00F05633">
      <w:pPr>
        <w:spacing w:after="0" w:line="240" w:lineRule="auto"/>
        <w:contextualSpacing/>
        <w:rPr>
          <w:rFonts w:ascii="Times New Roman" w:hAnsi="Times New Roman" w:cs="Times New Roman"/>
          <w:color w:val="000000" w:themeColor="text1"/>
          <w:sz w:val="24"/>
          <w:szCs w:val="24"/>
        </w:rPr>
      </w:pPr>
    </w:p>
    <w:p w14:paraId="7A44A60B" w14:textId="49E9BD2C" w:rsidR="00385B91" w:rsidRDefault="0039728B" w:rsidP="00385B91">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has been more frequent assessment of professional practice in recent years as a result of emerging competency-based medical education requirements and an emphasis on accountability </w:t>
      </w:r>
      <w:r w:rsidR="00385B91">
        <w:rPr>
          <w:rFonts w:ascii="Times New Roman" w:hAnsi="Times New Roman" w:cs="Times New Roman"/>
          <w:color w:val="000000" w:themeColor="text1"/>
          <w:sz w:val="24"/>
          <w:szCs w:val="24"/>
        </w:rPr>
        <w:t>of professional performance</w:t>
      </w:r>
      <w:r>
        <w:rPr>
          <w:rFonts w:ascii="Times New Roman" w:hAnsi="Times New Roman" w:cs="Times New Roman"/>
          <w:color w:val="000000" w:themeColor="text1"/>
          <w:sz w:val="24"/>
          <w:szCs w:val="24"/>
        </w:rPr>
        <w:t xml:space="preserve"> for patient safety</w:t>
      </w:r>
      <w:r w:rsidR="00772052">
        <w:rPr>
          <w:rFonts w:ascii="Times New Roman" w:hAnsi="Times New Roman" w:cs="Times New Roman"/>
          <w:color w:val="000000" w:themeColor="text1"/>
          <w:sz w:val="24"/>
          <w:szCs w:val="24"/>
        </w:rPr>
        <w:t>.</w:t>
      </w:r>
      <w:r w:rsidR="0064667F">
        <w:rPr>
          <w:rFonts w:ascii="Times New Roman" w:hAnsi="Times New Roman" w:cs="Times New Roman"/>
          <w:color w:val="000000" w:themeColor="text1"/>
          <w:sz w:val="24"/>
          <w:szCs w:val="24"/>
        </w:rPr>
        <w:fldChar w:fldCharType="begin" w:fldLock="1"/>
      </w:r>
      <w:r w:rsidR="0091499F">
        <w:rPr>
          <w:rFonts w:ascii="Times New Roman" w:hAnsi="Times New Roman" w:cs="Times New Roman"/>
          <w:color w:val="000000" w:themeColor="text1"/>
          <w:sz w:val="24"/>
          <w:szCs w:val="24"/>
        </w:rPr>
        <w:instrText>ADDIN CSL_CITATION { "citationItems" : [ { "id" : "ITEM-1", "itemData" : { "DOI" : "10.1155/2015/713038", "ISBN" : "1687-6962", "ISSN" : "16876970", "PMID" : "26798337", "abstract" : "Competency-based medical education is gaining traction as a solution to address the challenges associated with the current time-based models of physician training. Competency-based medical education is an outcomes-based approach that involves identifying the abilities required of physicians and then designing the curriculum to support the achievement and assessment of these competencies. This paradigm defies the assumption that competence is achieved based on time spent on rotations and instead requires residents to demonstrate competence. The Royal College of Physicians and Surgeons of Canada (RCPSC) has launched Competence by Design (CBD), a competency-based approach for residency training and specialty practice. The first residents to be trained within this model will be those in medical oncology and otolaryngology-head and neck surgery in July, 2016. However, with approval from the RCPSC, the Department of Anesthesiology, University of Ottawa, launched an innovative competency-based residency training program July 1, 2015. The purpose of this paper is to provide an overview of the program and offer a blueprint for other programs planning similar curricular reform. The program is structured according to the RCPSC CBD stages and addresses all CanMEDS roles. While our program retains some aspects of the traditional design, we have made many transformational changes.", "author" : [ { "dropping-particle" : "", "family" : "Stodel", "given" : "Emma J.", "non-dropping-particle" : "", "parse-names" : false, "suffix" : "" }, { "dropping-particle" : "", "family" : "Wyand", "given" : "Anna", "non-dropping-particle" : "", "parse-names" : false, "suffix" : "" }, { "dropping-particle" : "", "family" : "Crooks", "given" : "Simone", "non-dropping-particle" : "", "parse-names" : false, "suffix" : "" }, { "dropping-particle" : "", "family" : "Moffett", "given" : "St\u00e9phane", "non-dropping-particle" : "", "parse-names" : false, "suffix" : "" }, { "dropping-particle" : "", "family" : "Chiu", "given" : "Michelle", "non-dropping-particle" : "", "parse-names" : false, "suffix" : "" }, { "dropping-particle" : "", "family" : "Hudson", "given" : "Christopher C C", "non-dropping-particle" : "", "parse-names" : false, "suffix" : "" } ], "container-title" : "Anesthesiology Research and Practice", "id" : "ITEM-1", "issued" : { "date-parts" : [ [ "2015" ] ] }, "title" : "Designing and Implementing a Competency-Based Training Program for Anesthesiology Residents at the University of Ottawa", "type" : "article-journal", "volume" : "2015" }, "uris" : [ "http://www.mendeley.com/documents/?uuid=875ec018-7e9c-4735-ae3d-8032716846c5" ] } ], "mendeley" : { "formattedCitation" : "&lt;sup&gt;11&lt;/sup&gt;", "plainTextFormattedCitation" : "11", "previouslyFormattedCitation" : "&lt;sup&gt;11&lt;/sup&gt;" }, "properties" : { "noteIndex" : 0 }, "schema" : "https://github.com/citation-style-language/schema/raw/master/csl-citation.json" }</w:instrText>
      </w:r>
      <w:r w:rsidR="0064667F">
        <w:rPr>
          <w:rFonts w:ascii="Times New Roman" w:hAnsi="Times New Roman" w:cs="Times New Roman"/>
          <w:color w:val="000000" w:themeColor="text1"/>
          <w:sz w:val="24"/>
          <w:szCs w:val="24"/>
        </w:rPr>
        <w:fldChar w:fldCharType="separate"/>
      </w:r>
      <w:r w:rsidR="00AF16FF" w:rsidRPr="00AF16FF">
        <w:rPr>
          <w:rFonts w:ascii="Times New Roman" w:hAnsi="Times New Roman" w:cs="Times New Roman"/>
          <w:noProof/>
          <w:color w:val="000000" w:themeColor="text1"/>
          <w:sz w:val="24"/>
          <w:szCs w:val="24"/>
          <w:vertAlign w:val="superscript"/>
        </w:rPr>
        <w:t>11</w:t>
      </w:r>
      <w:r w:rsidR="0064667F">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I</w:t>
      </w:r>
      <w:r w:rsidR="005158B5">
        <w:rPr>
          <w:rFonts w:ascii="Times New Roman" w:hAnsi="Times New Roman" w:cs="Times New Roman"/>
          <w:color w:val="000000" w:themeColor="text1"/>
          <w:sz w:val="24"/>
          <w:szCs w:val="24"/>
        </w:rPr>
        <w:t xml:space="preserve">nterpersonal </w:t>
      </w:r>
      <w:r w:rsidR="00AD75B5">
        <w:rPr>
          <w:rFonts w:ascii="Times New Roman" w:hAnsi="Times New Roman" w:cs="Times New Roman"/>
          <w:color w:val="000000" w:themeColor="text1"/>
          <w:sz w:val="24"/>
          <w:szCs w:val="24"/>
        </w:rPr>
        <w:t xml:space="preserve">skills, </w:t>
      </w:r>
      <w:r w:rsidR="005158B5">
        <w:rPr>
          <w:rFonts w:ascii="Times New Roman" w:hAnsi="Times New Roman" w:cs="Times New Roman"/>
          <w:color w:val="000000" w:themeColor="text1"/>
          <w:sz w:val="24"/>
          <w:szCs w:val="24"/>
        </w:rPr>
        <w:t xml:space="preserve">communication skills, leadership, collaboration, </w:t>
      </w:r>
      <w:r w:rsidR="00E446E4">
        <w:rPr>
          <w:rFonts w:ascii="Times New Roman" w:hAnsi="Times New Roman" w:cs="Times New Roman"/>
          <w:color w:val="000000" w:themeColor="text1"/>
          <w:sz w:val="24"/>
          <w:szCs w:val="24"/>
        </w:rPr>
        <w:t xml:space="preserve">situation awareness, </w:t>
      </w:r>
      <w:r w:rsidR="005158B5">
        <w:rPr>
          <w:rFonts w:ascii="Times New Roman" w:hAnsi="Times New Roman" w:cs="Times New Roman"/>
          <w:color w:val="000000" w:themeColor="text1"/>
          <w:sz w:val="24"/>
          <w:szCs w:val="24"/>
        </w:rPr>
        <w:t xml:space="preserve">and professionalism </w:t>
      </w:r>
      <w:r>
        <w:rPr>
          <w:rFonts w:ascii="Times New Roman" w:hAnsi="Times New Roman" w:cs="Times New Roman"/>
          <w:color w:val="000000" w:themeColor="text1"/>
          <w:sz w:val="24"/>
          <w:szCs w:val="24"/>
        </w:rPr>
        <w:t xml:space="preserve">have been identified by both US and Canadian institutions </w:t>
      </w:r>
      <w:r w:rsidR="005158B5">
        <w:rPr>
          <w:rFonts w:ascii="Times New Roman" w:hAnsi="Times New Roman" w:cs="Times New Roman"/>
          <w:color w:val="000000" w:themeColor="text1"/>
          <w:sz w:val="24"/>
          <w:szCs w:val="24"/>
        </w:rPr>
        <w:t>as core competencies for anesthesiologists.</w:t>
      </w:r>
      <w:r w:rsidR="00382E94">
        <w:rPr>
          <w:rFonts w:ascii="Times New Roman" w:hAnsi="Times New Roman" w:cs="Times New Roman"/>
          <w:color w:val="000000" w:themeColor="text1"/>
          <w:sz w:val="24"/>
          <w:szCs w:val="24"/>
        </w:rPr>
        <w:fldChar w:fldCharType="begin" w:fldLock="1"/>
      </w:r>
      <w:r w:rsidR="0091499F">
        <w:rPr>
          <w:rFonts w:ascii="Times New Roman" w:hAnsi="Times New Roman" w:cs="Times New Roman"/>
          <w:color w:val="000000" w:themeColor="text1"/>
          <w:sz w:val="24"/>
          <w:szCs w:val="24"/>
        </w:rPr>
        <w:instrText>ADDIN CSL_CITATION { "citationItems" : [ { "id" : "ITEM-1", "itemData" : { "URL" : "http://www.royalcollege.ca/rc/faces/oracle/webcenter/portalapp/pages/viewDocument.jspx?document_id=RCP-00161435&amp;_adf.ctrl-state=10w28tl0td_17&amp;_afrLoop=12070258186657680&amp;_afrWindowMode=0&amp;_afrWindowId=null#!%40%40%3F_afrWindowId%3Dnull%26document_id%3DRCP-0", "accessed" : { "date-parts" : [ [ "2017", "8", "9" ] ] }, "author" : [ { "dropping-particle" : "", "family" : "Royal College of Physicians and Surgeons of Canada", "given" : "", "non-dropping-particle" : "", "parse-names" : false, "suffix" : "" } ], "id" : "ITEM-1", "issued" : { "date-parts" : [ [ "2017" ] ] }, "title" : "Anesthesiology Competencies", "type" : "webpage" }, "uris" : [ "http://www.mendeley.com/documents/?uuid=27b8773f-523d-398f-b6c0-71acd1d319b4" ] }, { "id" : "ITEM-2", "itemData" : { "URL" : "https://www.acgme.org/Portals/0/PDFs/Milestones/AnesthesiologyMilestones.pdf", "accessed" : { "date-parts" : [ [ "2017", "8", "9" ] ] }, "author" : [ { "dropping-particle" : "", "family" : "Accreditation Council for Graduate Medical Education", "given" : "", "non-dropping-particle" : "", "parse-names" : false, "suffix" : "" } ], "id" : "ITEM-2", "issued" : { "date-parts" : [ [ "2015" ] ] }, "title" : "The Anesthesiology Milestone Project", "type" : "webpage" }, "uris" : [ "http://www.mendeley.com/documents/?uuid=49490a62-3e38-3e2c-a0db-87b1f174781d" ] } ], "mendeley" : { "formattedCitation" : "&lt;sup&gt;13,14&lt;/sup&gt;", "plainTextFormattedCitation" : "13,14", "previouslyFormattedCitation" : "&lt;sup&gt;13,14&lt;/sup&gt;" }, "properties" : { "noteIndex" : 0 }, "schema" : "https://github.com/citation-style-language/schema/raw/master/csl-citation.json" }</w:instrText>
      </w:r>
      <w:r w:rsidR="00382E94">
        <w:rPr>
          <w:rFonts w:ascii="Times New Roman" w:hAnsi="Times New Roman" w:cs="Times New Roman"/>
          <w:color w:val="000000" w:themeColor="text1"/>
          <w:sz w:val="24"/>
          <w:szCs w:val="24"/>
        </w:rPr>
        <w:fldChar w:fldCharType="separate"/>
      </w:r>
      <w:r w:rsidR="00AF16FF" w:rsidRPr="00AF16FF">
        <w:rPr>
          <w:rFonts w:ascii="Times New Roman" w:hAnsi="Times New Roman" w:cs="Times New Roman"/>
          <w:noProof/>
          <w:color w:val="000000" w:themeColor="text1"/>
          <w:sz w:val="24"/>
          <w:szCs w:val="24"/>
          <w:vertAlign w:val="superscript"/>
        </w:rPr>
        <w:t>13,14</w:t>
      </w:r>
      <w:r w:rsidR="00382E94">
        <w:rPr>
          <w:rFonts w:ascii="Times New Roman" w:hAnsi="Times New Roman" w:cs="Times New Roman"/>
          <w:color w:val="000000" w:themeColor="text1"/>
          <w:sz w:val="24"/>
          <w:szCs w:val="24"/>
        </w:rPr>
        <w:fldChar w:fldCharType="end"/>
      </w:r>
      <w:r w:rsidR="005158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sidR="001A5585">
        <w:rPr>
          <w:rFonts w:ascii="Times New Roman" w:hAnsi="Times New Roman" w:cs="Times New Roman"/>
          <w:color w:val="000000" w:themeColor="text1"/>
          <w:sz w:val="24"/>
          <w:szCs w:val="24"/>
        </w:rPr>
        <w:t xml:space="preserve">easuring </w:t>
      </w:r>
      <w:r w:rsidR="00AD75B5">
        <w:rPr>
          <w:rFonts w:ascii="Times New Roman" w:hAnsi="Times New Roman" w:cs="Times New Roman"/>
          <w:color w:val="000000" w:themeColor="text1"/>
          <w:sz w:val="24"/>
          <w:szCs w:val="24"/>
        </w:rPr>
        <w:t xml:space="preserve">non-technical </w:t>
      </w:r>
      <w:r w:rsidR="001A5585">
        <w:rPr>
          <w:rFonts w:ascii="Times New Roman" w:hAnsi="Times New Roman" w:cs="Times New Roman"/>
          <w:color w:val="000000" w:themeColor="text1"/>
          <w:sz w:val="24"/>
          <w:szCs w:val="24"/>
        </w:rPr>
        <w:t>performance</w:t>
      </w:r>
      <w:r w:rsidR="00385B9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 the OR </w:t>
      </w:r>
      <w:r w:rsidR="00AD75B5">
        <w:rPr>
          <w:rFonts w:ascii="Times New Roman" w:hAnsi="Times New Roman" w:cs="Times New Roman"/>
          <w:color w:val="000000" w:themeColor="text1"/>
          <w:sz w:val="24"/>
          <w:szCs w:val="24"/>
        </w:rPr>
        <w:t xml:space="preserve">is </w:t>
      </w:r>
      <w:r>
        <w:rPr>
          <w:rFonts w:ascii="Times New Roman" w:hAnsi="Times New Roman" w:cs="Times New Roman"/>
          <w:color w:val="000000" w:themeColor="text1"/>
          <w:sz w:val="24"/>
          <w:szCs w:val="24"/>
        </w:rPr>
        <w:t>therefore critical</w:t>
      </w:r>
      <w:r w:rsidR="00AD75B5">
        <w:rPr>
          <w:rFonts w:ascii="Times New Roman" w:hAnsi="Times New Roman" w:cs="Times New Roman"/>
          <w:color w:val="000000" w:themeColor="text1"/>
          <w:sz w:val="24"/>
          <w:szCs w:val="24"/>
        </w:rPr>
        <w:t xml:space="preserve"> to ensuring the </w:t>
      </w:r>
      <w:r w:rsidR="00385B91">
        <w:rPr>
          <w:rFonts w:ascii="Times New Roman" w:hAnsi="Times New Roman" w:cs="Times New Roman"/>
          <w:color w:val="000000" w:themeColor="text1"/>
          <w:sz w:val="24"/>
          <w:szCs w:val="24"/>
        </w:rPr>
        <w:t>provision of safe, high</w:t>
      </w:r>
      <w:r w:rsidR="007A32EC">
        <w:rPr>
          <w:rFonts w:ascii="Times New Roman" w:hAnsi="Times New Roman" w:cs="Times New Roman"/>
          <w:color w:val="000000" w:themeColor="text1"/>
          <w:sz w:val="24"/>
          <w:szCs w:val="24"/>
        </w:rPr>
        <w:t>-</w:t>
      </w:r>
      <w:r w:rsidR="00385B91">
        <w:rPr>
          <w:rFonts w:ascii="Times New Roman" w:hAnsi="Times New Roman" w:cs="Times New Roman"/>
          <w:color w:val="000000" w:themeColor="text1"/>
          <w:sz w:val="24"/>
          <w:szCs w:val="24"/>
        </w:rPr>
        <w:t xml:space="preserve">quality </w:t>
      </w:r>
      <w:r w:rsidR="00AD75B5">
        <w:rPr>
          <w:rFonts w:ascii="Times New Roman" w:hAnsi="Times New Roman" w:cs="Times New Roman"/>
          <w:color w:val="000000" w:themeColor="text1"/>
          <w:sz w:val="24"/>
          <w:szCs w:val="24"/>
        </w:rPr>
        <w:t xml:space="preserve">intraoperative </w:t>
      </w:r>
      <w:r w:rsidR="00385B91">
        <w:rPr>
          <w:rFonts w:ascii="Times New Roman" w:hAnsi="Times New Roman" w:cs="Times New Roman"/>
          <w:color w:val="000000" w:themeColor="text1"/>
          <w:sz w:val="24"/>
          <w:szCs w:val="24"/>
        </w:rPr>
        <w:t>care</w:t>
      </w:r>
      <w:r w:rsidR="00AD75B5">
        <w:rPr>
          <w:rFonts w:ascii="Times New Roman" w:hAnsi="Times New Roman" w:cs="Times New Roman"/>
          <w:color w:val="000000" w:themeColor="text1"/>
          <w:sz w:val="24"/>
          <w:szCs w:val="24"/>
        </w:rPr>
        <w:t>.</w:t>
      </w:r>
    </w:p>
    <w:p w14:paraId="36A2F09A" w14:textId="77777777" w:rsidR="00385B91" w:rsidRDefault="00385B91" w:rsidP="00385B91">
      <w:pPr>
        <w:spacing w:after="0" w:line="240" w:lineRule="auto"/>
        <w:rPr>
          <w:rFonts w:ascii="Times New Roman" w:hAnsi="Times New Roman" w:cs="Times New Roman"/>
          <w:color w:val="000000" w:themeColor="text1"/>
          <w:sz w:val="24"/>
          <w:szCs w:val="24"/>
        </w:rPr>
      </w:pPr>
    </w:p>
    <w:p w14:paraId="3BFA927F" w14:textId="7B11B54F" w:rsidR="00CF0F58" w:rsidRDefault="0039728B" w:rsidP="00E92D1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Comprehensive assessment of non-technical skills performance in clinical practice, however, requires robust tool(s) to be identified. </w:t>
      </w:r>
      <w:r w:rsidR="00E92D19">
        <w:rPr>
          <w:rFonts w:ascii="Times New Roman" w:hAnsi="Times New Roman" w:cs="Times New Roman"/>
          <w:color w:val="000000" w:themeColor="text1"/>
          <w:sz w:val="24"/>
          <w:szCs w:val="24"/>
        </w:rPr>
        <w:t xml:space="preserve">It is currently unknown </w:t>
      </w:r>
      <w:r w:rsidR="00E9650D">
        <w:rPr>
          <w:rFonts w:ascii="Times New Roman" w:hAnsi="Times New Roman" w:cs="Times New Roman"/>
          <w:color w:val="000000" w:themeColor="text1"/>
          <w:sz w:val="24"/>
          <w:szCs w:val="24"/>
        </w:rPr>
        <w:t xml:space="preserve">which assessment tools are the most robust for assessing </w:t>
      </w:r>
      <w:r w:rsidR="0090428B">
        <w:rPr>
          <w:rFonts w:ascii="Times New Roman" w:hAnsi="Times New Roman" w:cs="Times New Roman"/>
          <w:color w:val="000000" w:themeColor="text1"/>
          <w:sz w:val="24"/>
          <w:szCs w:val="24"/>
        </w:rPr>
        <w:t xml:space="preserve">non-technical skills in </w:t>
      </w:r>
      <w:r w:rsidR="00E9650D">
        <w:rPr>
          <w:rFonts w:ascii="Times New Roman" w:hAnsi="Times New Roman" w:cs="Times New Roman"/>
          <w:color w:val="000000" w:themeColor="text1"/>
          <w:sz w:val="24"/>
          <w:szCs w:val="24"/>
        </w:rPr>
        <w:t>anesthesia</w:t>
      </w:r>
      <w:r w:rsidR="00E92D19">
        <w:rPr>
          <w:rFonts w:ascii="Times New Roman" w:hAnsi="Times New Roman" w:cs="Times New Roman"/>
          <w:color w:val="000000" w:themeColor="text1"/>
          <w:sz w:val="24"/>
          <w:szCs w:val="24"/>
        </w:rPr>
        <w:t xml:space="preserve">, with inconsistency in the tools and settings used in evaluations of </w:t>
      </w:r>
      <w:r w:rsidR="009E0AD1">
        <w:rPr>
          <w:rFonts w:ascii="Times New Roman" w:hAnsi="Times New Roman" w:cs="Times New Roman"/>
          <w:color w:val="000000" w:themeColor="text1"/>
          <w:sz w:val="24"/>
          <w:szCs w:val="24"/>
        </w:rPr>
        <w:t>anesthesiologists’ non-technical skills</w:t>
      </w:r>
      <w:r w:rsidR="00E92D19">
        <w:rPr>
          <w:rFonts w:ascii="Times New Roman" w:hAnsi="Times New Roman" w:cs="Times New Roman"/>
          <w:color w:val="000000" w:themeColor="text1"/>
          <w:sz w:val="24"/>
          <w:szCs w:val="24"/>
        </w:rPr>
        <w:t>.</w:t>
      </w:r>
      <w:r w:rsidR="00CF0F58">
        <w:rPr>
          <w:rFonts w:ascii="Times New Roman" w:hAnsi="Times New Roman" w:cs="Times New Roman"/>
          <w:color w:val="000000" w:themeColor="text1"/>
          <w:sz w:val="24"/>
          <w:szCs w:val="24"/>
        </w:rPr>
        <w:t xml:space="preserve"> </w:t>
      </w:r>
    </w:p>
    <w:p w14:paraId="16D2EF33" w14:textId="77777777" w:rsidR="00CF0F58" w:rsidRDefault="00CF0F58" w:rsidP="00CF0F58">
      <w:pPr>
        <w:spacing w:after="0" w:line="240" w:lineRule="auto"/>
        <w:contextualSpacing/>
        <w:rPr>
          <w:rFonts w:ascii="Times New Roman" w:hAnsi="Times New Roman" w:cs="Times New Roman"/>
          <w:color w:val="000000" w:themeColor="text1"/>
          <w:sz w:val="24"/>
          <w:szCs w:val="24"/>
        </w:rPr>
      </w:pPr>
    </w:p>
    <w:p w14:paraId="332E7D12" w14:textId="1980E160" w:rsidR="00506151" w:rsidRPr="00506151" w:rsidRDefault="00506151" w:rsidP="00CF0F58">
      <w:pPr>
        <w:spacing w:after="0" w:line="24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Implications</w:t>
      </w:r>
    </w:p>
    <w:p w14:paraId="24E591C7" w14:textId="751325DC" w:rsidR="00CF0F58" w:rsidRDefault="00E92D19" w:rsidP="00C316F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CF0F58">
        <w:rPr>
          <w:rFonts w:ascii="Times New Roman" w:hAnsi="Times New Roman" w:cs="Times New Roman"/>
          <w:color w:val="000000" w:themeColor="text1"/>
          <w:sz w:val="24"/>
          <w:szCs w:val="24"/>
        </w:rPr>
        <w:t xml:space="preserve">dentifying the most robust tool(s) for assessing </w:t>
      </w:r>
      <w:r>
        <w:rPr>
          <w:rFonts w:ascii="Times New Roman" w:hAnsi="Times New Roman" w:cs="Times New Roman"/>
          <w:color w:val="000000" w:themeColor="text1"/>
          <w:sz w:val="24"/>
          <w:szCs w:val="24"/>
        </w:rPr>
        <w:t>anesthesiologists’ non-technical</w:t>
      </w:r>
      <w:r w:rsidR="00CF0F58">
        <w:rPr>
          <w:rFonts w:ascii="Times New Roman" w:hAnsi="Times New Roman" w:cs="Times New Roman"/>
          <w:color w:val="000000" w:themeColor="text1"/>
          <w:sz w:val="24"/>
          <w:szCs w:val="24"/>
        </w:rPr>
        <w:t xml:space="preserve"> skill</w:t>
      </w:r>
      <w:r>
        <w:rPr>
          <w:rFonts w:ascii="Times New Roman" w:hAnsi="Times New Roman" w:cs="Times New Roman"/>
          <w:color w:val="000000" w:themeColor="text1"/>
          <w:sz w:val="24"/>
          <w:szCs w:val="24"/>
        </w:rPr>
        <w:t xml:space="preserve">s will allow </w:t>
      </w:r>
      <w:r w:rsidR="004A081A">
        <w:rPr>
          <w:rFonts w:ascii="Times New Roman" w:hAnsi="Times New Roman" w:cs="Times New Roman"/>
          <w:color w:val="000000" w:themeColor="text1"/>
          <w:sz w:val="24"/>
          <w:szCs w:val="24"/>
        </w:rPr>
        <w:t>the a</w:t>
      </w:r>
      <w:r>
        <w:rPr>
          <w:rFonts w:ascii="Times New Roman" w:hAnsi="Times New Roman" w:cs="Times New Roman"/>
          <w:color w:val="000000" w:themeColor="text1"/>
          <w:sz w:val="24"/>
          <w:szCs w:val="24"/>
        </w:rPr>
        <w:t xml:space="preserve">nesthesia community </w:t>
      </w:r>
      <w:r w:rsidR="00CF0F58">
        <w:rPr>
          <w:rFonts w:ascii="Times New Roman" w:hAnsi="Times New Roman" w:cs="Times New Roman"/>
          <w:color w:val="000000" w:themeColor="text1"/>
          <w:sz w:val="24"/>
          <w:szCs w:val="24"/>
        </w:rPr>
        <w:t>to standardize future research on evaluation of interventions to improve anesthesiologists’ clinical performance. This will facilitate accurate, generalizable, and effective performance-tracking mechanisms</w:t>
      </w:r>
      <w:r>
        <w:rPr>
          <w:rFonts w:ascii="Times New Roman" w:hAnsi="Times New Roman" w:cs="Times New Roman"/>
          <w:color w:val="000000" w:themeColor="text1"/>
          <w:sz w:val="24"/>
          <w:szCs w:val="24"/>
        </w:rPr>
        <w:t xml:space="preserve"> as well as evidence-based education</w:t>
      </w:r>
      <w:r w:rsidR="00CF0F58">
        <w:rPr>
          <w:rFonts w:ascii="Times New Roman" w:hAnsi="Times New Roman" w:cs="Times New Roman"/>
          <w:color w:val="000000" w:themeColor="text1"/>
          <w:sz w:val="24"/>
          <w:szCs w:val="24"/>
        </w:rPr>
        <w:t>.</w:t>
      </w:r>
    </w:p>
    <w:p w14:paraId="11A784FE" w14:textId="77777777" w:rsidR="00E92D19" w:rsidRDefault="00E92D19" w:rsidP="00C316FC">
      <w:pPr>
        <w:spacing w:after="0" w:line="240" w:lineRule="auto"/>
        <w:rPr>
          <w:rFonts w:ascii="Times New Roman" w:hAnsi="Times New Roman" w:cs="Times New Roman"/>
          <w:color w:val="000000" w:themeColor="text1"/>
          <w:sz w:val="24"/>
          <w:szCs w:val="24"/>
        </w:rPr>
      </w:pPr>
    </w:p>
    <w:p w14:paraId="0052DE72" w14:textId="3A22C827" w:rsidR="00506151" w:rsidRPr="00506151" w:rsidRDefault="00506151" w:rsidP="00F05633">
      <w:pPr>
        <w:spacing w:after="0" w:line="240" w:lineRule="auto"/>
        <w:contextualSpacing/>
        <w:rPr>
          <w:rFonts w:ascii="Times New Roman" w:hAnsi="Times New Roman" w:cs="Times New Roman"/>
          <w:b/>
          <w:color w:val="000000" w:themeColor="text1"/>
          <w:sz w:val="24"/>
          <w:szCs w:val="24"/>
        </w:rPr>
      </w:pPr>
      <w:r w:rsidRPr="00506151">
        <w:rPr>
          <w:rFonts w:ascii="Times New Roman" w:hAnsi="Times New Roman" w:cs="Times New Roman"/>
          <w:b/>
          <w:color w:val="000000" w:themeColor="text1"/>
          <w:sz w:val="24"/>
          <w:szCs w:val="24"/>
        </w:rPr>
        <w:t>Objective</w:t>
      </w:r>
      <w:r w:rsidR="00E92D19">
        <w:rPr>
          <w:rFonts w:ascii="Times New Roman" w:hAnsi="Times New Roman" w:cs="Times New Roman"/>
          <w:b/>
          <w:color w:val="000000" w:themeColor="text1"/>
          <w:sz w:val="24"/>
          <w:szCs w:val="24"/>
        </w:rPr>
        <w:t>s</w:t>
      </w:r>
    </w:p>
    <w:p w14:paraId="0C86F302" w14:textId="3C12BCED" w:rsidR="00506151" w:rsidRDefault="009D2566" w:rsidP="00BC1A18">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systematic review </w:t>
      </w:r>
      <w:r w:rsidR="00E92D19">
        <w:rPr>
          <w:rFonts w:ascii="Times New Roman" w:hAnsi="Times New Roman" w:cs="Times New Roman"/>
          <w:color w:val="000000" w:themeColor="text1"/>
          <w:sz w:val="24"/>
          <w:szCs w:val="24"/>
        </w:rPr>
        <w:t>will:</w:t>
      </w:r>
      <w:r w:rsidR="00EA68C0">
        <w:rPr>
          <w:rFonts w:ascii="Times New Roman" w:hAnsi="Times New Roman" w:cs="Times New Roman"/>
          <w:color w:val="000000" w:themeColor="text1"/>
          <w:sz w:val="24"/>
          <w:szCs w:val="24"/>
        </w:rPr>
        <w:t xml:space="preserve"> </w:t>
      </w:r>
      <w:r w:rsidR="00E92D19">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summarize</w:t>
      </w:r>
      <w:r w:rsidRPr="00B44716">
        <w:rPr>
          <w:rFonts w:ascii="Times New Roman" w:hAnsi="Times New Roman" w:cs="Times New Roman"/>
          <w:color w:val="000000" w:themeColor="text1"/>
          <w:sz w:val="24"/>
          <w:szCs w:val="24"/>
        </w:rPr>
        <w:t xml:space="preserve"> the tools used to measure </w:t>
      </w:r>
      <w:r w:rsidR="0090428B">
        <w:rPr>
          <w:rFonts w:ascii="Times New Roman" w:hAnsi="Times New Roman" w:cs="Times New Roman"/>
          <w:color w:val="000000" w:themeColor="text1"/>
          <w:sz w:val="24"/>
          <w:szCs w:val="24"/>
        </w:rPr>
        <w:t xml:space="preserve">the </w:t>
      </w:r>
      <w:r w:rsidR="00EA68C0">
        <w:rPr>
          <w:rFonts w:ascii="Times New Roman" w:hAnsi="Times New Roman" w:cs="Times New Roman"/>
          <w:color w:val="000000" w:themeColor="text1"/>
          <w:sz w:val="24"/>
          <w:szCs w:val="24"/>
        </w:rPr>
        <w:t xml:space="preserve">intraoperative </w:t>
      </w:r>
      <w:r>
        <w:rPr>
          <w:rFonts w:ascii="Times New Roman" w:hAnsi="Times New Roman" w:cs="Times New Roman"/>
          <w:color w:val="000000" w:themeColor="text1"/>
          <w:sz w:val="24"/>
          <w:szCs w:val="24"/>
        </w:rPr>
        <w:t>non-technical performance</w:t>
      </w:r>
      <w:r w:rsidR="0090428B">
        <w:rPr>
          <w:rFonts w:ascii="Times New Roman" w:hAnsi="Times New Roman" w:cs="Times New Roman"/>
          <w:color w:val="000000" w:themeColor="text1"/>
          <w:sz w:val="24"/>
          <w:szCs w:val="24"/>
        </w:rPr>
        <w:t xml:space="preserve"> of anesthesiologists</w:t>
      </w:r>
      <w:r w:rsidR="00E92D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w:t>
      </w:r>
      <w:r w:rsidR="00E92D19">
        <w:rPr>
          <w:rFonts w:ascii="Times New Roman" w:hAnsi="Times New Roman" w:cs="Times New Roman"/>
          <w:color w:val="000000" w:themeColor="text1"/>
          <w:sz w:val="24"/>
          <w:szCs w:val="24"/>
        </w:rPr>
        <w:t xml:space="preserve">(2) </w:t>
      </w:r>
      <w:r w:rsidRPr="00B44716">
        <w:rPr>
          <w:rFonts w:ascii="Times New Roman" w:hAnsi="Times New Roman" w:cs="Times New Roman"/>
          <w:color w:val="000000" w:themeColor="text1"/>
          <w:sz w:val="24"/>
          <w:szCs w:val="24"/>
        </w:rPr>
        <w:t xml:space="preserve">synthesize the </w:t>
      </w:r>
      <w:r w:rsidR="00805BBB">
        <w:rPr>
          <w:rFonts w:ascii="Times New Roman" w:hAnsi="Times New Roman" w:cs="Times New Roman"/>
          <w:color w:val="000000" w:themeColor="text1"/>
          <w:sz w:val="24"/>
          <w:szCs w:val="24"/>
        </w:rPr>
        <w:t>psychometric</w:t>
      </w:r>
      <w:r w:rsidRPr="00B44716">
        <w:rPr>
          <w:rFonts w:ascii="Times New Roman" w:hAnsi="Times New Roman" w:cs="Times New Roman"/>
          <w:color w:val="000000" w:themeColor="text1"/>
          <w:sz w:val="24"/>
          <w:szCs w:val="24"/>
        </w:rPr>
        <w:t xml:space="preserve"> properties</w:t>
      </w:r>
      <w:r>
        <w:rPr>
          <w:rFonts w:ascii="Times New Roman" w:hAnsi="Times New Roman" w:cs="Times New Roman"/>
          <w:color w:val="000000" w:themeColor="text1"/>
          <w:sz w:val="24"/>
          <w:szCs w:val="24"/>
        </w:rPr>
        <w:t xml:space="preserve"> of these tools</w:t>
      </w:r>
      <w:r w:rsidRPr="00B4471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324E22FA" w14:textId="77777777" w:rsidR="00AA3EA4" w:rsidRDefault="00AA3EA4" w:rsidP="00BC1A18">
      <w:pPr>
        <w:spacing w:after="0" w:line="240" w:lineRule="auto"/>
        <w:contextualSpacing/>
        <w:rPr>
          <w:rFonts w:ascii="Times New Roman" w:hAnsi="Times New Roman" w:cs="Times New Roman"/>
          <w:color w:val="000000" w:themeColor="text1"/>
          <w:sz w:val="24"/>
          <w:szCs w:val="24"/>
        </w:rPr>
      </w:pPr>
    </w:p>
    <w:p w14:paraId="7C67791D" w14:textId="77777777" w:rsidR="00AA3EA4" w:rsidRDefault="00AA3EA4" w:rsidP="00AA3EA4">
      <w:pPr>
        <w:pStyle w:val="Normal1"/>
        <w:widowControl w:val="0"/>
        <w:jc w:val="both"/>
      </w:pPr>
      <w:r>
        <w:rPr>
          <w:rFonts w:ascii="Times New Roman" w:eastAsia="Times New Roman" w:hAnsi="Times New Roman" w:cs="Times New Roman"/>
          <w:b/>
        </w:rPr>
        <w:t>Search strategy and information sources</w:t>
      </w:r>
    </w:p>
    <w:p w14:paraId="289E3CF5" w14:textId="6EC71A33" w:rsidR="00AA3EA4" w:rsidRPr="00E318C9" w:rsidRDefault="00AA3EA4" w:rsidP="00AA3EA4">
      <w:pPr>
        <w:pStyle w:val="Normal1"/>
        <w:widowControl w:val="0"/>
        <w:jc w:val="both"/>
        <w:rPr>
          <w:rFonts w:ascii="Times New Roman" w:hAnsi="Times New Roman" w:cs="Times New Roman"/>
        </w:rPr>
      </w:pPr>
      <w:r w:rsidRPr="00E318C9">
        <w:rPr>
          <w:rFonts w:ascii="Times New Roman" w:hAnsi="Times New Roman" w:cs="Times New Roman"/>
        </w:rPr>
        <w:t xml:space="preserve">Literature searches </w:t>
      </w:r>
      <w:r>
        <w:rPr>
          <w:rFonts w:ascii="Times New Roman" w:hAnsi="Times New Roman" w:cs="Times New Roman"/>
        </w:rPr>
        <w:t>wil</w:t>
      </w:r>
      <w:r w:rsidR="00E92D19">
        <w:rPr>
          <w:rFonts w:ascii="Times New Roman" w:hAnsi="Times New Roman" w:cs="Times New Roman"/>
        </w:rPr>
        <w:t>l b</w:t>
      </w:r>
      <w:bookmarkStart w:id="0" w:name="_GoBack"/>
      <w:bookmarkEnd w:id="0"/>
      <w:r>
        <w:rPr>
          <w:rFonts w:ascii="Times New Roman" w:hAnsi="Times New Roman" w:cs="Times New Roman"/>
        </w:rPr>
        <w:t>e</w:t>
      </w:r>
      <w:r w:rsidRPr="00E318C9">
        <w:rPr>
          <w:rFonts w:ascii="Times New Roman" w:hAnsi="Times New Roman" w:cs="Times New Roman"/>
        </w:rPr>
        <w:t xml:space="preserve"> conducted </w:t>
      </w:r>
      <w:r w:rsidRPr="00E318C9">
        <w:rPr>
          <w:rFonts w:ascii="Times New Roman" w:eastAsia="Times New Roman" w:hAnsi="Times New Roman" w:cs="Times New Roman"/>
        </w:rPr>
        <w:t xml:space="preserve">by an experienced librarian collaborating closely with the </w:t>
      </w:r>
      <w:r w:rsidRPr="00E318C9">
        <w:rPr>
          <w:rFonts w:ascii="Times New Roman" w:eastAsia="Times New Roman" w:hAnsi="Times New Roman" w:cs="Times New Roman"/>
        </w:rPr>
        <w:lastRenderedPageBreak/>
        <w:t xml:space="preserve">team of investigators. </w:t>
      </w:r>
      <w:r w:rsidRPr="00E318C9">
        <w:rPr>
          <w:rFonts w:ascii="Times New Roman" w:hAnsi="Times New Roman" w:cs="Times New Roman"/>
        </w:rPr>
        <w:t xml:space="preserve">Medline and Medline in Process (via OVID), PsycINFO, CINAHL, Embase (via OVID), and ERIC </w:t>
      </w:r>
      <w:r>
        <w:rPr>
          <w:rFonts w:ascii="Times New Roman" w:hAnsi="Times New Roman" w:cs="Times New Roman"/>
        </w:rPr>
        <w:t>will be searched with no date or language restrictions.</w:t>
      </w:r>
      <w:r w:rsidRPr="00E318C9">
        <w:rPr>
          <w:rFonts w:ascii="Times New Roman" w:hAnsi="Times New Roman" w:cs="Times New Roman"/>
        </w:rPr>
        <w:t xml:space="preserve"> </w:t>
      </w:r>
      <w:r>
        <w:rPr>
          <w:rFonts w:ascii="Times New Roman" w:hAnsi="Times New Roman" w:cs="Times New Roman"/>
        </w:rPr>
        <w:t xml:space="preserve">The Medline search strategy </w:t>
      </w:r>
      <w:r>
        <w:rPr>
          <w:rFonts w:ascii="Times New Roman" w:hAnsi="Times New Roman" w:cs="Times New Roman"/>
        </w:rPr>
        <w:t>will be</w:t>
      </w:r>
      <w:r>
        <w:rPr>
          <w:rFonts w:ascii="Times New Roman" w:hAnsi="Times New Roman" w:cs="Times New Roman"/>
        </w:rPr>
        <w:t xml:space="preserve"> peer-reviewed by a second information specialist using the PRESS tool. Adjustments </w:t>
      </w:r>
      <w:r>
        <w:rPr>
          <w:rFonts w:ascii="Times New Roman" w:hAnsi="Times New Roman" w:cs="Times New Roman"/>
        </w:rPr>
        <w:t>will be</w:t>
      </w:r>
      <w:r>
        <w:rPr>
          <w:rFonts w:ascii="Times New Roman" w:hAnsi="Times New Roman" w:cs="Times New Roman"/>
        </w:rPr>
        <w:t xml:space="preserve"> made to the search for each database to optimize search results.</w:t>
      </w:r>
      <w:r>
        <w:rPr>
          <w:rFonts w:ascii="Times New Roman" w:hAnsi="Times New Roman" w:cs="Times New Roman"/>
        </w:rPr>
        <w:t xml:space="preserve"> R</w:t>
      </w:r>
      <w:r w:rsidRPr="00E318C9">
        <w:rPr>
          <w:rFonts w:ascii="Times New Roman" w:hAnsi="Times New Roman" w:cs="Times New Roman"/>
        </w:rPr>
        <w:t>eference lists of previously published systematic reviews and of included articles</w:t>
      </w:r>
      <w:r>
        <w:rPr>
          <w:rFonts w:ascii="Times New Roman" w:hAnsi="Times New Roman" w:cs="Times New Roman"/>
        </w:rPr>
        <w:t xml:space="preserve"> </w:t>
      </w:r>
      <w:r>
        <w:rPr>
          <w:rFonts w:ascii="Times New Roman" w:hAnsi="Times New Roman" w:cs="Times New Roman"/>
        </w:rPr>
        <w:t xml:space="preserve">will also be searched </w:t>
      </w:r>
      <w:r>
        <w:rPr>
          <w:rFonts w:ascii="Times New Roman" w:hAnsi="Times New Roman" w:cs="Times New Roman"/>
        </w:rPr>
        <w:t>for additional relevant references</w:t>
      </w:r>
      <w:r w:rsidRPr="00E318C9">
        <w:rPr>
          <w:rFonts w:ascii="Times New Roman" w:hAnsi="Times New Roman" w:cs="Times New Roman"/>
        </w:rPr>
        <w:t xml:space="preserve">. </w:t>
      </w:r>
    </w:p>
    <w:p w14:paraId="231D9110" w14:textId="77777777" w:rsidR="00506151" w:rsidRDefault="00506151" w:rsidP="00BC1A18">
      <w:pPr>
        <w:spacing w:after="0" w:line="240" w:lineRule="auto"/>
        <w:contextualSpacing/>
        <w:rPr>
          <w:rFonts w:ascii="Times New Roman" w:hAnsi="Times New Roman" w:cs="Times New Roman"/>
          <w:color w:val="000000" w:themeColor="text1"/>
          <w:sz w:val="24"/>
          <w:szCs w:val="24"/>
        </w:rPr>
      </w:pPr>
    </w:p>
    <w:p w14:paraId="0C69D1DC" w14:textId="77777777" w:rsidR="00A467FF" w:rsidRDefault="00A467FF" w:rsidP="00F63FB7">
      <w:pPr>
        <w:pStyle w:val="Normal1"/>
        <w:rPr>
          <w:rFonts w:ascii="Times New Roman" w:eastAsia="Times New Roman" w:hAnsi="Times New Roman" w:cs="Times New Roman"/>
          <w:b/>
        </w:rPr>
      </w:pPr>
      <w:r>
        <w:rPr>
          <w:rFonts w:ascii="Times New Roman" w:eastAsia="Times New Roman" w:hAnsi="Times New Roman" w:cs="Times New Roman"/>
          <w:b/>
        </w:rPr>
        <w:t>Eligibility criteria</w:t>
      </w:r>
    </w:p>
    <w:p w14:paraId="48C2534B" w14:textId="0C9B9214" w:rsidR="00DE2FCE" w:rsidRDefault="00DE2FCE" w:rsidP="00F63FB7">
      <w:pPr>
        <w:pStyle w:val="Normal1"/>
        <w:rPr>
          <w:rFonts w:ascii="Times New Roman" w:eastAsia="Times New Roman" w:hAnsi="Times New Roman" w:cs="Times New Roman"/>
        </w:rPr>
      </w:pPr>
      <w:r>
        <w:rPr>
          <w:rFonts w:ascii="Times New Roman" w:eastAsia="Times New Roman" w:hAnsi="Times New Roman" w:cs="Times New Roman"/>
        </w:rPr>
        <w:t>Inclusion Criteria:</w:t>
      </w:r>
    </w:p>
    <w:p w14:paraId="1CB2FF43" w14:textId="09AA25DD" w:rsidR="00DE2FCE" w:rsidRDefault="00DE2FCE" w:rsidP="00DE2FCE">
      <w:pPr>
        <w:pStyle w:val="Normal1"/>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Examine</w:t>
      </w:r>
      <w:r w:rsidR="00FB02E1">
        <w:rPr>
          <w:rFonts w:ascii="Times New Roman" w:hAnsi="Times New Roman" w:cs="Times New Roman"/>
          <w:color w:val="000000" w:themeColor="text1"/>
        </w:rPr>
        <w:t xml:space="preserve"> the </w:t>
      </w:r>
      <w:r w:rsidR="00805BBB">
        <w:rPr>
          <w:rFonts w:ascii="Times New Roman" w:hAnsi="Times New Roman" w:cs="Times New Roman"/>
          <w:color w:val="000000" w:themeColor="text1"/>
        </w:rPr>
        <w:t>psychometric</w:t>
      </w:r>
      <w:r w:rsidR="00FB02E1">
        <w:rPr>
          <w:rFonts w:ascii="Times New Roman" w:hAnsi="Times New Roman" w:cs="Times New Roman"/>
          <w:color w:val="000000" w:themeColor="text1"/>
        </w:rPr>
        <w:t xml:space="preserve"> properties </w:t>
      </w:r>
      <w:r w:rsidR="00682386">
        <w:rPr>
          <w:rFonts w:ascii="Times New Roman" w:hAnsi="Times New Roman" w:cs="Times New Roman"/>
          <w:color w:val="000000" w:themeColor="text1"/>
        </w:rPr>
        <w:t xml:space="preserve">(i.e. validity and reliability) </w:t>
      </w:r>
      <w:r w:rsidR="00FB02E1">
        <w:rPr>
          <w:rFonts w:ascii="Times New Roman" w:hAnsi="Times New Roman" w:cs="Times New Roman"/>
          <w:color w:val="000000" w:themeColor="text1"/>
        </w:rPr>
        <w:t>of tools specifically intended to assess the non-technical skills of anesthesiologists</w:t>
      </w:r>
      <w:r w:rsidR="00C61CDF">
        <w:rPr>
          <w:rFonts w:ascii="Times New Roman" w:hAnsi="Times New Roman" w:cs="Times New Roman"/>
          <w:color w:val="000000" w:themeColor="text1"/>
        </w:rPr>
        <w:t xml:space="preserve"> (either trainee or graduated)</w:t>
      </w:r>
      <w:r>
        <w:rPr>
          <w:rFonts w:ascii="Times New Roman" w:hAnsi="Times New Roman" w:cs="Times New Roman"/>
          <w:color w:val="000000" w:themeColor="text1"/>
        </w:rPr>
        <w:t>.</w:t>
      </w:r>
    </w:p>
    <w:p w14:paraId="0B21C468" w14:textId="78419F04" w:rsidR="00DE2FCE" w:rsidRDefault="00DE2FCE" w:rsidP="00DE2FCE">
      <w:pPr>
        <w:pStyle w:val="Normal1"/>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 xml:space="preserve">Tools are </w:t>
      </w:r>
      <w:r>
        <w:rPr>
          <w:rFonts w:ascii="Times New Roman" w:hAnsi="Times New Roman" w:cs="Times New Roman"/>
          <w:color w:val="000000" w:themeColor="text1"/>
        </w:rPr>
        <w:t>evaluated within a clinical or simula</w:t>
      </w:r>
      <w:r>
        <w:rPr>
          <w:rFonts w:ascii="Times New Roman" w:hAnsi="Times New Roman" w:cs="Times New Roman"/>
          <w:color w:val="000000" w:themeColor="text1"/>
        </w:rPr>
        <w:t>tion intraoperative environment. T</w:t>
      </w:r>
      <w:r>
        <w:rPr>
          <w:rFonts w:ascii="Times New Roman" w:hAnsi="Times New Roman" w:cs="Times New Roman"/>
          <w:color w:val="000000" w:themeColor="text1"/>
        </w:rPr>
        <w:t>he intraoperative period</w:t>
      </w:r>
      <w:r>
        <w:rPr>
          <w:rFonts w:ascii="Times New Roman" w:hAnsi="Times New Roman" w:cs="Times New Roman"/>
          <w:color w:val="000000" w:themeColor="text1"/>
        </w:rPr>
        <w:t xml:space="preserve"> is</w:t>
      </w:r>
      <w:r>
        <w:rPr>
          <w:rFonts w:ascii="Times New Roman" w:hAnsi="Times New Roman" w:cs="Times New Roman"/>
          <w:color w:val="000000" w:themeColor="text1"/>
        </w:rPr>
        <w:t xml:space="preserve"> defined as the time from when the patient is physically in the operating room or anesthetics room, where the anesthesiologist performs procedures or administers medication to the patient, until the time the patient leaves the OR. This </w:t>
      </w:r>
      <w:r>
        <w:rPr>
          <w:rFonts w:ascii="Times New Roman" w:hAnsi="Times New Roman" w:cs="Times New Roman"/>
          <w:color w:val="000000" w:themeColor="text1"/>
        </w:rPr>
        <w:t>excludes</w:t>
      </w:r>
      <w:r>
        <w:rPr>
          <w:rFonts w:ascii="Times New Roman" w:hAnsi="Times New Roman" w:cs="Times New Roman"/>
          <w:color w:val="000000" w:themeColor="text1"/>
        </w:rPr>
        <w:t xml:space="preserve"> both the pre- and post-operative periods (e.g. recovery room, endoscopy suite, interventional radiology).</w:t>
      </w:r>
    </w:p>
    <w:p w14:paraId="03EE9ADC" w14:textId="77777777" w:rsidR="00AA3EA4" w:rsidRDefault="00AA3EA4" w:rsidP="00DE2FCE">
      <w:pPr>
        <w:pStyle w:val="Normal1"/>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 xml:space="preserve">Study must </w:t>
      </w:r>
      <w:r>
        <w:rPr>
          <w:rFonts w:ascii="Times New Roman" w:hAnsi="Times New Roman" w:cs="Times New Roman"/>
          <w:color w:val="000000" w:themeColor="text1"/>
        </w:rPr>
        <w:t xml:space="preserve">include a quantitative analysis of psychometric properties or qualitative assessment of forms of validity. </w:t>
      </w:r>
    </w:p>
    <w:p w14:paraId="714F5DA6" w14:textId="1C66C0AF" w:rsidR="00AA3EA4" w:rsidRDefault="00AA3EA4" w:rsidP="00DE2FCE">
      <w:pPr>
        <w:pStyle w:val="Normal1"/>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 xml:space="preserve">Tools </w:t>
      </w:r>
      <w:r>
        <w:rPr>
          <w:rFonts w:ascii="Times New Roman" w:hAnsi="Times New Roman" w:cs="Times New Roman"/>
          <w:color w:val="000000" w:themeColor="text1"/>
        </w:rPr>
        <w:t xml:space="preserve">must </w:t>
      </w:r>
      <w:r>
        <w:rPr>
          <w:rFonts w:ascii="Times New Roman" w:hAnsi="Times New Roman" w:cs="Times New Roman"/>
          <w:color w:val="000000" w:themeColor="text1"/>
        </w:rPr>
        <w:t>be developed for objective assessment of skills</w:t>
      </w:r>
      <w:r>
        <w:rPr>
          <w:rFonts w:ascii="Times New Roman" w:hAnsi="Times New Roman" w:cs="Times New Roman"/>
          <w:color w:val="000000" w:themeColor="text1"/>
        </w:rPr>
        <w:t>.</w:t>
      </w:r>
    </w:p>
    <w:p w14:paraId="432FF940" w14:textId="2279F53A" w:rsidR="00DE2FCE" w:rsidRDefault="00DE2FCE" w:rsidP="00DE2FCE">
      <w:pPr>
        <w:pStyle w:val="Normal1"/>
        <w:rPr>
          <w:rFonts w:ascii="Times New Roman" w:hAnsi="Times New Roman" w:cs="Times New Roman"/>
          <w:color w:val="000000" w:themeColor="text1"/>
        </w:rPr>
      </w:pPr>
      <w:r>
        <w:rPr>
          <w:rFonts w:ascii="Times New Roman" w:hAnsi="Times New Roman" w:cs="Times New Roman"/>
          <w:color w:val="000000" w:themeColor="text1"/>
        </w:rPr>
        <w:t xml:space="preserve">Exclusion Criteria: </w:t>
      </w:r>
    </w:p>
    <w:p w14:paraId="7A96AC58" w14:textId="44FB3647" w:rsidR="00DE2FCE" w:rsidRDefault="00DE2FCE" w:rsidP="00DE2FCE">
      <w:pPr>
        <w:pStyle w:val="Normal1"/>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Tools that assess</w:t>
      </w:r>
      <w:r w:rsidR="00FB02E1">
        <w:rPr>
          <w:rFonts w:ascii="Times New Roman" w:hAnsi="Times New Roman" w:cs="Times New Roman"/>
          <w:color w:val="000000" w:themeColor="text1"/>
        </w:rPr>
        <w:t xml:space="preserve"> anesthesia assistants, nurse anesthetists, and </w:t>
      </w:r>
      <w:r w:rsidR="00682386">
        <w:rPr>
          <w:rFonts w:ascii="Times New Roman" w:hAnsi="Times New Roman" w:cs="Times New Roman"/>
          <w:color w:val="000000" w:themeColor="text1"/>
        </w:rPr>
        <w:t xml:space="preserve">interprofessional </w:t>
      </w:r>
      <w:r w:rsidR="00FB02E1">
        <w:rPr>
          <w:rFonts w:ascii="Times New Roman" w:hAnsi="Times New Roman" w:cs="Times New Roman"/>
          <w:color w:val="000000" w:themeColor="text1"/>
        </w:rPr>
        <w:t>team</w:t>
      </w:r>
      <w:r w:rsidR="00682386">
        <w:rPr>
          <w:rFonts w:ascii="Times New Roman" w:hAnsi="Times New Roman" w:cs="Times New Roman"/>
          <w:color w:val="000000" w:themeColor="text1"/>
        </w:rPr>
        <w:t>s</w:t>
      </w:r>
      <w:r>
        <w:rPr>
          <w:rFonts w:ascii="Times New Roman" w:hAnsi="Times New Roman" w:cs="Times New Roman"/>
          <w:color w:val="000000" w:themeColor="text1"/>
        </w:rPr>
        <w:t>.</w:t>
      </w:r>
    </w:p>
    <w:p w14:paraId="2DE24BC3" w14:textId="77777777" w:rsidR="00AA3EA4" w:rsidRDefault="00DE2FCE" w:rsidP="00DE2FCE">
      <w:pPr>
        <w:pStyle w:val="Normal1"/>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T</w:t>
      </w:r>
      <w:r w:rsidR="00AF753D">
        <w:rPr>
          <w:rFonts w:ascii="Times New Roman" w:hAnsi="Times New Roman" w:cs="Times New Roman"/>
          <w:color w:val="000000" w:themeColor="text1"/>
        </w:rPr>
        <w:t xml:space="preserve">ools </w:t>
      </w:r>
      <w:r w:rsidR="00AA3EA4">
        <w:rPr>
          <w:rFonts w:ascii="Times New Roman" w:hAnsi="Times New Roman" w:cs="Times New Roman"/>
          <w:color w:val="000000" w:themeColor="text1"/>
        </w:rPr>
        <w:t xml:space="preserve">that </w:t>
      </w:r>
      <w:r>
        <w:rPr>
          <w:rFonts w:ascii="Times New Roman" w:hAnsi="Times New Roman" w:cs="Times New Roman"/>
          <w:color w:val="000000" w:themeColor="text1"/>
        </w:rPr>
        <w:t>include</w:t>
      </w:r>
      <w:r w:rsidR="00AF753D">
        <w:rPr>
          <w:rFonts w:ascii="Times New Roman" w:hAnsi="Times New Roman" w:cs="Times New Roman"/>
          <w:color w:val="000000" w:themeColor="text1"/>
        </w:rPr>
        <w:t xml:space="preserve"> technical skills items</w:t>
      </w:r>
      <w:r w:rsidR="00FB02E1">
        <w:rPr>
          <w:rFonts w:ascii="Times New Roman" w:hAnsi="Times New Roman" w:cs="Times New Roman"/>
          <w:color w:val="000000" w:themeColor="text1"/>
        </w:rPr>
        <w:t xml:space="preserve">. </w:t>
      </w:r>
    </w:p>
    <w:p w14:paraId="42EDB13F" w14:textId="77777777" w:rsidR="00AA3EA4" w:rsidRDefault="00AA3EA4" w:rsidP="00DE2FCE">
      <w:pPr>
        <w:pStyle w:val="Normal1"/>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 xml:space="preserve">Studies where </w:t>
      </w:r>
      <w:r w:rsidR="00805BBB">
        <w:rPr>
          <w:rFonts w:ascii="Times New Roman" w:hAnsi="Times New Roman" w:cs="Times New Roman"/>
          <w:color w:val="000000" w:themeColor="text1"/>
        </w:rPr>
        <w:t>psychometric</w:t>
      </w:r>
      <w:r>
        <w:rPr>
          <w:rFonts w:ascii="Times New Roman" w:hAnsi="Times New Roman" w:cs="Times New Roman"/>
          <w:color w:val="000000" w:themeColor="text1"/>
        </w:rPr>
        <w:t xml:space="preserve"> assessment i</w:t>
      </w:r>
      <w:r w:rsidR="001C37C2">
        <w:rPr>
          <w:rFonts w:ascii="Times New Roman" w:hAnsi="Times New Roman" w:cs="Times New Roman"/>
          <w:color w:val="000000" w:themeColor="text1"/>
        </w:rPr>
        <w:t>s not the primary outcome</w:t>
      </w:r>
      <w:r>
        <w:rPr>
          <w:rFonts w:ascii="Times New Roman" w:hAnsi="Times New Roman" w:cs="Times New Roman"/>
          <w:color w:val="000000" w:themeColor="text1"/>
        </w:rPr>
        <w:t>.</w:t>
      </w:r>
    </w:p>
    <w:p w14:paraId="2899B437" w14:textId="77777777" w:rsidR="00AA3EA4" w:rsidRDefault="00AA3EA4" w:rsidP="00DE2FCE">
      <w:pPr>
        <w:pStyle w:val="Normal1"/>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Studies that evaluate</w:t>
      </w:r>
      <w:r w:rsidR="00015AEB">
        <w:rPr>
          <w:rFonts w:ascii="Times New Roman" w:hAnsi="Times New Roman" w:cs="Times New Roman"/>
          <w:color w:val="000000" w:themeColor="text1"/>
        </w:rPr>
        <w:t xml:space="preserve"> </w:t>
      </w:r>
      <w:r w:rsidR="001C37C2">
        <w:rPr>
          <w:rFonts w:ascii="Times New Roman" w:hAnsi="Times New Roman" w:cs="Times New Roman"/>
          <w:color w:val="000000" w:themeColor="text1"/>
        </w:rPr>
        <w:t xml:space="preserve">anesthesiologists’ performance but </w:t>
      </w:r>
      <w:r>
        <w:rPr>
          <w:rFonts w:ascii="Times New Roman" w:hAnsi="Times New Roman" w:cs="Times New Roman"/>
          <w:color w:val="000000" w:themeColor="text1"/>
        </w:rPr>
        <w:t>not the assessment tool itself.</w:t>
      </w:r>
    </w:p>
    <w:p w14:paraId="6CCAC6CA" w14:textId="236AC98F" w:rsidR="00B25AFA" w:rsidRDefault="00AA3EA4" w:rsidP="00DE2FCE">
      <w:pPr>
        <w:pStyle w:val="Normal1"/>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 xml:space="preserve">Tools that are developed for </w:t>
      </w:r>
      <w:r w:rsidR="00A92C81">
        <w:rPr>
          <w:rFonts w:ascii="Times New Roman" w:hAnsi="Times New Roman" w:cs="Times New Roman"/>
          <w:color w:val="000000" w:themeColor="text1"/>
        </w:rPr>
        <w:t>subjective (i.e. self-reported) assessment</w:t>
      </w:r>
      <w:r w:rsidR="00A36898">
        <w:rPr>
          <w:rFonts w:ascii="Times New Roman" w:hAnsi="Times New Roman" w:cs="Times New Roman"/>
          <w:color w:val="000000" w:themeColor="text1"/>
        </w:rPr>
        <w:t xml:space="preserve"> </w:t>
      </w:r>
      <w:r>
        <w:rPr>
          <w:rFonts w:ascii="Times New Roman" w:hAnsi="Times New Roman" w:cs="Times New Roman"/>
          <w:color w:val="000000" w:themeColor="text1"/>
        </w:rPr>
        <w:t>of skills.</w:t>
      </w:r>
    </w:p>
    <w:p w14:paraId="08DD1270" w14:textId="77777777" w:rsidR="00342D44" w:rsidRDefault="00342D44" w:rsidP="00FE60A5">
      <w:pPr>
        <w:spacing w:after="0" w:line="240" w:lineRule="auto"/>
        <w:contextualSpacing/>
        <w:rPr>
          <w:rFonts w:ascii="Times New Roman" w:hAnsi="Times New Roman" w:cs="Times New Roman"/>
          <w:color w:val="000000" w:themeColor="text1"/>
          <w:sz w:val="24"/>
          <w:szCs w:val="24"/>
        </w:rPr>
      </w:pPr>
    </w:p>
    <w:p w14:paraId="1A373053" w14:textId="77777777" w:rsidR="00342D44" w:rsidRDefault="00342D44" w:rsidP="00E07243">
      <w:pPr>
        <w:spacing w:after="0" w:line="240" w:lineRule="auto"/>
        <w:contextualSpacing/>
        <w:rPr>
          <w:rFonts w:ascii="Times New Roman" w:hAnsi="Times New Roman" w:cs="Times New Roman"/>
          <w:color w:val="000000" w:themeColor="text1"/>
          <w:sz w:val="24"/>
          <w:szCs w:val="24"/>
        </w:rPr>
      </w:pPr>
    </w:p>
    <w:p w14:paraId="54D63C15" w14:textId="77777777" w:rsidR="001B6AC4" w:rsidRDefault="001B6AC4" w:rsidP="00E07243">
      <w:pPr>
        <w:pStyle w:val="Normal1"/>
        <w:widowControl w:val="0"/>
      </w:pPr>
      <w:r>
        <w:rPr>
          <w:rFonts w:ascii="Times New Roman" w:eastAsia="Times New Roman" w:hAnsi="Times New Roman" w:cs="Times New Roman"/>
          <w:b/>
        </w:rPr>
        <w:t>Study selection</w:t>
      </w:r>
    </w:p>
    <w:p w14:paraId="1B64F5CA" w14:textId="2B14B522" w:rsidR="004F2D23" w:rsidRPr="00D96A26" w:rsidRDefault="00580CEA" w:rsidP="00FE60A5">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B25AFA">
        <w:rPr>
          <w:rFonts w:ascii="Times New Roman" w:hAnsi="Times New Roman" w:cs="Times New Roman"/>
          <w:color w:val="000000" w:themeColor="text1"/>
          <w:sz w:val="24"/>
          <w:szCs w:val="24"/>
        </w:rPr>
        <w:t>itles and abstracts</w:t>
      </w:r>
      <w:r w:rsidR="005366A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will be screened in duplicate for eligibility by two independent reviewers. Full-texts of included studies will then be reviewed. </w:t>
      </w:r>
      <w:r w:rsidR="00361533">
        <w:rPr>
          <w:rFonts w:ascii="Times New Roman" w:hAnsi="Times New Roman"/>
          <w:color w:val="000000" w:themeColor="text1"/>
          <w:sz w:val="24"/>
          <w:szCs w:val="24"/>
        </w:rPr>
        <w:t xml:space="preserve">Disagreements </w:t>
      </w:r>
      <w:r w:rsidR="00E91611">
        <w:rPr>
          <w:rFonts w:ascii="Times New Roman" w:hAnsi="Times New Roman"/>
          <w:color w:val="000000" w:themeColor="text1"/>
          <w:sz w:val="24"/>
          <w:szCs w:val="24"/>
        </w:rPr>
        <w:t xml:space="preserve">at each level of screening </w:t>
      </w:r>
      <w:r>
        <w:rPr>
          <w:rFonts w:ascii="Times New Roman" w:hAnsi="Times New Roman"/>
          <w:color w:val="000000" w:themeColor="text1"/>
          <w:sz w:val="24"/>
          <w:szCs w:val="24"/>
        </w:rPr>
        <w:t>will be</w:t>
      </w:r>
      <w:r w:rsidR="00361533">
        <w:rPr>
          <w:rFonts w:ascii="Times New Roman" w:hAnsi="Times New Roman"/>
          <w:color w:val="000000" w:themeColor="text1"/>
          <w:sz w:val="24"/>
          <w:szCs w:val="24"/>
        </w:rPr>
        <w:t xml:space="preserve"> resolved by consensus discussion or assistance from</w:t>
      </w:r>
      <w:r w:rsidR="00361533" w:rsidRPr="00B44716">
        <w:rPr>
          <w:rFonts w:ascii="Times New Roman" w:hAnsi="Times New Roman"/>
          <w:color w:val="000000" w:themeColor="text1"/>
          <w:sz w:val="24"/>
          <w:szCs w:val="24"/>
        </w:rPr>
        <w:t xml:space="preserve"> a</w:t>
      </w:r>
      <w:r w:rsidR="00361533">
        <w:rPr>
          <w:rFonts w:ascii="Times New Roman" w:hAnsi="Times New Roman"/>
          <w:color w:val="000000" w:themeColor="text1"/>
          <w:sz w:val="24"/>
          <w:szCs w:val="24"/>
        </w:rPr>
        <w:t>nother</w:t>
      </w:r>
      <w:r w:rsidR="00361533" w:rsidRPr="00B44716">
        <w:rPr>
          <w:rFonts w:ascii="Times New Roman" w:hAnsi="Times New Roman"/>
          <w:color w:val="000000" w:themeColor="text1"/>
          <w:sz w:val="24"/>
          <w:szCs w:val="24"/>
        </w:rPr>
        <w:t xml:space="preserve"> review</w:t>
      </w:r>
      <w:r w:rsidR="00361533">
        <w:rPr>
          <w:rFonts w:ascii="Times New Roman" w:hAnsi="Times New Roman"/>
          <w:color w:val="000000" w:themeColor="text1"/>
          <w:sz w:val="24"/>
          <w:szCs w:val="24"/>
        </w:rPr>
        <w:t>er if needed</w:t>
      </w:r>
      <w:r w:rsidR="00361533" w:rsidRPr="00B44716">
        <w:rPr>
          <w:rFonts w:ascii="Times New Roman" w:hAnsi="Times New Roman"/>
          <w:color w:val="000000" w:themeColor="text1"/>
          <w:sz w:val="24"/>
          <w:szCs w:val="24"/>
        </w:rPr>
        <w:t xml:space="preserve">. </w:t>
      </w:r>
    </w:p>
    <w:p w14:paraId="0B35FB36" w14:textId="77777777" w:rsidR="004F2D23" w:rsidRDefault="004F2D23" w:rsidP="00FE60A5">
      <w:pPr>
        <w:spacing w:after="0" w:line="240" w:lineRule="auto"/>
        <w:contextualSpacing/>
        <w:rPr>
          <w:rFonts w:ascii="Times New Roman" w:hAnsi="Times New Roman"/>
          <w:color w:val="000000" w:themeColor="text1"/>
          <w:sz w:val="24"/>
          <w:szCs w:val="24"/>
        </w:rPr>
      </w:pPr>
    </w:p>
    <w:p w14:paraId="3520A08C" w14:textId="4093A58E" w:rsidR="004F2D23" w:rsidRDefault="004F2D23" w:rsidP="009C7BC5">
      <w:pPr>
        <w:pStyle w:val="Normal1"/>
        <w:widowControl w:val="0"/>
        <w:rPr>
          <w:rFonts w:ascii="Times New Roman" w:eastAsia="Times New Roman" w:hAnsi="Times New Roman" w:cs="Times New Roman"/>
          <w:b/>
        </w:rPr>
      </w:pPr>
      <w:r>
        <w:rPr>
          <w:rFonts w:ascii="Times New Roman" w:eastAsia="Times New Roman" w:hAnsi="Times New Roman" w:cs="Times New Roman"/>
          <w:b/>
        </w:rPr>
        <w:t xml:space="preserve">Data </w:t>
      </w:r>
      <w:r w:rsidR="00580CEA">
        <w:rPr>
          <w:rFonts w:ascii="Times New Roman" w:eastAsia="Times New Roman" w:hAnsi="Times New Roman" w:cs="Times New Roman"/>
          <w:b/>
        </w:rPr>
        <w:t>extraction</w:t>
      </w:r>
    </w:p>
    <w:p w14:paraId="19949B87" w14:textId="02B72DC9" w:rsidR="00CA38D2" w:rsidRDefault="00361533" w:rsidP="00E318C9">
      <w:pPr>
        <w:pStyle w:val="Normal1"/>
        <w:widowControl w:val="0"/>
        <w:rPr>
          <w:rFonts w:ascii="Times New Roman" w:hAnsi="Times New Roman"/>
          <w:color w:val="000000" w:themeColor="text1"/>
        </w:rPr>
      </w:pPr>
      <w:r>
        <w:rPr>
          <w:rFonts w:ascii="Times New Roman" w:hAnsi="Times New Roman"/>
          <w:color w:val="000000" w:themeColor="text1"/>
        </w:rPr>
        <w:t xml:space="preserve">Data extraction </w:t>
      </w:r>
      <w:r w:rsidR="00580CEA">
        <w:rPr>
          <w:rFonts w:ascii="Times New Roman" w:hAnsi="Times New Roman"/>
          <w:color w:val="000000" w:themeColor="text1"/>
        </w:rPr>
        <w:t>will be</w:t>
      </w:r>
      <w:r>
        <w:rPr>
          <w:rFonts w:ascii="Times New Roman" w:hAnsi="Times New Roman"/>
          <w:color w:val="000000" w:themeColor="text1"/>
        </w:rPr>
        <w:t xml:space="preserve"> conducted </w:t>
      </w:r>
      <w:r w:rsidR="00A802BC">
        <w:rPr>
          <w:rFonts w:ascii="Times New Roman" w:hAnsi="Times New Roman"/>
          <w:color w:val="000000" w:themeColor="text1"/>
        </w:rPr>
        <w:t>by one reviewer</w:t>
      </w:r>
      <w:r>
        <w:rPr>
          <w:rFonts w:ascii="Times New Roman" w:hAnsi="Times New Roman"/>
          <w:color w:val="000000" w:themeColor="text1"/>
        </w:rPr>
        <w:t xml:space="preserve"> using an electronic data </w:t>
      </w:r>
      <w:r w:rsidR="00580CEA">
        <w:rPr>
          <w:rFonts w:ascii="Times New Roman" w:hAnsi="Times New Roman"/>
          <w:color w:val="000000" w:themeColor="text1"/>
        </w:rPr>
        <w:t xml:space="preserve">collection form </w:t>
      </w:r>
      <w:r w:rsidR="008669D0">
        <w:rPr>
          <w:rFonts w:ascii="Times New Roman" w:hAnsi="Times New Roman"/>
          <w:color w:val="000000" w:themeColor="text1"/>
        </w:rPr>
        <w:t>for all included articles</w:t>
      </w:r>
      <w:r>
        <w:rPr>
          <w:rFonts w:ascii="Times New Roman" w:hAnsi="Times New Roman"/>
          <w:color w:val="000000" w:themeColor="text1"/>
        </w:rPr>
        <w:t xml:space="preserve">. </w:t>
      </w:r>
      <w:r w:rsidR="00A802BC">
        <w:rPr>
          <w:rFonts w:ascii="Times New Roman" w:hAnsi="Times New Roman"/>
          <w:color w:val="000000" w:themeColor="text1"/>
        </w:rPr>
        <w:t xml:space="preserve">Extracted information </w:t>
      </w:r>
      <w:r w:rsidR="00580CEA">
        <w:rPr>
          <w:rFonts w:ascii="Times New Roman" w:hAnsi="Times New Roman"/>
          <w:color w:val="000000" w:themeColor="text1"/>
        </w:rPr>
        <w:t>will them be verified by a second reviewer</w:t>
      </w:r>
      <w:r w:rsidR="00A802BC">
        <w:rPr>
          <w:rFonts w:ascii="Times New Roman" w:hAnsi="Times New Roman"/>
          <w:color w:val="000000" w:themeColor="text1"/>
        </w:rPr>
        <w:t xml:space="preserve">. </w:t>
      </w:r>
      <w:r w:rsidR="00580CEA">
        <w:rPr>
          <w:rFonts w:ascii="Times New Roman" w:hAnsi="Times New Roman"/>
          <w:color w:val="000000" w:themeColor="text1"/>
        </w:rPr>
        <w:t>The final list of included tools will be reviewed by a group of</w:t>
      </w:r>
      <w:r w:rsidR="002902E8">
        <w:rPr>
          <w:rFonts w:ascii="Times New Roman" w:hAnsi="Times New Roman"/>
          <w:color w:val="000000" w:themeColor="text1"/>
        </w:rPr>
        <w:t xml:space="preserve"> anesthesiologists to determine accuracy and completeness. </w:t>
      </w:r>
      <w:r w:rsidR="00CA38D2">
        <w:rPr>
          <w:rFonts w:ascii="Times New Roman" w:eastAsia="Times New Roman" w:hAnsi="Times New Roman" w:cs="Times New Roman"/>
        </w:rPr>
        <w:t xml:space="preserve">The data extraction form </w:t>
      </w:r>
      <w:r w:rsidR="00580CEA">
        <w:rPr>
          <w:rFonts w:ascii="Times New Roman" w:eastAsia="Times New Roman" w:hAnsi="Times New Roman" w:cs="Times New Roman"/>
        </w:rPr>
        <w:t>will collect</w:t>
      </w:r>
      <w:r w:rsidR="00CA38D2">
        <w:rPr>
          <w:rFonts w:ascii="Times New Roman" w:eastAsia="Times New Roman" w:hAnsi="Times New Roman" w:cs="Times New Roman"/>
        </w:rPr>
        <w:t xml:space="preserve"> general article information</w:t>
      </w:r>
      <w:r w:rsidR="007748D2">
        <w:rPr>
          <w:rFonts w:ascii="Times New Roman" w:eastAsia="Times New Roman" w:hAnsi="Times New Roman" w:cs="Times New Roman"/>
        </w:rPr>
        <w:t xml:space="preserve"> (e.g. year and study location)</w:t>
      </w:r>
      <w:r w:rsidR="00CA38D2">
        <w:rPr>
          <w:rFonts w:ascii="Times New Roman" w:eastAsia="Times New Roman" w:hAnsi="Times New Roman" w:cs="Times New Roman"/>
        </w:rPr>
        <w:t>, demographics of learners</w:t>
      </w:r>
      <w:r w:rsidR="007748D2">
        <w:rPr>
          <w:rFonts w:ascii="Times New Roman" w:eastAsia="Times New Roman" w:hAnsi="Times New Roman" w:cs="Times New Roman"/>
        </w:rPr>
        <w:t xml:space="preserve"> (e.g. trainee status)</w:t>
      </w:r>
      <w:r w:rsidR="00CA38D2">
        <w:rPr>
          <w:rFonts w:ascii="Times New Roman" w:eastAsia="Times New Roman" w:hAnsi="Times New Roman" w:cs="Times New Roman"/>
        </w:rPr>
        <w:t xml:space="preserve">, </w:t>
      </w:r>
      <w:r w:rsidR="007748D2">
        <w:rPr>
          <w:rFonts w:ascii="Times New Roman" w:eastAsia="Times New Roman" w:hAnsi="Times New Roman" w:cs="Times New Roman"/>
        </w:rPr>
        <w:t xml:space="preserve">tool design (e.g. name and number of items), and </w:t>
      </w:r>
      <w:r w:rsidR="00805BBB">
        <w:rPr>
          <w:rFonts w:ascii="Times New Roman" w:eastAsia="Times New Roman" w:hAnsi="Times New Roman" w:cs="Times New Roman"/>
        </w:rPr>
        <w:t>psychometric</w:t>
      </w:r>
      <w:r w:rsidR="007748D2">
        <w:rPr>
          <w:rFonts w:ascii="Times New Roman" w:eastAsia="Times New Roman" w:hAnsi="Times New Roman" w:cs="Times New Roman"/>
        </w:rPr>
        <w:t xml:space="preserve"> outcomes (e.g. properties assessed and validation values). </w:t>
      </w:r>
    </w:p>
    <w:p w14:paraId="06424D28" w14:textId="77777777" w:rsidR="00E318C9" w:rsidRDefault="00E318C9" w:rsidP="00E318C9">
      <w:pPr>
        <w:pStyle w:val="Normal1"/>
        <w:widowControl w:val="0"/>
        <w:rPr>
          <w:rFonts w:ascii="Times New Roman" w:hAnsi="Times New Roman"/>
          <w:color w:val="000000" w:themeColor="text1"/>
        </w:rPr>
      </w:pPr>
    </w:p>
    <w:p w14:paraId="1693ECDB" w14:textId="48642D4B" w:rsidR="009C4E08" w:rsidRDefault="00C0604B" w:rsidP="00E318C9">
      <w:pPr>
        <w:pStyle w:val="Normal1"/>
        <w:widowControl w:val="0"/>
      </w:pPr>
      <w:r>
        <w:rPr>
          <w:rFonts w:ascii="Times New Roman" w:eastAsia="Times New Roman" w:hAnsi="Times New Roman" w:cs="Times New Roman"/>
          <w:b/>
        </w:rPr>
        <w:t>Study quality</w:t>
      </w:r>
    </w:p>
    <w:p w14:paraId="11FAB2AD" w14:textId="7F28898B" w:rsidR="00361533" w:rsidRPr="00F63FB7" w:rsidRDefault="00580CEA" w:rsidP="000029EA">
      <w:pPr>
        <w:pStyle w:val="Normal1"/>
        <w:widowControl w:val="0"/>
      </w:pPr>
      <w:r>
        <w:rPr>
          <w:rFonts w:ascii="Times New Roman" w:hAnsi="Times New Roman"/>
          <w:color w:val="000000" w:themeColor="text1"/>
        </w:rPr>
        <w:t xml:space="preserve">Screeners will assess the methodological quality of included studies in duplicate using </w:t>
      </w:r>
      <w:r w:rsidR="00361533">
        <w:rPr>
          <w:rFonts w:ascii="Times New Roman" w:hAnsi="Times New Roman"/>
          <w:color w:val="000000" w:themeColor="text1"/>
        </w:rPr>
        <w:t>The COSMIN checklist</w:t>
      </w:r>
      <w:r>
        <w:rPr>
          <w:rFonts w:ascii="Times New Roman" w:hAnsi="Times New Roman"/>
          <w:color w:val="000000" w:themeColor="text1"/>
        </w:rPr>
        <w:t>.</w:t>
      </w:r>
      <w:r w:rsidR="007D3B4A" w:rsidRPr="005138C1">
        <w:rPr>
          <w:rFonts w:ascii="Times New Roman" w:eastAsia="Times New Roman" w:hAnsi="Times New Roman" w:cs="Times New Roman"/>
        </w:rPr>
        <w:fldChar w:fldCharType="begin" w:fldLock="1"/>
      </w:r>
      <w:r w:rsidR="00644FB4">
        <w:rPr>
          <w:rFonts w:ascii="Times New Roman" w:eastAsia="Times New Roman" w:hAnsi="Times New Roman" w:cs="Times New Roman"/>
        </w:rPr>
        <w:instrText>ADDIN CSL_CITATION { "citationItems" : [ { "id" : "ITEM-1", "itemData" : { "DOI" : "10.1007/s11136-011-9960-1", "ISBN" : "1573-2649 (Electronic)\\r0962-9343 (Linking)", "ISSN" : "09629343", "PMID" : "21732199", "abstract" : "BACKGROUND: The COSMIN checklist is a standardized tool for assessing the methodological quality of studies on measurement properties. It contains 9 boxes, each dealing with one measurement property, with 5-18 items per box about design aspects and statistical methods. Our aim was to develop a scoring system for the COSMIN checklist to calculate quality scores per measurement property when using the checklist in systematic reviews of measurement properties.\\n\\nMETHODS: The scoring system was developed based on discussions among experts and testing of the scoring system on 46 articles from a systematic review. Four response options were defined for each COSMIN item (excellent, good, fair, and poor). A quality score per measurement property is obtained by taking the lowest rating of any item in a box (\"worst score counts\").\\n\\nRESULTS: Specific criteria for excellent, good, fair, and poor quality for each COSMIN item are described. In defining the criteria, the \"worst score counts\" algorithm was taken into consideration. This means that only fatal flaws were defined as poor quality. The scores of the 46 articles show how the scoring system can be used to provide an overview of the methodological quality of studies included in a systematic review of measurement properties.\\n\\nCONCLUSIONS: Based on experience in testing this scoring system on 46 articles, the COSMIN checklist with the proposed scoring system seems to be a useful tool for assessing the methodological quality of studies included in systematic reviews of measurement properties.", "author" : [ { "dropping-particle" : "", "family" : "Terwee", "given" : "Caroline B.", "non-dropping-particle" : "", "parse-names" : false, "suffix" : "" }, { "dropping-particle" : "", "family" : "Mokkink", "given" : "Lidwine B.", "non-dropping-particle" : "", "parse-names" : false, "suffix" : "" }, { "dropping-particle" : "", "family" : "Knol", "given" : "Dirk L.", "non-dropping-particle" : "", "parse-names" : false, "suffix" : "" }, { "dropping-particle" : "", "family" : "Ostelo", "given" : "Raymond W J G", "non-dropping-particle" : "", "parse-names" : false, "suffix" : "" }, { "dropping-particle" : "", "family" : "Bouter", "given" : "Lex M.", "non-dropping-particle" : "", "parse-names" : false, "suffix" : "" }, { "dropping-particle" : "", "family" : "Vet", "given" : "Henrica C W", "non-dropping-particle" : "De", "parse-names" : false, "suffix" : "" } ], "container-title" : "Quality of Life Research", "id" : "ITEM-1", "issue" : "4", "issued" : { "date-parts" : [ [ "2012" ] ] }, "page" : "651-657", "title" : "Rating the methodological quality in systematic reviews of studies on measurement properties: A scoring system for the COSMIN checklist", "type" : "article-journal", "volume" : "21" }, "uris" : [ "http://www.mendeley.com/documents/?uuid=397bce4b-5d8f-4dea-8a88-abce2b73ea89" ] } ], "mendeley" : { "formattedCitation" : "&lt;sup&gt;22&lt;/sup&gt;", "plainTextFormattedCitation" : "22", "previouslyFormattedCitation" : "&lt;sup&gt;22&lt;/sup&gt;" }, "properties" : { "noteIndex" : 0 }, "schema" : "https://github.com/citation-style-language/schema/raw/master/csl-citation.json" }</w:instrText>
      </w:r>
      <w:r w:rsidR="007D3B4A" w:rsidRPr="005138C1">
        <w:rPr>
          <w:rFonts w:ascii="Times New Roman" w:eastAsia="Times New Roman" w:hAnsi="Times New Roman" w:cs="Times New Roman"/>
        </w:rPr>
        <w:fldChar w:fldCharType="separate"/>
      </w:r>
      <w:r w:rsidR="0091499F" w:rsidRPr="0091499F">
        <w:rPr>
          <w:rFonts w:ascii="Times New Roman" w:eastAsia="Times New Roman" w:hAnsi="Times New Roman" w:cs="Times New Roman"/>
          <w:noProof/>
          <w:vertAlign w:val="superscript"/>
        </w:rPr>
        <w:t>22</w:t>
      </w:r>
      <w:r w:rsidR="007D3B4A" w:rsidRPr="005138C1">
        <w:rPr>
          <w:rFonts w:ascii="Times New Roman" w:eastAsia="Times New Roman" w:hAnsi="Times New Roman" w:cs="Times New Roman"/>
        </w:rPr>
        <w:fldChar w:fldCharType="end"/>
      </w:r>
      <w:r w:rsidR="00361533">
        <w:rPr>
          <w:rFonts w:ascii="Times New Roman" w:hAnsi="Times New Roman"/>
          <w:color w:val="000000" w:themeColor="text1"/>
        </w:rPr>
        <w:t xml:space="preserve"> </w:t>
      </w:r>
      <w:r>
        <w:rPr>
          <w:rFonts w:ascii="Times New Roman" w:hAnsi="Times New Roman"/>
          <w:color w:val="000000" w:themeColor="text1"/>
        </w:rPr>
        <w:t>Disa</w:t>
      </w:r>
      <w:r w:rsidR="007748D2">
        <w:rPr>
          <w:rFonts w:ascii="Times New Roman" w:hAnsi="Times New Roman"/>
          <w:color w:val="000000" w:themeColor="text1"/>
        </w:rPr>
        <w:t xml:space="preserve">greements </w:t>
      </w:r>
      <w:r>
        <w:rPr>
          <w:rFonts w:ascii="Times New Roman" w:hAnsi="Times New Roman"/>
          <w:color w:val="000000" w:themeColor="text1"/>
        </w:rPr>
        <w:t xml:space="preserve">will be </w:t>
      </w:r>
      <w:r w:rsidR="007748D2">
        <w:rPr>
          <w:rFonts w:ascii="Times New Roman" w:hAnsi="Times New Roman"/>
          <w:color w:val="000000" w:themeColor="text1"/>
        </w:rPr>
        <w:t>resolved through consensus or a third reviewer as required</w:t>
      </w:r>
      <w:r w:rsidR="00361533">
        <w:rPr>
          <w:rFonts w:ascii="Times New Roman" w:hAnsi="Times New Roman"/>
          <w:color w:val="000000" w:themeColor="text1"/>
        </w:rPr>
        <w:t xml:space="preserve">. </w:t>
      </w:r>
    </w:p>
    <w:p w14:paraId="375D2A17" w14:textId="77777777" w:rsidR="00361533" w:rsidRDefault="00361533" w:rsidP="00FE60A5">
      <w:pPr>
        <w:spacing w:after="0" w:line="240" w:lineRule="auto"/>
        <w:contextualSpacing/>
        <w:rPr>
          <w:rFonts w:ascii="Times New Roman" w:hAnsi="Times New Roman"/>
          <w:color w:val="000000" w:themeColor="text1"/>
          <w:sz w:val="24"/>
          <w:szCs w:val="24"/>
        </w:rPr>
      </w:pPr>
    </w:p>
    <w:p w14:paraId="5E96BBF3" w14:textId="3A84CBDB" w:rsidR="00D546CA" w:rsidRPr="00F63FB7" w:rsidRDefault="00975E04" w:rsidP="00FE60A5">
      <w:pPr>
        <w:spacing w:after="0" w:line="240" w:lineRule="auto"/>
        <w:contextualSpacing/>
        <w:rPr>
          <w:rFonts w:ascii="Times New Roman" w:hAnsi="Times New Roman"/>
          <w:b/>
          <w:color w:val="000000" w:themeColor="text1"/>
          <w:sz w:val="24"/>
          <w:szCs w:val="24"/>
        </w:rPr>
      </w:pPr>
      <w:r>
        <w:rPr>
          <w:rFonts w:ascii="Times New Roman" w:hAnsi="Times New Roman"/>
          <w:b/>
          <w:color w:val="000000" w:themeColor="text1"/>
          <w:sz w:val="24"/>
          <w:szCs w:val="24"/>
        </w:rPr>
        <w:t>Synthesis</w:t>
      </w:r>
    </w:p>
    <w:p w14:paraId="40A19766" w14:textId="783B3CA4" w:rsidR="000029EA" w:rsidRDefault="000029EA" w:rsidP="00FE60A5">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A narrative summary of the types of reliability and validity, </w:t>
      </w:r>
      <w:r w:rsidR="00805BBB">
        <w:rPr>
          <w:rFonts w:ascii="Times New Roman" w:hAnsi="Times New Roman"/>
          <w:color w:val="000000" w:themeColor="text1"/>
          <w:sz w:val="24"/>
          <w:szCs w:val="24"/>
        </w:rPr>
        <w:t>psychometric</w:t>
      </w:r>
      <w:r>
        <w:rPr>
          <w:rFonts w:ascii="Times New Roman" w:hAnsi="Times New Roman"/>
          <w:color w:val="000000" w:themeColor="text1"/>
          <w:sz w:val="24"/>
          <w:szCs w:val="24"/>
        </w:rPr>
        <w:t xml:space="preserve"> coefficients, validation context (i.e. simulation or clinical), and level of </w:t>
      </w:r>
      <w:r w:rsidR="00805BBB">
        <w:rPr>
          <w:rFonts w:ascii="Times New Roman" w:hAnsi="Times New Roman"/>
          <w:color w:val="000000" w:themeColor="text1"/>
          <w:sz w:val="24"/>
          <w:szCs w:val="24"/>
        </w:rPr>
        <w:t>psychometric</w:t>
      </w:r>
      <w:r>
        <w:rPr>
          <w:rFonts w:ascii="Times New Roman" w:hAnsi="Times New Roman"/>
          <w:color w:val="000000" w:themeColor="text1"/>
          <w:sz w:val="24"/>
          <w:szCs w:val="24"/>
        </w:rPr>
        <w:t xml:space="preserve"> evidence for each assessment tool (i.e. minimal, moderate, or extensive) </w:t>
      </w:r>
      <w:r w:rsidR="009565E7">
        <w:rPr>
          <w:rFonts w:ascii="Times New Roman" w:hAnsi="Times New Roman"/>
          <w:color w:val="000000" w:themeColor="text1"/>
          <w:sz w:val="24"/>
          <w:szCs w:val="24"/>
        </w:rPr>
        <w:t>will be</w:t>
      </w:r>
      <w:r>
        <w:rPr>
          <w:rFonts w:ascii="Times New Roman" w:hAnsi="Times New Roman"/>
          <w:color w:val="000000" w:themeColor="text1"/>
          <w:sz w:val="24"/>
          <w:szCs w:val="24"/>
        </w:rPr>
        <w:t xml:space="preserve"> completed for each included assessment tool. </w:t>
      </w:r>
    </w:p>
    <w:p w14:paraId="4772418C" w14:textId="77777777" w:rsidR="00FE60A5" w:rsidRDefault="00FE60A5" w:rsidP="00FE60A5">
      <w:pPr>
        <w:spacing w:after="0" w:line="240" w:lineRule="auto"/>
        <w:contextualSpacing/>
        <w:rPr>
          <w:rFonts w:ascii="Times New Roman" w:hAnsi="Times New Roman" w:cs="Times New Roman"/>
          <w:b/>
          <w:color w:val="000000" w:themeColor="text1"/>
          <w:sz w:val="24"/>
          <w:szCs w:val="24"/>
        </w:rPr>
      </w:pPr>
    </w:p>
    <w:p w14:paraId="32ECE017" w14:textId="09F7C832" w:rsidR="00975E04" w:rsidRDefault="00C65182" w:rsidP="00975E04">
      <w:pPr>
        <w:pStyle w:val="Heading1"/>
        <w:spacing w:before="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tools with more than one validation study, a meta-analysis of reliability coefficients (i.e. reliability generalization) </w:t>
      </w:r>
      <w:r w:rsidR="009565E7">
        <w:rPr>
          <w:rFonts w:ascii="Times New Roman" w:hAnsi="Times New Roman" w:cs="Times New Roman"/>
          <w:color w:val="000000" w:themeColor="text1"/>
          <w:sz w:val="24"/>
          <w:szCs w:val="24"/>
        </w:rPr>
        <w:t>will be</w:t>
      </w:r>
      <w:r>
        <w:rPr>
          <w:rFonts w:ascii="Times New Roman" w:hAnsi="Times New Roman" w:cs="Times New Roman"/>
          <w:color w:val="000000" w:themeColor="text1"/>
          <w:sz w:val="24"/>
          <w:szCs w:val="24"/>
        </w:rPr>
        <w:t xml:space="preserve"> performed. This type of analysis</w:t>
      </w:r>
      <w:r w:rsidRPr="00B44716">
        <w:rPr>
          <w:rFonts w:ascii="Times New Roman" w:hAnsi="Times New Roman" w:cs="Times New Roman"/>
          <w:color w:val="000000" w:themeColor="text1"/>
          <w:sz w:val="24"/>
          <w:szCs w:val="24"/>
        </w:rPr>
        <w:t xml:space="preserve"> integrate</w:t>
      </w:r>
      <w:r>
        <w:rPr>
          <w:rFonts w:ascii="Times New Roman" w:hAnsi="Times New Roman" w:cs="Times New Roman"/>
          <w:color w:val="000000" w:themeColor="text1"/>
          <w:sz w:val="24"/>
          <w:szCs w:val="24"/>
        </w:rPr>
        <w:t>s</w:t>
      </w:r>
      <w:r w:rsidRPr="00B44716">
        <w:rPr>
          <w:rFonts w:ascii="Times New Roman" w:hAnsi="Times New Roman" w:cs="Times New Roman"/>
          <w:color w:val="000000" w:themeColor="text1"/>
          <w:sz w:val="24"/>
          <w:szCs w:val="24"/>
        </w:rPr>
        <w:t xml:space="preserve"> coefficients </w:t>
      </w:r>
      <w:r>
        <w:rPr>
          <w:rFonts w:ascii="Times New Roman" w:hAnsi="Times New Roman" w:cs="Times New Roman"/>
          <w:color w:val="000000" w:themeColor="text1"/>
          <w:sz w:val="24"/>
          <w:szCs w:val="24"/>
        </w:rPr>
        <w:t>from</w:t>
      </w:r>
      <w:r w:rsidRPr="00B44716">
        <w:rPr>
          <w:rFonts w:ascii="Times New Roman" w:hAnsi="Times New Roman" w:cs="Times New Roman"/>
          <w:color w:val="000000" w:themeColor="text1"/>
          <w:sz w:val="24"/>
          <w:szCs w:val="24"/>
        </w:rPr>
        <w:t xml:space="preserve"> different applications of a reliability test and compute</w:t>
      </w:r>
      <w:r>
        <w:rPr>
          <w:rFonts w:ascii="Times New Roman" w:hAnsi="Times New Roman" w:cs="Times New Roman"/>
          <w:color w:val="000000" w:themeColor="text1"/>
          <w:sz w:val="24"/>
          <w:szCs w:val="24"/>
        </w:rPr>
        <w:t>s</w:t>
      </w:r>
      <w:r w:rsidRPr="00B44716">
        <w:rPr>
          <w:rFonts w:ascii="Times New Roman" w:hAnsi="Times New Roman" w:cs="Times New Roman"/>
          <w:color w:val="000000" w:themeColor="text1"/>
          <w:sz w:val="24"/>
          <w:szCs w:val="24"/>
        </w:rPr>
        <w:t xml:space="preserve"> an average estimate.</w:t>
      </w:r>
      <w:r w:rsidRPr="00B44716">
        <w:rPr>
          <w:rFonts w:ascii="Times New Roman" w:hAnsi="Times New Roman" w:cs="Times New Roman"/>
          <w:color w:val="000000" w:themeColor="text1"/>
          <w:sz w:val="24"/>
          <w:szCs w:val="24"/>
        </w:rPr>
        <w:fldChar w:fldCharType="begin" w:fldLock="1"/>
      </w:r>
      <w:r w:rsidR="00644FB4">
        <w:rPr>
          <w:rFonts w:ascii="Times New Roman" w:hAnsi="Times New Roman" w:cs="Times New Roman"/>
          <w:color w:val="000000" w:themeColor="text1"/>
          <w:sz w:val="24"/>
          <w:szCs w:val="24"/>
        </w:rPr>
        <w:instrText>ADDIN CSL_CITATION { "citationItems" : [ { "id" : "ITEM-1", "itemData" : { "DOI" : "10.1177/0013164402062004002", "ISBN" : "00131644", "ISSN" : "0013-1644", "abstract" : "Reliability generalization (RG) is a measurement meta-analytic method used to explore the variability in score reliability estimates and to characterize the possible sources of this variance. This article briefly summarizes some RG considerations. Included is a description of how reliability confidence intervals might be portrayed graphically. The article includes tabulations across variousRGstudies, including howfrequently authors (a) report score reliabilities for their own data, (b) conduct reliability induction, or (c) do not even mention reliability", "author" : [ { "dropping-particle" : "", "family" : "Vacha-Haase", "given" : "T.", "non-dropping-particle" : "", "parse-names" : false, "suffix" : "" }, { "dropping-particle" : "", "family" : "Henson", "given" : "R. K.", "non-dropping-particle" : "", "parse-names" : false, "suffix" : "" }, { "dropping-particle" : "", "family" : "Caruso", "given" : "J. C.", "non-dropping-particle" : "", "parse-names" : false, "suffix" : "" } ], "container-title" : "Educational and Psychological Measurement", "id" : "ITEM-1", "issue" : "4", "issued" : { "date-parts" : [ [ "2002" ] ] }, "page" : "562-569", "title" : "Reliability Generalization: Moving toward Improved Understanding and Use of Score Reliability", "type" : "article-journal", "volume" : "62" }, "uris" : [ "http://www.mendeley.com/documents/?uuid=0040a866-315d-41f8-af23-8fd19bd16169" ] }, { "id" : "ITEM-2", "itemData" : { "author" : [ { "dropping-particle" : "", "family" : "Vacha-Haase", "given" : "T.", "non-dropping-particle" : "", "parse-names" : false, "suffix" : "" } ], "container-title" : "Educational and Psychological Measurement", "id" : "ITEM-2", "issue" : "1", "issued" : { "date-parts" : [ [ "1998" ] ] }, "page" : "6-20", "title" : "Reliability generalization: exploring variance in measurement error affecting score reliability across studies", "type" : "article-journal", "volume" : "58" }, "uris" : [ "http://www.mendeley.com/documents/?uuid=f488262c-2f92-40ac-ba19-5a8c298d2fad" ] } ], "mendeley" : { "formattedCitation" : "&lt;sup&gt;23,24&lt;/sup&gt;", "plainTextFormattedCitation" : "23,24", "previouslyFormattedCitation" : "&lt;sup&gt;23,24&lt;/sup&gt;" }, "properties" : { "noteIndex" : 0 }, "schema" : "https://github.com/citation-style-language/schema/raw/master/csl-citation.json" }</w:instrText>
      </w:r>
      <w:r w:rsidRPr="00B44716">
        <w:rPr>
          <w:rFonts w:ascii="Times New Roman" w:hAnsi="Times New Roman" w:cs="Times New Roman"/>
          <w:color w:val="000000" w:themeColor="text1"/>
          <w:sz w:val="24"/>
          <w:szCs w:val="24"/>
        </w:rPr>
        <w:fldChar w:fldCharType="separate"/>
      </w:r>
      <w:r w:rsidR="0091499F" w:rsidRPr="0091499F">
        <w:rPr>
          <w:rFonts w:ascii="Times New Roman" w:hAnsi="Times New Roman" w:cs="Times New Roman"/>
          <w:noProof/>
          <w:color w:val="000000" w:themeColor="text1"/>
          <w:sz w:val="24"/>
          <w:szCs w:val="24"/>
          <w:vertAlign w:val="superscript"/>
        </w:rPr>
        <w:t>23,24</w:t>
      </w:r>
      <w:r w:rsidRPr="00B44716">
        <w:rPr>
          <w:rFonts w:ascii="Times New Roman" w:hAnsi="Times New Roman" w:cs="Times New Roman"/>
          <w:color w:val="000000" w:themeColor="text1"/>
          <w:sz w:val="24"/>
          <w:szCs w:val="24"/>
        </w:rPr>
        <w:fldChar w:fldCharType="end"/>
      </w:r>
      <w:r w:rsidRPr="00B44716">
        <w:rPr>
          <w:rFonts w:ascii="Times New Roman" w:hAnsi="Times New Roman" w:cs="Times New Roman"/>
          <w:color w:val="000000" w:themeColor="text1"/>
          <w:sz w:val="24"/>
          <w:szCs w:val="24"/>
        </w:rPr>
        <w:t xml:space="preserve"> </w:t>
      </w:r>
      <w:r w:rsidR="00F4288E">
        <w:rPr>
          <w:rFonts w:ascii="Times New Roman" w:hAnsi="Times New Roman" w:cs="Times New Roman"/>
          <w:color w:val="000000" w:themeColor="text1"/>
          <w:sz w:val="24"/>
          <w:szCs w:val="24"/>
        </w:rPr>
        <w:t xml:space="preserve">Statistical models </w:t>
      </w:r>
      <w:r w:rsidR="009565E7">
        <w:rPr>
          <w:rFonts w:ascii="Times New Roman" w:hAnsi="Times New Roman" w:cs="Times New Roman"/>
          <w:color w:val="000000" w:themeColor="text1"/>
          <w:sz w:val="24"/>
          <w:szCs w:val="24"/>
        </w:rPr>
        <w:t>will be</w:t>
      </w:r>
      <w:r w:rsidR="00F4288E">
        <w:rPr>
          <w:rFonts w:ascii="Times New Roman" w:hAnsi="Times New Roman" w:cs="Times New Roman"/>
          <w:color w:val="000000" w:themeColor="text1"/>
          <w:sz w:val="24"/>
          <w:szCs w:val="24"/>
        </w:rPr>
        <w:t xml:space="preserve"> chosen based on the heterogeneity present and the guidelines </w:t>
      </w:r>
      <w:r w:rsidRPr="00B44716">
        <w:rPr>
          <w:rFonts w:ascii="Times New Roman" w:hAnsi="Times New Roman" w:cs="Times New Roman"/>
          <w:color w:val="000000" w:themeColor="text1"/>
          <w:sz w:val="24"/>
          <w:szCs w:val="24"/>
        </w:rPr>
        <w:t>proposed by Sanchez-Meca and colleagues.</w:t>
      </w:r>
      <w:r w:rsidRPr="00B44716">
        <w:rPr>
          <w:rFonts w:ascii="Times New Roman" w:hAnsi="Times New Roman" w:cs="Times New Roman"/>
          <w:color w:val="000000" w:themeColor="text1"/>
          <w:sz w:val="24"/>
          <w:szCs w:val="24"/>
        </w:rPr>
        <w:fldChar w:fldCharType="begin" w:fldLock="1"/>
      </w:r>
      <w:r w:rsidR="00644FB4">
        <w:rPr>
          <w:rFonts w:ascii="Times New Roman" w:hAnsi="Times New Roman" w:cs="Times New Roman"/>
          <w:color w:val="000000" w:themeColor="text1"/>
          <w:sz w:val="24"/>
          <w:szCs w:val="24"/>
        </w:rPr>
        <w:instrText>ADDIN CSL_CITATION { "citationItems" : [ { "id" : "ITEM-1", "itemData" : { "DOI" : "10.1111/j.2044-8317.2012.02057.x", "ISBN" : "0007-1102", "ISSN" : "00071102", "PMID" : "23046285", "abstract" : "Precursors of the reliability generalization (RG) meta-analytic approach have not established a single preferred analytic method. By means of five real RG examples, we examine how using different statistical methods to integrate coefficients alpha can influence results in RG studies. Specifically, we compare thirteen different statistical models for averaging reliability coefficients and searching for moderator variables that differ in terms of: (a) whether to transform or not the coefficients alpha, and (b) the statistical model assumed, distinguishing between ordinary least squares methods, the fixed-effect (FE) model, the varying coefficient (VC) model, and several versions of the random-effects (RE) model. The results obtained with the different methods exhibited important discrepancies, especially regarding moderator analyses. The main criterion for the model choice should be the extent to which the meta-analyst intends to generalize the results. RE models are the most appropriate when the meta-analyst aims to generalize to a hypothetical population of past or future studies, while FE and VC models are the most appropriate when the interest focuses on generalizing the results to a population of studies identical to those included in the meta-analysis. Finally, some guidelines are proposed for selecting the statistical model when conducting an RG study.", "author" : [ { "dropping-particle" : "", "family" : "S\u00e1nchez-Meca", "given" : "Julio", "non-dropping-particle" : "", "parse-names" : false, "suffix" : "" }, { "dropping-particle" : "", "family" : "L\u00f3pez-L\u00f3pez", "given" : "Jos\u00e9 Antonio", "non-dropping-particle" : "", "parse-names" : false, "suffix" : "" }, { "dropping-particle" : "", "family" : "L\u00f3pez-Pina", "given" : "Jos\u00e9 Antonio", "non-dropping-particle" : "", "parse-names" : false, "suffix" : "" } ], "container-title" : "British Journal of Mathematical and Statistical Psychology", "id" : "ITEM-1", "issue" : "3", "issued" : { "date-parts" : [ [ "2013" ] ] }, "page" : "402-425", "title" : "Some recommended statistical analytic practices when reliability generalization studies are conducted", "type" : "article-journal", "volume" : "66" }, "uris" : [ "http://www.mendeley.com/documents/?uuid=2c085050-bf49-4539-a1e9-dd003af62652" ] } ], "mendeley" : { "formattedCitation" : "&lt;sup&gt;25&lt;/sup&gt;", "plainTextFormattedCitation" : "25", "previouslyFormattedCitation" : "&lt;sup&gt;25&lt;/sup&gt;" }, "properties" : { "noteIndex" : 0 }, "schema" : "https://github.com/citation-style-language/schema/raw/master/csl-citation.json" }</w:instrText>
      </w:r>
      <w:r w:rsidRPr="00B44716">
        <w:rPr>
          <w:rFonts w:ascii="Times New Roman" w:hAnsi="Times New Roman" w:cs="Times New Roman"/>
          <w:color w:val="000000" w:themeColor="text1"/>
          <w:sz w:val="24"/>
          <w:szCs w:val="24"/>
        </w:rPr>
        <w:fldChar w:fldCharType="separate"/>
      </w:r>
      <w:r w:rsidR="0091499F" w:rsidRPr="0091499F">
        <w:rPr>
          <w:rFonts w:ascii="Times New Roman" w:hAnsi="Times New Roman" w:cs="Times New Roman"/>
          <w:noProof/>
          <w:color w:val="000000" w:themeColor="text1"/>
          <w:sz w:val="24"/>
          <w:szCs w:val="24"/>
          <w:vertAlign w:val="superscript"/>
        </w:rPr>
        <w:t>25</w:t>
      </w:r>
      <w:r w:rsidRPr="00B44716">
        <w:rPr>
          <w:rFonts w:ascii="Times New Roman" w:hAnsi="Times New Roman" w:cs="Times New Roman"/>
          <w:color w:val="000000" w:themeColor="text1"/>
          <w:sz w:val="24"/>
          <w:szCs w:val="24"/>
        </w:rPr>
        <w:fldChar w:fldCharType="end"/>
      </w:r>
    </w:p>
    <w:p w14:paraId="01C7D1C7" w14:textId="77777777" w:rsidR="00975E04" w:rsidRPr="00975E04" w:rsidRDefault="00975E04" w:rsidP="00975E04"/>
    <w:p w14:paraId="0D7CBCD4" w14:textId="7461E74A" w:rsidR="007603FB" w:rsidRPr="00B44716" w:rsidRDefault="00975E04" w:rsidP="004E75D7">
      <w:pPr>
        <w:spacing w:after="0" w:line="24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References</w:t>
      </w:r>
    </w:p>
    <w:p w14:paraId="38520FB8" w14:textId="77777777" w:rsidR="00FC6E82" w:rsidRPr="00B44716" w:rsidRDefault="00FC6E82" w:rsidP="004E75D7">
      <w:pPr>
        <w:spacing w:after="0" w:line="240" w:lineRule="auto"/>
        <w:contextualSpacing/>
        <w:rPr>
          <w:rFonts w:ascii="Times New Roman" w:hAnsi="Times New Roman" w:cs="Times New Roman"/>
          <w:color w:val="000000" w:themeColor="text1"/>
          <w:sz w:val="24"/>
          <w:szCs w:val="24"/>
        </w:rPr>
      </w:pPr>
    </w:p>
    <w:p w14:paraId="1C76B2A3" w14:textId="17E7A58D" w:rsidR="00644FB4" w:rsidRPr="00644FB4" w:rsidRDefault="007603FB"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B44716">
        <w:rPr>
          <w:rFonts w:ascii="Times New Roman" w:hAnsi="Times New Roman" w:cs="Times New Roman"/>
          <w:color w:val="000000" w:themeColor="text1"/>
          <w:sz w:val="24"/>
          <w:szCs w:val="24"/>
        </w:rPr>
        <w:fldChar w:fldCharType="begin" w:fldLock="1"/>
      </w:r>
      <w:r w:rsidRPr="00B44716">
        <w:rPr>
          <w:rFonts w:ascii="Times New Roman" w:hAnsi="Times New Roman" w:cs="Times New Roman"/>
          <w:color w:val="000000" w:themeColor="text1"/>
          <w:sz w:val="24"/>
          <w:szCs w:val="24"/>
        </w:rPr>
        <w:instrText xml:space="preserve">ADDIN Mendeley Bibliography CSL_BIBLIOGRAPHY </w:instrText>
      </w:r>
      <w:r w:rsidRPr="00B44716">
        <w:rPr>
          <w:rFonts w:ascii="Times New Roman" w:hAnsi="Times New Roman" w:cs="Times New Roman"/>
          <w:color w:val="000000" w:themeColor="text1"/>
          <w:sz w:val="24"/>
          <w:szCs w:val="24"/>
        </w:rPr>
        <w:fldChar w:fldCharType="separate"/>
      </w:r>
      <w:r w:rsidR="00644FB4" w:rsidRPr="00644FB4">
        <w:rPr>
          <w:rFonts w:ascii="Times New Roman" w:eastAsia="Times New Roman" w:hAnsi="Times New Roman" w:cs="Times New Roman"/>
          <w:noProof/>
          <w:sz w:val="24"/>
        </w:rPr>
        <w:t xml:space="preserve">1. </w:t>
      </w:r>
      <w:r w:rsidR="00644FB4" w:rsidRPr="00644FB4">
        <w:rPr>
          <w:rFonts w:ascii="Times New Roman" w:eastAsia="Times New Roman" w:hAnsi="Times New Roman" w:cs="Times New Roman"/>
          <w:noProof/>
          <w:sz w:val="24"/>
        </w:rPr>
        <w:tab/>
        <w:t>Larsson J, Holmströ M IK. How excellent anaesthetists perform in the operating theatre: a qualitative study on non-technical skills. doi:10.1093/bja/aes359.</w:t>
      </w:r>
    </w:p>
    <w:p w14:paraId="10AFC5AC"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2. </w:t>
      </w:r>
      <w:r w:rsidRPr="00644FB4">
        <w:rPr>
          <w:rFonts w:ascii="Times New Roman" w:eastAsia="Times New Roman" w:hAnsi="Times New Roman" w:cs="Times New Roman"/>
          <w:noProof/>
          <w:sz w:val="24"/>
        </w:rPr>
        <w:tab/>
        <w:t xml:space="preserve">Crossingham G V, Sice PJA, Roberts MJ, Lam WH, Gale TCE. Development of workplace-based assessments of non-technical skills in anaesthesia. </w:t>
      </w:r>
      <w:r w:rsidRPr="00644FB4">
        <w:rPr>
          <w:rFonts w:ascii="Times New Roman" w:eastAsia="Times New Roman" w:hAnsi="Times New Roman" w:cs="Times New Roman"/>
          <w:i/>
          <w:iCs/>
          <w:noProof/>
          <w:sz w:val="24"/>
        </w:rPr>
        <w:t>Anaesthesia</w:t>
      </w:r>
      <w:r w:rsidRPr="00644FB4">
        <w:rPr>
          <w:rFonts w:ascii="Times New Roman" w:eastAsia="Times New Roman" w:hAnsi="Times New Roman" w:cs="Times New Roman"/>
          <w:noProof/>
          <w:sz w:val="24"/>
        </w:rPr>
        <w:t>. 2012;67(2):158-164. http://ovidsp.ovid.com/ovidweb.cgi?T=JS&amp;PAGE=reference&amp;D=medl&amp;NEWS=N&amp;AN=22251107.</w:t>
      </w:r>
    </w:p>
    <w:p w14:paraId="423F22A3"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3. </w:t>
      </w:r>
      <w:r w:rsidRPr="00644FB4">
        <w:rPr>
          <w:rFonts w:ascii="Times New Roman" w:eastAsia="Times New Roman" w:hAnsi="Times New Roman" w:cs="Times New Roman"/>
          <w:noProof/>
          <w:sz w:val="24"/>
        </w:rPr>
        <w:tab/>
        <w:t xml:space="preserve">Fletcher GCL, Mcgeorge P, Flin RH, Glavin RJ, Maran NJ. The role of non-technical skills in anaesthesia: a review of current literature. </w:t>
      </w:r>
      <w:r w:rsidRPr="00644FB4">
        <w:rPr>
          <w:rFonts w:ascii="Times New Roman" w:eastAsia="Times New Roman" w:hAnsi="Times New Roman" w:cs="Times New Roman"/>
          <w:i/>
          <w:iCs/>
          <w:noProof/>
          <w:sz w:val="24"/>
        </w:rPr>
        <w:t>Br J Anaesth</w:t>
      </w:r>
      <w:r w:rsidRPr="00644FB4">
        <w:rPr>
          <w:rFonts w:ascii="Times New Roman" w:eastAsia="Times New Roman" w:hAnsi="Times New Roman" w:cs="Times New Roman"/>
          <w:noProof/>
          <w:sz w:val="24"/>
        </w:rPr>
        <w:t>. 2002;88:418-429. https://www.erasmusmc.nl/cs-skillslab/3454337/3428027/The_role_of_non-technical_s1.pdf. Accessed August 15, 2017.</w:t>
      </w:r>
    </w:p>
    <w:p w14:paraId="0B20A82D"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4. </w:t>
      </w:r>
      <w:r w:rsidRPr="00644FB4">
        <w:rPr>
          <w:rFonts w:ascii="Times New Roman" w:eastAsia="Times New Roman" w:hAnsi="Times New Roman" w:cs="Times New Roman"/>
          <w:noProof/>
          <w:sz w:val="24"/>
        </w:rPr>
        <w:tab/>
        <w:t xml:space="preserve">Hu YY, Arriaga AF, Peyre SE, Corso KA, Roth EM, Greenberg CC. Deconstructing intraoperative communication failures. </w:t>
      </w:r>
      <w:r w:rsidRPr="00644FB4">
        <w:rPr>
          <w:rFonts w:ascii="Times New Roman" w:eastAsia="Times New Roman" w:hAnsi="Times New Roman" w:cs="Times New Roman"/>
          <w:i/>
          <w:iCs/>
          <w:noProof/>
          <w:sz w:val="24"/>
        </w:rPr>
        <w:t>J Surg Res</w:t>
      </w:r>
      <w:r w:rsidRPr="00644FB4">
        <w:rPr>
          <w:rFonts w:ascii="Times New Roman" w:eastAsia="Times New Roman" w:hAnsi="Times New Roman" w:cs="Times New Roman"/>
          <w:noProof/>
          <w:sz w:val="24"/>
        </w:rPr>
        <w:t>. 2012;177(1):37-42. doi:10.1016/j.jss.2012.04.029.</w:t>
      </w:r>
    </w:p>
    <w:p w14:paraId="7EE07B78"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5. </w:t>
      </w:r>
      <w:r w:rsidRPr="00644FB4">
        <w:rPr>
          <w:rFonts w:ascii="Times New Roman" w:eastAsia="Times New Roman" w:hAnsi="Times New Roman" w:cs="Times New Roman"/>
          <w:noProof/>
          <w:sz w:val="24"/>
        </w:rPr>
        <w:tab/>
        <w:t xml:space="preserve">Anderson O, Davis R, Hanna GB, Vincent CA. Surgical adverse events: A systematic review. </w:t>
      </w:r>
      <w:r w:rsidRPr="00644FB4">
        <w:rPr>
          <w:rFonts w:ascii="Times New Roman" w:eastAsia="Times New Roman" w:hAnsi="Times New Roman" w:cs="Times New Roman"/>
          <w:i/>
          <w:iCs/>
          <w:noProof/>
          <w:sz w:val="24"/>
        </w:rPr>
        <w:t>Am J Surg</w:t>
      </w:r>
      <w:r w:rsidRPr="00644FB4">
        <w:rPr>
          <w:rFonts w:ascii="Times New Roman" w:eastAsia="Times New Roman" w:hAnsi="Times New Roman" w:cs="Times New Roman"/>
          <w:noProof/>
          <w:sz w:val="24"/>
        </w:rPr>
        <w:t>. 2013;206(2):253-262. doi:10.1016/j.amjsurg.2012.11.009.</w:t>
      </w:r>
    </w:p>
    <w:p w14:paraId="04EDA27C"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6. </w:t>
      </w:r>
      <w:r w:rsidRPr="00644FB4">
        <w:rPr>
          <w:rFonts w:ascii="Times New Roman" w:eastAsia="Times New Roman" w:hAnsi="Times New Roman" w:cs="Times New Roman"/>
          <w:noProof/>
          <w:sz w:val="24"/>
        </w:rPr>
        <w:tab/>
        <w:t xml:space="preserve">Mazzocco K, Petitti DB, Fong KT, et al. Surgical team behaviors and patient outcomes. </w:t>
      </w:r>
      <w:r w:rsidRPr="00644FB4">
        <w:rPr>
          <w:rFonts w:ascii="Times New Roman" w:eastAsia="Times New Roman" w:hAnsi="Times New Roman" w:cs="Times New Roman"/>
          <w:i/>
          <w:iCs/>
          <w:noProof/>
          <w:sz w:val="24"/>
        </w:rPr>
        <w:t>Am J Surg</w:t>
      </w:r>
      <w:r w:rsidRPr="00644FB4">
        <w:rPr>
          <w:rFonts w:ascii="Times New Roman" w:eastAsia="Times New Roman" w:hAnsi="Times New Roman" w:cs="Times New Roman"/>
          <w:noProof/>
          <w:sz w:val="24"/>
        </w:rPr>
        <w:t>. 2009;197(5):678-685. doi:10.1016/j.amjsurg.2008.03.002.</w:t>
      </w:r>
    </w:p>
    <w:p w14:paraId="2B7F1423"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7. </w:t>
      </w:r>
      <w:r w:rsidRPr="00644FB4">
        <w:rPr>
          <w:rFonts w:ascii="Times New Roman" w:eastAsia="Times New Roman" w:hAnsi="Times New Roman" w:cs="Times New Roman"/>
          <w:noProof/>
          <w:sz w:val="24"/>
        </w:rPr>
        <w:tab/>
        <w:t xml:space="preserve">Catchpole K, Mishra A, Handa A, McCulloch P. Teamwork and error in the operating room: analysis of skills and roles. </w:t>
      </w:r>
      <w:r w:rsidRPr="00644FB4">
        <w:rPr>
          <w:rFonts w:ascii="Times New Roman" w:eastAsia="Times New Roman" w:hAnsi="Times New Roman" w:cs="Times New Roman"/>
          <w:i/>
          <w:iCs/>
          <w:noProof/>
          <w:sz w:val="24"/>
        </w:rPr>
        <w:t>Ann Surg</w:t>
      </w:r>
      <w:r w:rsidRPr="00644FB4">
        <w:rPr>
          <w:rFonts w:ascii="Times New Roman" w:eastAsia="Times New Roman" w:hAnsi="Times New Roman" w:cs="Times New Roman"/>
          <w:noProof/>
          <w:sz w:val="24"/>
        </w:rPr>
        <w:t>. 2008;247(4):699-706. doi:10.1097/SLA.0b013e3181642ec8.</w:t>
      </w:r>
    </w:p>
    <w:p w14:paraId="4534592F"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8. </w:t>
      </w:r>
      <w:r w:rsidRPr="00644FB4">
        <w:rPr>
          <w:rFonts w:ascii="Times New Roman" w:eastAsia="Times New Roman" w:hAnsi="Times New Roman" w:cs="Times New Roman"/>
          <w:noProof/>
          <w:sz w:val="24"/>
        </w:rPr>
        <w:tab/>
        <w:t xml:space="preserve">Weller J, Boyd M. Making a Difference Through Improving Teamwork in the Operating Room: A Systematic Review of the Evidence on What Works. </w:t>
      </w:r>
      <w:r w:rsidRPr="00644FB4">
        <w:rPr>
          <w:rFonts w:ascii="Times New Roman" w:eastAsia="Times New Roman" w:hAnsi="Times New Roman" w:cs="Times New Roman"/>
          <w:i/>
          <w:iCs/>
          <w:noProof/>
          <w:sz w:val="24"/>
        </w:rPr>
        <w:t>Curr Anesthesiol Rep</w:t>
      </w:r>
      <w:r w:rsidRPr="00644FB4">
        <w:rPr>
          <w:rFonts w:ascii="Times New Roman" w:eastAsia="Times New Roman" w:hAnsi="Times New Roman" w:cs="Times New Roman"/>
          <w:noProof/>
          <w:sz w:val="24"/>
        </w:rPr>
        <w:t>. 2014;4(2):77-83. doi:10.1007/s40140-014-0050-0.</w:t>
      </w:r>
    </w:p>
    <w:p w14:paraId="044E2B15"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9. </w:t>
      </w:r>
      <w:r w:rsidRPr="00644FB4">
        <w:rPr>
          <w:rFonts w:ascii="Times New Roman" w:eastAsia="Times New Roman" w:hAnsi="Times New Roman" w:cs="Times New Roman"/>
          <w:noProof/>
          <w:sz w:val="24"/>
        </w:rPr>
        <w:tab/>
        <w:t xml:space="preserve">Van Beuzekom M, Boer F, Akerboom S, Hudson P. Patient safety: Latent risk factors. </w:t>
      </w:r>
      <w:r w:rsidRPr="00644FB4">
        <w:rPr>
          <w:rFonts w:ascii="Times New Roman" w:eastAsia="Times New Roman" w:hAnsi="Times New Roman" w:cs="Times New Roman"/>
          <w:i/>
          <w:iCs/>
          <w:noProof/>
          <w:sz w:val="24"/>
        </w:rPr>
        <w:t>Br J Anaesth</w:t>
      </w:r>
      <w:r w:rsidRPr="00644FB4">
        <w:rPr>
          <w:rFonts w:ascii="Times New Roman" w:eastAsia="Times New Roman" w:hAnsi="Times New Roman" w:cs="Times New Roman"/>
          <w:noProof/>
          <w:sz w:val="24"/>
        </w:rPr>
        <w:t>. 2010;105(1):52-59. doi:10.1093/bja/aeq135.</w:t>
      </w:r>
    </w:p>
    <w:p w14:paraId="45D77149"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10. </w:t>
      </w:r>
      <w:r w:rsidRPr="00644FB4">
        <w:rPr>
          <w:rFonts w:ascii="Times New Roman" w:eastAsia="Times New Roman" w:hAnsi="Times New Roman" w:cs="Times New Roman"/>
          <w:noProof/>
          <w:sz w:val="24"/>
        </w:rPr>
        <w:tab/>
        <w:t xml:space="preserve">Stein JE. The Swiss cheese model of adverse event occurrence—Closing the holes. </w:t>
      </w:r>
      <w:r w:rsidRPr="00644FB4">
        <w:rPr>
          <w:rFonts w:ascii="Times New Roman" w:eastAsia="Times New Roman" w:hAnsi="Times New Roman" w:cs="Times New Roman"/>
          <w:i/>
          <w:iCs/>
          <w:noProof/>
          <w:sz w:val="24"/>
        </w:rPr>
        <w:t>Semin Pediatr Surg</w:t>
      </w:r>
      <w:r w:rsidRPr="00644FB4">
        <w:rPr>
          <w:rFonts w:ascii="Times New Roman" w:eastAsia="Times New Roman" w:hAnsi="Times New Roman" w:cs="Times New Roman"/>
          <w:noProof/>
          <w:sz w:val="24"/>
        </w:rPr>
        <w:t>. 2015;24(6):278-282. doi:10.1053/j.sempedsurg.2015.08.003.</w:t>
      </w:r>
    </w:p>
    <w:p w14:paraId="7521E13F"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11. </w:t>
      </w:r>
      <w:r w:rsidRPr="00644FB4">
        <w:rPr>
          <w:rFonts w:ascii="Times New Roman" w:eastAsia="Times New Roman" w:hAnsi="Times New Roman" w:cs="Times New Roman"/>
          <w:noProof/>
          <w:sz w:val="24"/>
        </w:rPr>
        <w:tab/>
        <w:t xml:space="preserve">Stodel EJ, Wyand A, Crooks S, Moffett S, Chiu M, Hudson CCC. Designing and Implementing a Competency-Based Training Program for Anesthesiology Residents at the University of Ottawa. </w:t>
      </w:r>
      <w:r w:rsidRPr="00644FB4">
        <w:rPr>
          <w:rFonts w:ascii="Times New Roman" w:eastAsia="Times New Roman" w:hAnsi="Times New Roman" w:cs="Times New Roman"/>
          <w:i/>
          <w:iCs/>
          <w:noProof/>
          <w:sz w:val="24"/>
        </w:rPr>
        <w:t>Anesthesiol Res Pract</w:t>
      </w:r>
      <w:r w:rsidRPr="00644FB4">
        <w:rPr>
          <w:rFonts w:ascii="Times New Roman" w:eastAsia="Times New Roman" w:hAnsi="Times New Roman" w:cs="Times New Roman"/>
          <w:noProof/>
          <w:sz w:val="24"/>
        </w:rPr>
        <w:t>. 2015;2015. doi:10.1155/2015/713038.</w:t>
      </w:r>
    </w:p>
    <w:p w14:paraId="2FCB2506"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12. </w:t>
      </w:r>
      <w:r w:rsidRPr="00644FB4">
        <w:rPr>
          <w:rFonts w:ascii="Times New Roman" w:eastAsia="Times New Roman" w:hAnsi="Times New Roman" w:cs="Times New Roman"/>
          <w:noProof/>
          <w:sz w:val="24"/>
        </w:rPr>
        <w:tab/>
        <w:t xml:space="preserve">Ebert TJ, Fox CA. Competency-based Education in Anesthesiology. </w:t>
      </w:r>
      <w:r w:rsidRPr="00644FB4">
        <w:rPr>
          <w:rFonts w:ascii="Times New Roman" w:eastAsia="Times New Roman" w:hAnsi="Times New Roman" w:cs="Times New Roman"/>
          <w:i/>
          <w:iCs/>
          <w:noProof/>
          <w:sz w:val="24"/>
        </w:rPr>
        <w:t>Anesthesiology</w:t>
      </w:r>
      <w:r w:rsidRPr="00644FB4">
        <w:rPr>
          <w:rFonts w:ascii="Times New Roman" w:eastAsia="Times New Roman" w:hAnsi="Times New Roman" w:cs="Times New Roman"/>
          <w:noProof/>
          <w:sz w:val="24"/>
        </w:rPr>
        <w:t xml:space="preserve">. </w:t>
      </w:r>
      <w:r w:rsidRPr="00644FB4">
        <w:rPr>
          <w:rFonts w:ascii="Times New Roman" w:eastAsia="Times New Roman" w:hAnsi="Times New Roman" w:cs="Times New Roman"/>
          <w:noProof/>
          <w:sz w:val="24"/>
        </w:rPr>
        <w:lastRenderedPageBreak/>
        <w:t>2014;120(1):24-31. doi:10.1097/ALN.0000000000000039.</w:t>
      </w:r>
    </w:p>
    <w:p w14:paraId="1F5829D4"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13. </w:t>
      </w:r>
      <w:r w:rsidRPr="00644FB4">
        <w:rPr>
          <w:rFonts w:ascii="Times New Roman" w:eastAsia="Times New Roman" w:hAnsi="Times New Roman" w:cs="Times New Roman"/>
          <w:noProof/>
          <w:sz w:val="24"/>
        </w:rPr>
        <w:tab/>
        <w:t>Royal College of Physicians and Surgeons of Canada. Anesthesiology Competencies. http://www.royalcollege.ca/rc/faces/oracle/webcenter/portalapp/pages/viewDocument.jspx?document_id=RCP-00161435&amp;_adf.ctrl-state=10w28tl0td_17&amp;_afrLoop=12070258186657680&amp;_afrWindowMode=0&amp;_afrWindowId=null#!%40%40%3F_afrWindowId%3Dnull%26document_id%3DRCP-0. Published 2017. Accessed August 9, 2017.</w:t>
      </w:r>
    </w:p>
    <w:p w14:paraId="14496AE8"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14. </w:t>
      </w:r>
      <w:r w:rsidRPr="00644FB4">
        <w:rPr>
          <w:rFonts w:ascii="Times New Roman" w:eastAsia="Times New Roman" w:hAnsi="Times New Roman" w:cs="Times New Roman"/>
          <w:noProof/>
          <w:sz w:val="24"/>
        </w:rPr>
        <w:tab/>
        <w:t>Accreditation Council for Graduate Medical Education. The Anesthesiology Milestone Project. https://www.acgme.org/Portals/0/PDFs/Milestones/AnesthesiologyMilestones.pdf. Published 2015. Accessed August 9, 2017.</w:t>
      </w:r>
    </w:p>
    <w:p w14:paraId="5F97054B"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15. </w:t>
      </w:r>
      <w:r w:rsidRPr="00644FB4">
        <w:rPr>
          <w:rFonts w:ascii="Times New Roman" w:eastAsia="Times New Roman" w:hAnsi="Times New Roman" w:cs="Times New Roman"/>
          <w:noProof/>
          <w:sz w:val="24"/>
        </w:rPr>
        <w:tab/>
        <w:t xml:space="preserve">Sharma B, Orzech N, Boet S, Grantcharov T. Non-technical skills assessment in the post-operative setting. </w:t>
      </w:r>
      <w:r w:rsidRPr="00644FB4">
        <w:rPr>
          <w:rFonts w:ascii="Times New Roman" w:eastAsia="Times New Roman" w:hAnsi="Times New Roman" w:cs="Times New Roman"/>
          <w:i/>
          <w:iCs/>
          <w:noProof/>
          <w:sz w:val="24"/>
        </w:rPr>
        <w:t>J Am Coll Surg</w:t>
      </w:r>
      <w:r w:rsidRPr="00644FB4">
        <w:rPr>
          <w:rFonts w:ascii="Times New Roman" w:eastAsia="Times New Roman" w:hAnsi="Times New Roman" w:cs="Times New Roman"/>
          <w:noProof/>
          <w:sz w:val="24"/>
        </w:rPr>
        <w:t>. 2011;213(3 SUPPL. 1):S122. http://ovidsp.ovid.com/ovidweb.cgi?T=JS&amp;PAGE=reference&amp;D=emed13&amp;NEWS=N&amp;AN=71254689.</w:t>
      </w:r>
    </w:p>
    <w:p w14:paraId="3FB3053C"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16. </w:t>
      </w:r>
      <w:r w:rsidRPr="00644FB4">
        <w:rPr>
          <w:rFonts w:ascii="Times New Roman" w:eastAsia="Times New Roman" w:hAnsi="Times New Roman" w:cs="Times New Roman"/>
          <w:noProof/>
          <w:sz w:val="24"/>
        </w:rPr>
        <w:tab/>
        <w:t xml:space="preserve">Whittaker G, Abboudi H, Khan MS, Dasgupta P, Ahmed K. Teamwork Assessment Tools in Modern Surgical Practice: A Systematic Review. </w:t>
      </w:r>
      <w:r w:rsidRPr="00644FB4">
        <w:rPr>
          <w:rFonts w:ascii="Times New Roman" w:eastAsia="Times New Roman" w:hAnsi="Times New Roman" w:cs="Times New Roman"/>
          <w:i/>
          <w:iCs/>
          <w:noProof/>
          <w:sz w:val="24"/>
        </w:rPr>
        <w:t>Surg Res Pract</w:t>
      </w:r>
      <w:r w:rsidRPr="00644FB4">
        <w:rPr>
          <w:rFonts w:ascii="Times New Roman" w:eastAsia="Times New Roman" w:hAnsi="Times New Roman" w:cs="Times New Roman"/>
          <w:noProof/>
          <w:sz w:val="24"/>
        </w:rPr>
        <w:t>. 2015;2015:494827. doi:10.1155/2015/494827.</w:t>
      </w:r>
    </w:p>
    <w:p w14:paraId="51DC935B"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17. </w:t>
      </w:r>
      <w:r w:rsidRPr="00644FB4">
        <w:rPr>
          <w:rFonts w:ascii="Times New Roman" w:eastAsia="Times New Roman" w:hAnsi="Times New Roman" w:cs="Times New Roman"/>
          <w:noProof/>
          <w:sz w:val="24"/>
        </w:rPr>
        <w:tab/>
        <w:t xml:space="preserve">Larsson J. Monitoring the anaesthetist in the operating theatre – professional competence and patient safety. </w:t>
      </w:r>
      <w:r w:rsidRPr="00644FB4">
        <w:rPr>
          <w:rFonts w:ascii="Times New Roman" w:eastAsia="Times New Roman" w:hAnsi="Times New Roman" w:cs="Times New Roman"/>
          <w:i/>
          <w:iCs/>
          <w:noProof/>
          <w:sz w:val="24"/>
        </w:rPr>
        <w:t>Anaesthesia</w:t>
      </w:r>
      <w:r w:rsidRPr="00644FB4">
        <w:rPr>
          <w:rFonts w:ascii="Times New Roman" w:eastAsia="Times New Roman" w:hAnsi="Times New Roman" w:cs="Times New Roman"/>
          <w:noProof/>
          <w:sz w:val="24"/>
        </w:rPr>
        <w:t>. 2017;72:76-83. doi:10.1111/anae.13743.</w:t>
      </w:r>
    </w:p>
    <w:p w14:paraId="160DEB9E"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18. </w:t>
      </w:r>
      <w:r w:rsidRPr="00644FB4">
        <w:rPr>
          <w:rFonts w:ascii="Times New Roman" w:eastAsia="Times New Roman" w:hAnsi="Times New Roman" w:cs="Times New Roman"/>
          <w:noProof/>
          <w:sz w:val="24"/>
        </w:rPr>
        <w:tab/>
        <w:t xml:space="preserve">Shea BJ, Hamel C, Wells GA, et al. AMSTAR is a reliable and valid measurement tool to assess the methodological quality of systematic reviews. </w:t>
      </w:r>
      <w:r w:rsidRPr="00644FB4">
        <w:rPr>
          <w:rFonts w:ascii="Times New Roman" w:eastAsia="Times New Roman" w:hAnsi="Times New Roman" w:cs="Times New Roman"/>
          <w:i/>
          <w:iCs/>
          <w:noProof/>
          <w:sz w:val="24"/>
        </w:rPr>
        <w:t>J Clin Epidemiol</w:t>
      </w:r>
      <w:r w:rsidRPr="00644FB4">
        <w:rPr>
          <w:rFonts w:ascii="Times New Roman" w:eastAsia="Times New Roman" w:hAnsi="Times New Roman" w:cs="Times New Roman"/>
          <w:noProof/>
          <w:sz w:val="24"/>
        </w:rPr>
        <w:t>. 2009;62(10):1013-1020. doi:10.1016/j.jclinepi.2008.10.009.</w:t>
      </w:r>
    </w:p>
    <w:p w14:paraId="2F14D2E8"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19. </w:t>
      </w:r>
      <w:r w:rsidRPr="00644FB4">
        <w:rPr>
          <w:rFonts w:ascii="Times New Roman" w:eastAsia="Times New Roman" w:hAnsi="Times New Roman" w:cs="Times New Roman"/>
          <w:noProof/>
          <w:sz w:val="24"/>
        </w:rPr>
        <w:tab/>
        <w:t xml:space="preserve">Moher D, Liberati A, Tetzlaff J, Altman DG, PRISMA Group. Reprint--preferred reporting items for systematic reviews and meta-analyses: the PRISMA statement. </w:t>
      </w:r>
      <w:r w:rsidRPr="00644FB4">
        <w:rPr>
          <w:rFonts w:ascii="Times New Roman" w:eastAsia="Times New Roman" w:hAnsi="Times New Roman" w:cs="Times New Roman"/>
          <w:i/>
          <w:iCs/>
          <w:noProof/>
          <w:sz w:val="24"/>
        </w:rPr>
        <w:t>Phys Ther</w:t>
      </w:r>
      <w:r w:rsidRPr="00644FB4">
        <w:rPr>
          <w:rFonts w:ascii="Times New Roman" w:eastAsia="Times New Roman" w:hAnsi="Times New Roman" w:cs="Times New Roman"/>
          <w:noProof/>
          <w:sz w:val="24"/>
        </w:rPr>
        <w:t>. 2009;89(9):873-880. http://www.ncbi.nlm.nih.gov/pubmed/19723669. Accessed August 4, 2017.</w:t>
      </w:r>
    </w:p>
    <w:p w14:paraId="4CEBE533"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20. </w:t>
      </w:r>
      <w:r w:rsidRPr="00644FB4">
        <w:rPr>
          <w:rFonts w:ascii="Times New Roman" w:eastAsia="Times New Roman" w:hAnsi="Times New Roman" w:cs="Times New Roman"/>
          <w:noProof/>
          <w:sz w:val="24"/>
        </w:rPr>
        <w:tab/>
        <w:t xml:space="preserve">Eva KW, Regehr G. Self-assessment in the health professions: a reformulation and research agenda. </w:t>
      </w:r>
      <w:r w:rsidRPr="00644FB4">
        <w:rPr>
          <w:rFonts w:ascii="Times New Roman" w:eastAsia="Times New Roman" w:hAnsi="Times New Roman" w:cs="Times New Roman"/>
          <w:i/>
          <w:iCs/>
          <w:noProof/>
          <w:sz w:val="24"/>
        </w:rPr>
        <w:t>Acad Med</w:t>
      </w:r>
      <w:r w:rsidRPr="00644FB4">
        <w:rPr>
          <w:rFonts w:ascii="Times New Roman" w:eastAsia="Times New Roman" w:hAnsi="Times New Roman" w:cs="Times New Roman"/>
          <w:noProof/>
          <w:sz w:val="24"/>
        </w:rPr>
        <w:t>. 2005;80(10 Suppl):S46-S54. doi:10.1097/00001888-200510001-00015.</w:t>
      </w:r>
    </w:p>
    <w:p w14:paraId="10C4A3FB"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21. </w:t>
      </w:r>
      <w:r w:rsidRPr="00644FB4">
        <w:rPr>
          <w:rFonts w:ascii="Times New Roman" w:eastAsia="Times New Roman" w:hAnsi="Times New Roman" w:cs="Times New Roman"/>
          <w:noProof/>
          <w:sz w:val="24"/>
        </w:rPr>
        <w:tab/>
        <w:t>Google Inc. Google Translate. https://translate.google.ca/. Published 2016. Accessed December 9, 2016.</w:t>
      </w:r>
    </w:p>
    <w:p w14:paraId="62D38E7A"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22. </w:t>
      </w:r>
      <w:r w:rsidRPr="00644FB4">
        <w:rPr>
          <w:rFonts w:ascii="Times New Roman" w:eastAsia="Times New Roman" w:hAnsi="Times New Roman" w:cs="Times New Roman"/>
          <w:noProof/>
          <w:sz w:val="24"/>
        </w:rPr>
        <w:tab/>
        <w:t xml:space="preserve">Terwee CB, Mokkink LB, Knol DL, Ostelo RWJG, Bouter LM, De Vet HCW. Rating the methodological quality in systematic reviews of studies on measurement properties: A scoring system for the COSMIN checklist. </w:t>
      </w:r>
      <w:r w:rsidRPr="00644FB4">
        <w:rPr>
          <w:rFonts w:ascii="Times New Roman" w:eastAsia="Times New Roman" w:hAnsi="Times New Roman" w:cs="Times New Roman"/>
          <w:i/>
          <w:iCs/>
          <w:noProof/>
          <w:sz w:val="24"/>
        </w:rPr>
        <w:t>Qual Life Res</w:t>
      </w:r>
      <w:r w:rsidRPr="00644FB4">
        <w:rPr>
          <w:rFonts w:ascii="Times New Roman" w:eastAsia="Times New Roman" w:hAnsi="Times New Roman" w:cs="Times New Roman"/>
          <w:noProof/>
          <w:sz w:val="24"/>
        </w:rPr>
        <w:t>. 2012;21(4):651-657. doi:10.1007/s11136-011-9960-1.</w:t>
      </w:r>
    </w:p>
    <w:p w14:paraId="690DC44C"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23. </w:t>
      </w:r>
      <w:r w:rsidRPr="00644FB4">
        <w:rPr>
          <w:rFonts w:ascii="Times New Roman" w:eastAsia="Times New Roman" w:hAnsi="Times New Roman" w:cs="Times New Roman"/>
          <w:noProof/>
          <w:sz w:val="24"/>
        </w:rPr>
        <w:tab/>
        <w:t xml:space="preserve">Vacha-Haase T, Henson RK, Caruso JC. Reliability Generalization: Moving toward Improved Understanding and Use of Score Reliability. </w:t>
      </w:r>
      <w:r w:rsidRPr="00644FB4">
        <w:rPr>
          <w:rFonts w:ascii="Times New Roman" w:eastAsia="Times New Roman" w:hAnsi="Times New Roman" w:cs="Times New Roman"/>
          <w:i/>
          <w:iCs/>
          <w:noProof/>
          <w:sz w:val="24"/>
        </w:rPr>
        <w:t>Educ Psychol Meas</w:t>
      </w:r>
      <w:r w:rsidRPr="00644FB4">
        <w:rPr>
          <w:rFonts w:ascii="Times New Roman" w:eastAsia="Times New Roman" w:hAnsi="Times New Roman" w:cs="Times New Roman"/>
          <w:noProof/>
          <w:sz w:val="24"/>
        </w:rPr>
        <w:t>. 2002;62(4):562-569. doi:10.1177/0013164402062004002.</w:t>
      </w:r>
    </w:p>
    <w:p w14:paraId="5030799D"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24. </w:t>
      </w:r>
      <w:r w:rsidRPr="00644FB4">
        <w:rPr>
          <w:rFonts w:ascii="Times New Roman" w:eastAsia="Times New Roman" w:hAnsi="Times New Roman" w:cs="Times New Roman"/>
          <w:noProof/>
          <w:sz w:val="24"/>
        </w:rPr>
        <w:tab/>
        <w:t xml:space="preserve">Vacha-Haase T. Reliability generalization: exploring variance in measurement error affecting score reliability across studies. </w:t>
      </w:r>
      <w:r w:rsidRPr="00644FB4">
        <w:rPr>
          <w:rFonts w:ascii="Times New Roman" w:eastAsia="Times New Roman" w:hAnsi="Times New Roman" w:cs="Times New Roman"/>
          <w:i/>
          <w:iCs/>
          <w:noProof/>
          <w:sz w:val="24"/>
        </w:rPr>
        <w:t>Educ Psychol Meas</w:t>
      </w:r>
      <w:r w:rsidRPr="00644FB4">
        <w:rPr>
          <w:rFonts w:ascii="Times New Roman" w:eastAsia="Times New Roman" w:hAnsi="Times New Roman" w:cs="Times New Roman"/>
          <w:noProof/>
          <w:sz w:val="24"/>
        </w:rPr>
        <w:t>. 1998;58(1):6-20.</w:t>
      </w:r>
    </w:p>
    <w:p w14:paraId="6EB66C5A"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25. </w:t>
      </w:r>
      <w:r w:rsidRPr="00644FB4">
        <w:rPr>
          <w:rFonts w:ascii="Times New Roman" w:eastAsia="Times New Roman" w:hAnsi="Times New Roman" w:cs="Times New Roman"/>
          <w:noProof/>
          <w:sz w:val="24"/>
        </w:rPr>
        <w:tab/>
        <w:t xml:space="preserve">Sánchez-Meca J, López-López JA, López-Pina JA. Some recommended statistical analytic practices when reliability generalization studies are conducted. </w:t>
      </w:r>
      <w:r w:rsidRPr="00644FB4">
        <w:rPr>
          <w:rFonts w:ascii="Times New Roman" w:eastAsia="Times New Roman" w:hAnsi="Times New Roman" w:cs="Times New Roman"/>
          <w:i/>
          <w:iCs/>
          <w:noProof/>
          <w:sz w:val="24"/>
        </w:rPr>
        <w:t>Br J Math Stat Psychol</w:t>
      </w:r>
      <w:r w:rsidRPr="00644FB4">
        <w:rPr>
          <w:rFonts w:ascii="Times New Roman" w:eastAsia="Times New Roman" w:hAnsi="Times New Roman" w:cs="Times New Roman"/>
          <w:noProof/>
          <w:sz w:val="24"/>
        </w:rPr>
        <w:t>. 2013;66(3):402-425. doi:10.1111/j.2044-8317.2012.02057.x.</w:t>
      </w:r>
    </w:p>
    <w:p w14:paraId="67679D3F" w14:textId="77777777" w:rsidR="00644FB4" w:rsidRPr="00644FB4" w:rsidRDefault="00644FB4" w:rsidP="00644FB4">
      <w:pPr>
        <w:widowControl w:val="0"/>
        <w:autoSpaceDE w:val="0"/>
        <w:autoSpaceDN w:val="0"/>
        <w:adjustRightInd w:val="0"/>
        <w:spacing w:after="0" w:line="240" w:lineRule="auto"/>
        <w:ind w:left="640" w:hanging="640"/>
        <w:rPr>
          <w:rFonts w:ascii="Times New Roman" w:eastAsia="Times New Roman" w:hAnsi="Times New Roman" w:cs="Times New Roman"/>
          <w:noProof/>
          <w:sz w:val="24"/>
        </w:rPr>
      </w:pPr>
      <w:r w:rsidRPr="00644FB4">
        <w:rPr>
          <w:rFonts w:ascii="Times New Roman" w:eastAsia="Times New Roman" w:hAnsi="Times New Roman" w:cs="Times New Roman"/>
          <w:noProof/>
          <w:sz w:val="24"/>
        </w:rPr>
        <w:t xml:space="preserve">26. </w:t>
      </w:r>
      <w:r w:rsidRPr="00644FB4">
        <w:rPr>
          <w:rFonts w:ascii="Times New Roman" w:eastAsia="Times New Roman" w:hAnsi="Times New Roman" w:cs="Times New Roman"/>
          <w:noProof/>
          <w:sz w:val="24"/>
        </w:rPr>
        <w:tab/>
        <w:t>Weller JM, Bloch M, Young S, et al. Evaluation of high ®delity patient simulator in assessment of performance of anaesthetists. doi:10.1093/bja/aeg002.</w:t>
      </w:r>
    </w:p>
    <w:p w14:paraId="0D08711A" w14:textId="77777777" w:rsidR="00644FB4" w:rsidRPr="00644FB4" w:rsidRDefault="00644FB4" w:rsidP="00644FB4">
      <w:pPr>
        <w:widowControl w:val="0"/>
        <w:autoSpaceDE w:val="0"/>
        <w:autoSpaceDN w:val="0"/>
        <w:adjustRightInd w:val="0"/>
        <w:spacing w:after="0" w:line="240" w:lineRule="auto"/>
        <w:ind w:left="640" w:hanging="640"/>
        <w:rPr>
          <w:rFonts w:ascii="Times New Roman" w:hAnsi="Times New Roman" w:cs="Times New Roman"/>
          <w:noProof/>
          <w:sz w:val="24"/>
        </w:rPr>
      </w:pPr>
      <w:r w:rsidRPr="00644FB4">
        <w:rPr>
          <w:rFonts w:ascii="Times New Roman" w:eastAsia="Times New Roman" w:hAnsi="Times New Roman" w:cs="Times New Roman"/>
          <w:noProof/>
          <w:sz w:val="24"/>
        </w:rPr>
        <w:lastRenderedPageBreak/>
        <w:t xml:space="preserve">27. </w:t>
      </w:r>
      <w:r w:rsidRPr="00644FB4">
        <w:rPr>
          <w:rFonts w:ascii="Times New Roman" w:eastAsia="Times New Roman" w:hAnsi="Times New Roman" w:cs="Times New Roman"/>
          <w:noProof/>
          <w:sz w:val="24"/>
        </w:rPr>
        <w:tab/>
        <w:t xml:space="preserve">Langerman A, Grantcharov TP. Are We Ready for Our Close-up? </w:t>
      </w:r>
      <w:r w:rsidRPr="00644FB4">
        <w:rPr>
          <w:rFonts w:ascii="Times New Roman" w:eastAsia="Times New Roman" w:hAnsi="Times New Roman" w:cs="Times New Roman"/>
          <w:i/>
          <w:iCs/>
          <w:noProof/>
          <w:sz w:val="24"/>
        </w:rPr>
        <w:t>Ann Surg</w:t>
      </w:r>
      <w:r w:rsidRPr="00644FB4">
        <w:rPr>
          <w:rFonts w:ascii="Times New Roman" w:eastAsia="Times New Roman" w:hAnsi="Times New Roman" w:cs="Times New Roman"/>
          <w:noProof/>
          <w:sz w:val="24"/>
        </w:rPr>
        <w:t>. 2017;XX(Xx):1. doi:10.1097/SLA.0000000000002232.</w:t>
      </w:r>
    </w:p>
    <w:p w14:paraId="73428551" w14:textId="7CB20109" w:rsidR="00BF1C09" w:rsidRPr="00B44716" w:rsidRDefault="007603FB" w:rsidP="00644FB4">
      <w:pPr>
        <w:widowControl w:val="0"/>
        <w:autoSpaceDE w:val="0"/>
        <w:autoSpaceDN w:val="0"/>
        <w:adjustRightInd w:val="0"/>
        <w:spacing w:after="0" w:line="240" w:lineRule="auto"/>
        <w:ind w:left="640" w:hanging="640"/>
        <w:rPr>
          <w:rFonts w:ascii="Times New Roman" w:hAnsi="Times New Roman" w:cs="Times New Roman"/>
          <w:color w:val="000000" w:themeColor="text1"/>
          <w:sz w:val="24"/>
          <w:szCs w:val="24"/>
        </w:rPr>
      </w:pPr>
      <w:r w:rsidRPr="00B44716">
        <w:rPr>
          <w:rFonts w:ascii="Times New Roman" w:hAnsi="Times New Roman" w:cs="Times New Roman"/>
          <w:color w:val="000000" w:themeColor="text1"/>
          <w:sz w:val="24"/>
          <w:szCs w:val="24"/>
        </w:rPr>
        <w:fldChar w:fldCharType="end"/>
      </w:r>
    </w:p>
    <w:p w14:paraId="5F3326A3" w14:textId="77777777" w:rsidR="004539BE" w:rsidRPr="00B44716" w:rsidRDefault="004539BE" w:rsidP="004E75D7">
      <w:pPr>
        <w:widowControl w:val="0"/>
        <w:autoSpaceDE w:val="0"/>
        <w:autoSpaceDN w:val="0"/>
        <w:adjustRightInd w:val="0"/>
        <w:spacing w:after="0" w:line="240" w:lineRule="auto"/>
        <w:ind w:left="640" w:hanging="640"/>
        <w:contextualSpacing/>
        <w:rPr>
          <w:rFonts w:ascii="Times New Roman" w:hAnsi="Times New Roman" w:cs="Times New Roman"/>
          <w:color w:val="000000" w:themeColor="text1"/>
          <w:sz w:val="24"/>
          <w:szCs w:val="24"/>
        </w:rPr>
      </w:pPr>
    </w:p>
    <w:p w14:paraId="7260000C" w14:textId="4E50831E" w:rsidR="0039774E" w:rsidRPr="00B44716" w:rsidRDefault="0039774E" w:rsidP="00B76F15">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35F4C35A" w14:textId="36E7B6E3" w:rsidR="00BF1C09" w:rsidRPr="00B44716" w:rsidRDefault="00BF1C09" w:rsidP="004E75D7">
      <w:pPr>
        <w:widowControl w:val="0"/>
        <w:autoSpaceDE w:val="0"/>
        <w:autoSpaceDN w:val="0"/>
        <w:adjustRightInd w:val="0"/>
        <w:spacing w:after="0" w:line="240" w:lineRule="auto"/>
        <w:ind w:left="640" w:hanging="640"/>
        <w:contextualSpacing/>
        <w:rPr>
          <w:rFonts w:ascii="Times New Roman" w:hAnsi="Times New Roman" w:cs="Times New Roman"/>
          <w:color w:val="000000" w:themeColor="text1"/>
          <w:sz w:val="24"/>
          <w:szCs w:val="24"/>
        </w:rPr>
      </w:pPr>
    </w:p>
    <w:sectPr w:rsidR="00BF1C09" w:rsidRPr="00B44716" w:rsidSect="00025993">
      <w:headerReference w:type="even" r:id="rId8"/>
      <w:headerReference w:type="default" r:id="rId9"/>
      <w:footerReference w:type="even"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79385" w14:textId="77777777" w:rsidR="00BA743B" w:rsidRDefault="00BA743B" w:rsidP="00336C4D">
      <w:pPr>
        <w:spacing w:after="0" w:line="240" w:lineRule="auto"/>
      </w:pPr>
      <w:r>
        <w:separator/>
      </w:r>
    </w:p>
  </w:endnote>
  <w:endnote w:type="continuationSeparator" w:id="0">
    <w:p w14:paraId="675B3C2E" w14:textId="77777777" w:rsidR="00BA743B" w:rsidRDefault="00BA743B" w:rsidP="0033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B40B5" w14:textId="77777777" w:rsidR="00CC0663" w:rsidRDefault="00CC0663" w:rsidP="005F79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9E26B7" w14:textId="77777777" w:rsidR="00CC0663" w:rsidRDefault="00CC0663" w:rsidP="005F79B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CC0C6" w14:textId="77777777" w:rsidR="00CC0663" w:rsidRDefault="00CC0663" w:rsidP="005F79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2D19">
      <w:rPr>
        <w:rStyle w:val="PageNumber"/>
        <w:noProof/>
      </w:rPr>
      <w:t>1</w:t>
    </w:r>
    <w:r>
      <w:rPr>
        <w:rStyle w:val="PageNumber"/>
      </w:rPr>
      <w:fldChar w:fldCharType="end"/>
    </w:r>
  </w:p>
  <w:p w14:paraId="6F6C288B" w14:textId="77777777" w:rsidR="00CC0663" w:rsidRPr="0036282D" w:rsidRDefault="00CC0663" w:rsidP="005F79B1">
    <w:pPr>
      <w:pStyle w:val="Footer"/>
      <w:ind w:right="360"/>
      <w:rPr>
        <w:rFonts w:ascii="Times New Roman" w:hAnsi="Times New Roman"/>
      </w:rPr>
    </w:pPr>
    <w:r>
      <w:rPr>
        <w:rFonts w:ascii="Times New Roman" w:hAnsi="Times New Roman"/>
      </w:rPr>
      <w:tab/>
    </w:r>
    <w:r>
      <w:rPr>
        <w:rFonts w:ascii="Times New Roman" w:hAnsi="Times New Roman"/>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CD89D" w14:textId="77777777" w:rsidR="00BA743B" w:rsidRDefault="00BA743B" w:rsidP="00336C4D">
      <w:pPr>
        <w:spacing w:after="0" w:line="240" w:lineRule="auto"/>
      </w:pPr>
      <w:r>
        <w:separator/>
      </w:r>
    </w:p>
  </w:footnote>
  <w:footnote w:type="continuationSeparator" w:id="0">
    <w:p w14:paraId="61E39DE4" w14:textId="77777777" w:rsidR="00BA743B" w:rsidRDefault="00BA743B" w:rsidP="00336C4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0D513" w14:textId="77777777" w:rsidR="00CC0663" w:rsidRDefault="00CC0663" w:rsidP="005F79B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2B1BE9" w14:textId="77777777" w:rsidR="00CC0663" w:rsidRDefault="00CC0663" w:rsidP="005F79B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76922" w14:textId="21AE1468" w:rsidR="00CC0663" w:rsidRPr="00691E57" w:rsidRDefault="00CC0663" w:rsidP="005F79B1">
    <w:pPr>
      <w:pStyle w:val="Header"/>
      <w:framePr w:wrap="none" w:vAnchor="text" w:hAnchor="margin" w:xAlign="right" w:y="1"/>
      <w:rPr>
        <w:rStyle w:val="PageNumber"/>
        <w:rFonts w:ascii="Times New Roman" w:hAnsi="Times New Roman"/>
      </w:rPr>
    </w:pPr>
    <w:r w:rsidRPr="00691E57">
      <w:rPr>
        <w:rStyle w:val="PageNumber"/>
        <w:rFonts w:ascii="Times New Roman" w:hAnsi="Times New Roman"/>
      </w:rPr>
      <w:t xml:space="preserve"> </w:t>
    </w:r>
    <w:r w:rsidRPr="00691E57">
      <w:rPr>
        <w:rStyle w:val="PageNumber"/>
        <w:rFonts w:ascii="Times New Roman" w:hAnsi="Times New Roman"/>
      </w:rPr>
      <w:fldChar w:fldCharType="begin"/>
    </w:r>
    <w:r w:rsidRPr="00691E57">
      <w:rPr>
        <w:rStyle w:val="PageNumber"/>
        <w:rFonts w:ascii="Times New Roman" w:hAnsi="Times New Roman"/>
      </w:rPr>
      <w:instrText xml:space="preserve">PAGE  </w:instrText>
    </w:r>
    <w:r w:rsidRPr="00691E57">
      <w:rPr>
        <w:rStyle w:val="PageNumber"/>
        <w:rFonts w:ascii="Times New Roman" w:hAnsi="Times New Roman"/>
      </w:rPr>
      <w:fldChar w:fldCharType="separate"/>
    </w:r>
    <w:r w:rsidR="00E92D19">
      <w:rPr>
        <w:rStyle w:val="PageNumber"/>
        <w:rFonts w:ascii="Times New Roman" w:hAnsi="Times New Roman"/>
        <w:noProof/>
      </w:rPr>
      <w:t>1</w:t>
    </w:r>
    <w:r w:rsidRPr="00691E57">
      <w:rPr>
        <w:rStyle w:val="PageNumber"/>
        <w:rFonts w:ascii="Times New Roman" w:hAnsi="Times New Roman"/>
      </w:rPr>
      <w:fldChar w:fldCharType="end"/>
    </w:r>
  </w:p>
  <w:p w14:paraId="2689346A" w14:textId="77777777" w:rsidR="00CC0663" w:rsidRDefault="00CC0663" w:rsidP="005F79B1">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609A4"/>
    <w:multiLevelType w:val="hybridMultilevel"/>
    <w:tmpl w:val="3D568210"/>
    <w:lvl w:ilvl="0" w:tplc="013CBABE">
      <w:start w:val="1"/>
      <w:numFmt w:val="decimal"/>
      <w:lvlText w:val="%1"/>
      <w:lvlJc w:val="left"/>
      <w:pPr>
        <w:ind w:left="643" w:hanging="360"/>
      </w:pPr>
      <w:rPr>
        <w:rFonts w:ascii="Times New Roman" w:eastAsiaTheme="minorHAnsi" w:hAnsi="Times New Roman" w:cs="Times New Roman"/>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1C331F7"/>
    <w:multiLevelType w:val="hybridMultilevel"/>
    <w:tmpl w:val="5650B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95A60"/>
    <w:multiLevelType w:val="hybridMultilevel"/>
    <w:tmpl w:val="7CF072B2"/>
    <w:lvl w:ilvl="0" w:tplc="E910AB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BE173B"/>
    <w:multiLevelType w:val="hybridMultilevel"/>
    <w:tmpl w:val="6B5E8BB8"/>
    <w:lvl w:ilvl="0" w:tplc="7B0299C4">
      <w:start w:val="501"/>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F025A"/>
    <w:multiLevelType w:val="hybridMultilevel"/>
    <w:tmpl w:val="FA40F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CD475F"/>
    <w:multiLevelType w:val="hybridMultilevel"/>
    <w:tmpl w:val="A210B268"/>
    <w:lvl w:ilvl="0" w:tplc="FAF4FC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ED4DA7"/>
    <w:multiLevelType w:val="hybridMultilevel"/>
    <w:tmpl w:val="3690B3DC"/>
    <w:lvl w:ilvl="0" w:tplc="E10E5AF8">
      <w:start w:val="1500"/>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D27ABA"/>
    <w:multiLevelType w:val="hybridMultilevel"/>
    <w:tmpl w:val="41E8C47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1A311F"/>
    <w:multiLevelType w:val="hybridMultilevel"/>
    <w:tmpl w:val="37F6582C"/>
    <w:lvl w:ilvl="0" w:tplc="B44E9E7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065022"/>
    <w:multiLevelType w:val="hybridMultilevel"/>
    <w:tmpl w:val="72AEDB4E"/>
    <w:lvl w:ilvl="0" w:tplc="1B6C406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6A655C"/>
    <w:multiLevelType w:val="hybridMultilevel"/>
    <w:tmpl w:val="2D00B91E"/>
    <w:lvl w:ilvl="0" w:tplc="24BEF41C">
      <w:start w:val="1"/>
      <w:numFmt w:val="decimal"/>
      <w:lvlText w:val="%1."/>
      <w:lvlJc w:val="left"/>
      <w:pPr>
        <w:ind w:left="90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63206E"/>
    <w:multiLevelType w:val="hybridMultilevel"/>
    <w:tmpl w:val="6268B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D3213F"/>
    <w:multiLevelType w:val="hybridMultilevel"/>
    <w:tmpl w:val="5D96BF28"/>
    <w:lvl w:ilvl="0" w:tplc="61845DC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557E4E"/>
    <w:multiLevelType w:val="hybridMultilevel"/>
    <w:tmpl w:val="DA5A3862"/>
    <w:lvl w:ilvl="0" w:tplc="30D608FA">
      <w:start w:val="50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1"/>
  </w:num>
  <w:num w:numId="3">
    <w:abstractNumId w:val="4"/>
  </w:num>
  <w:num w:numId="4">
    <w:abstractNumId w:val="10"/>
  </w:num>
  <w:num w:numId="5">
    <w:abstractNumId w:val="8"/>
  </w:num>
  <w:num w:numId="6">
    <w:abstractNumId w:val="9"/>
  </w:num>
  <w:num w:numId="7">
    <w:abstractNumId w:val="1"/>
  </w:num>
  <w:num w:numId="8">
    <w:abstractNumId w:val="0"/>
  </w:num>
  <w:num w:numId="9">
    <w:abstractNumId w:val="2"/>
  </w:num>
  <w:num w:numId="10">
    <w:abstractNumId w:val="5"/>
  </w:num>
  <w:num w:numId="11">
    <w:abstractNumId w:val="6"/>
  </w:num>
  <w:num w:numId="12">
    <w:abstractNumId w:val="12"/>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nnals Surgery Pers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zaadxtw3s9fzned0ab5d2t8radxt0p5fzve&quot;&gt;Tout&lt;record-ids&gt;&lt;item&gt;5892&lt;/item&gt;&lt;item&gt;5893&lt;/item&gt;&lt;item&gt;5957&lt;/item&gt;&lt;item&gt;6388&lt;/item&gt;&lt;/record-ids&gt;&lt;/item&gt;&lt;/Libraries&gt;"/>
  </w:docVars>
  <w:rsids>
    <w:rsidRoot w:val="008A32FD"/>
    <w:rsid w:val="00001894"/>
    <w:rsid w:val="00002354"/>
    <w:rsid w:val="000029EA"/>
    <w:rsid w:val="00004A57"/>
    <w:rsid w:val="00004A8B"/>
    <w:rsid w:val="00006DE9"/>
    <w:rsid w:val="00007219"/>
    <w:rsid w:val="00015AEB"/>
    <w:rsid w:val="00020118"/>
    <w:rsid w:val="00022FB9"/>
    <w:rsid w:val="00023787"/>
    <w:rsid w:val="00025946"/>
    <w:rsid w:val="00025993"/>
    <w:rsid w:val="000259E8"/>
    <w:rsid w:val="000264E6"/>
    <w:rsid w:val="00026C6D"/>
    <w:rsid w:val="000336BA"/>
    <w:rsid w:val="000427FE"/>
    <w:rsid w:val="00045F62"/>
    <w:rsid w:val="00051C00"/>
    <w:rsid w:val="0005718F"/>
    <w:rsid w:val="00062639"/>
    <w:rsid w:val="0006708B"/>
    <w:rsid w:val="00074062"/>
    <w:rsid w:val="000751F2"/>
    <w:rsid w:val="0008096E"/>
    <w:rsid w:val="00080C27"/>
    <w:rsid w:val="00090633"/>
    <w:rsid w:val="00091987"/>
    <w:rsid w:val="0009478B"/>
    <w:rsid w:val="00096743"/>
    <w:rsid w:val="00096D94"/>
    <w:rsid w:val="000B31EE"/>
    <w:rsid w:val="000B5AF1"/>
    <w:rsid w:val="000C50F2"/>
    <w:rsid w:val="000C5975"/>
    <w:rsid w:val="000C6ABC"/>
    <w:rsid w:val="000C739D"/>
    <w:rsid w:val="000C7663"/>
    <w:rsid w:val="000D07CA"/>
    <w:rsid w:val="000D406F"/>
    <w:rsid w:val="000D59EE"/>
    <w:rsid w:val="000E5D58"/>
    <w:rsid w:val="000F7AF7"/>
    <w:rsid w:val="00100685"/>
    <w:rsid w:val="00101998"/>
    <w:rsid w:val="00106F0E"/>
    <w:rsid w:val="00112594"/>
    <w:rsid w:val="00113ED8"/>
    <w:rsid w:val="0011452F"/>
    <w:rsid w:val="00120018"/>
    <w:rsid w:val="00120A3A"/>
    <w:rsid w:val="00122C91"/>
    <w:rsid w:val="0012686B"/>
    <w:rsid w:val="001274D7"/>
    <w:rsid w:val="001303BB"/>
    <w:rsid w:val="00131DDA"/>
    <w:rsid w:val="00131EC6"/>
    <w:rsid w:val="0013590B"/>
    <w:rsid w:val="00142A52"/>
    <w:rsid w:val="00142AF7"/>
    <w:rsid w:val="001466FF"/>
    <w:rsid w:val="00146BF1"/>
    <w:rsid w:val="00157A5E"/>
    <w:rsid w:val="001651AA"/>
    <w:rsid w:val="00173043"/>
    <w:rsid w:val="00183EC6"/>
    <w:rsid w:val="0019096B"/>
    <w:rsid w:val="001949EA"/>
    <w:rsid w:val="00195DA3"/>
    <w:rsid w:val="00196BD6"/>
    <w:rsid w:val="00197230"/>
    <w:rsid w:val="00197797"/>
    <w:rsid w:val="001979A4"/>
    <w:rsid w:val="001A1D36"/>
    <w:rsid w:val="001A37F9"/>
    <w:rsid w:val="001A5585"/>
    <w:rsid w:val="001A5AC6"/>
    <w:rsid w:val="001A606D"/>
    <w:rsid w:val="001B0675"/>
    <w:rsid w:val="001B42CF"/>
    <w:rsid w:val="001B661F"/>
    <w:rsid w:val="001B6641"/>
    <w:rsid w:val="001B6AC4"/>
    <w:rsid w:val="001C14D2"/>
    <w:rsid w:val="001C37C2"/>
    <w:rsid w:val="001C3A36"/>
    <w:rsid w:val="001C426B"/>
    <w:rsid w:val="001C5AC2"/>
    <w:rsid w:val="001C78DA"/>
    <w:rsid w:val="001C7CFA"/>
    <w:rsid w:val="001D061A"/>
    <w:rsid w:val="001D1D62"/>
    <w:rsid w:val="001D1F73"/>
    <w:rsid w:val="001D21F1"/>
    <w:rsid w:val="001D3856"/>
    <w:rsid w:val="001E72A4"/>
    <w:rsid w:val="001F04C6"/>
    <w:rsid w:val="001F3AEB"/>
    <w:rsid w:val="001F5929"/>
    <w:rsid w:val="0020036D"/>
    <w:rsid w:val="00202848"/>
    <w:rsid w:val="00203B70"/>
    <w:rsid w:val="00204B0F"/>
    <w:rsid w:val="00205E2A"/>
    <w:rsid w:val="00207C3D"/>
    <w:rsid w:val="00213142"/>
    <w:rsid w:val="00213B82"/>
    <w:rsid w:val="00213FF2"/>
    <w:rsid w:val="00214ADE"/>
    <w:rsid w:val="00220559"/>
    <w:rsid w:val="00224014"/>
    <w:rsid w:val="002302F1"/>
    <w:rsid w:val="00230673"/>
    <w:rsid w:val="002330FE"/>
    <w:rsid w:val="00242C6D"/>
    <w:rsid w:val="00243427"/>
    <w:rsid w:val="00243A91"/>
    <w:rsid w:val="00244A43"/>
    <w:rsid w:val="00245F37"/>
    <w:rsid w:val="00250C36"/>
    <w:rsid w:val="00256845"/>
    <w:rsid w:val="00262E91"/>
    <w:rsid w:val="00264C40"/>
    <w:rsid w:val="00266042"/>
    <w:rsid w:val="00272E84"/>
    <w:rsid w:val="00274D7C"/>
    <w:rsid w:val="00276C76"/>
    <w:rsid w:val="00277B31"/>
    <w:rsid w:val="00280E8D"/>
    <w:rsid w:val="00282F3F"/>
    <w:rsid w:val="002902E8"/>
    <w:rsid w:val="00293829"/>
    <w:rsid w:val="002A1C77"/>
    <w:rsid w:val="002A26A4"/>
    <w:rsid w:val="002A3BB7"/>
    <w:rsid w:val="002B4A82"/>
    <w:rsid w:val="002B4BC6"/>
    <w:rsid w:val="002B78FA"/>
    <w:rsid w:val="002C50DB"/>
    <w:rsid w:val="002D52CA"/>
    <w:rsid w:val="002D776F"/>
    <w:rsid w:val="002E09F9"/>
    <w:rsid w:val="002E0C3D"/>
    <w:rsid w:val="002E44AA"/>
    <w:rsid w:val="002F1463"/>
    <w:rsid w:val="002F750A"/>
    <w:rsid w:val="002F79A2"/>
    <w:rsid w:val="00302B6B"/>
    <w:rsid w:val="00305A05"/>
    <w:rsid w:val="00307234"/>
    <w:rsid w:val="0031204D"/>
    <w:rsid w:val="0031210C"/>
    <w:rsid w:val="003123ED"/>
    <w:rsid w:val="00312F69"/>
    <w:rsid w:val="0031433B"/>
    <w:rsid w:val="00320D47"/>
    <w:rsid w:val="00322486"/>
    <w:rsid w:val="00322B1F"/>
    <w:rsid w:val="00324DD8"/>
    <w:rsid w:val="00325E00"/>
    <w:rsid w:val="00326E7F"/>
    <w:rsid w:val="0032729E"/>
    <w:rsid w:val="003310BD"/>
    <w:rsid w:val="003355AC"/>
    <w:rsid w:val="0033624D"/>
    <w:rsid w:val="0033641D"/>
    <w:rsid w:val="00336C4D"/>
    <w:rsid w:val="00340893"/>
    <w:rsid w:val="00342AC7"/>
    <w:rsid w:val="00342D44"/>
    <w:rsid w:val="00343568"/>
    <w:rsid w:val="003453DE"/>
    <w:rsid w:val="00347654"/>
    <w:rsid w:val="00350D1A"/>
    <w:rsid w:val="00353ACA"/>
    <w:rsid w:val="00355C55"/>
    <w:rsid w:val="003569B4"/>
    <w:rsid w:val="00361533"/>
    <w:rsid w:val="0036236F"/>
    <w:rsid w:val="003639EA"/>
    <w:rsid w:val="0036745B"/>
    <w:rsid w:val="003737A5"/>
    <w:rsid w:val="003742A5"/>
    <w:rsid w:val="00376984"/>
    <w:rsid w:val="00380330"/>
    <w:rsid w:val="0038221A"/>
    <w:rsid w:val="00382E94"/>
    <w:rsid w:val="003844F6"/>
    <w:rsid w:val="00385B91"/>
    <w:rsid w:val="00386CDB"/>
    <w:rsid w:val="003902EE"/>
    <w:rsid w:val="00390719"/>
    <w:rsid w:val="003921CC"/>
    <w:rsid w:val="003935C9"/>
    <w:rsid w:val="0039567D"/>
    <w:rsid w:val="00396261"/>
    <w:rsid w:val="00396E66"/>
    <w:rsid w:val="0039728B"/>
    <w:rsid w:val="0039734E"/>
    <w:rsid w:val="0039774E"/>
    <w:rsid w:val="003A40B0"/>
    <w:rsid w:val="003A5110"/>
    <w:rsid w:val="003B2C67"/>
    <w:rsid w:val="003B41A9"/>
    <w:rsid w:val="003C758A"/>
    <w:rsid w:val="003C774A"/>
    <w:rsid w:val="003C78DD"/>
    <w:rsid w:val="003D3F06"/>
    <w:rsid w:val="003E129F"/>
    <w:rsid w:val="003E4D67"/>
    <w:rsid w:val="003E60B7"/>
    <w:rsid w:val="003E6D20"/>
    <w:rsid w:val="003E7620"/>
    <w:rsid w:val="003E7D86"/>
    <w:rsid w:val="003F4590"/>
    <w:rsid w:val="003F79C7"/>
    <w:rsid w:val="00402525"/>
    <w:rsid w:val="00402E44"/>
    <w:rsid w:val="004041DA"/>
    <w:rsid w:val="00405845"/>
    <w:rsid w:val="00411E73"/>
    <w:rsid w:val="00414A76"/>
    <w:rsid w:val="00416C2B"/>
    <w:rsid w:val="00421CEB"/>
    <w:rsid w:val="00426C54"/>
    <w:rsid w:val="00432903"/>
    <w:rsid w:val="00434206"/>
    <w:rsid w:val="00437897"/>
    <w:rsid w:val="00440298"/>
    <w:rsid w:val="00441E4D"/>
    <w:rsid w:val="0044268F"/>
    <w:rsid w:val="00443492"/>
    <w:rsid w:val="00443623"/>
    <w:rsid w:val="004516C8"/>
    <w:rsid w:val="004539BE"/>
    <w:rsid w:val="00456754"/>
    <w:rsid w:val="004572C9"/>
    <w:rsid w:val="00460BF3"/>
    <w:rsid w:val="004643D7"/>
    <w:rsid w:val="0046615D"/>
    <w:rsid w:val="00467B2F"/>
    <w:rsid w:val="00471451"/>
    <w:rsid w:val="004749CA"/>
    <w:rsid w:val="004804AD"/>
    <w:rsid w:val="004808F2"/>
    <w:rsid w:val="004811BD"/>
    <w:rsid w:val="004828D9"/>
    <w:rsid w:val="004847DA"/>
    <w:rsid w:val="00490200"/>
    <w:rsid w:val="00494188"/>
    <w:rsid w:val="0049621C"/>
    <w:rsid w:val="004A081A"/>
    <w:rsid w:val="004A1CE2"/>
    <w:rsid w:val="004A3B3D"/>
    <w:rsid w:val="004A6548"/>
    <w:rsid w:val="004C2A5D"/>
    <w:rsid w:val="004D225F"/>
    <w:rsid w:val="004D2D40"/>
    <w:rsid w:val="004D5CDF"/>
    <w:rsid w:val="004D6713"/>
    <w:rsid w:val="004E4B23"/>
    <w:rsid w:val="004E4FE7"/>
    <w:rsid w:val="004E75D7"/>
    <w:rsid w:val="004F2D23"/>
    <w:rsid w:val="004F31C6"/>
    <w:rsid w:val="004F54ED"/>
    <w:rsid w:val="004F57FE"/>
    <w:rsid w:val="00502733"/>
    <w:rsid w:val="00503354"/>
    <w:rsid w:val="0050399D"/>
    <w:rsid w:val="00504E87"/>
    <w:rsid w:val="00506151"/>
    <w:rsid w:val="00510CF7"/>
    <w:rsid w:val="00513135"/>
    <w:rsid w:val="005158B5"/>
    <w:rsid w:val="00517EC7"/>
    <w:rsid w:val="00521582"/>
    <w:rsid w:val="00524B9A"/>
    <w:rsid w:val="00526915"/>
    <w:rsid w:val="00527EFC"/>
    <w:rsid w:val="0053285E"/>
    <w:rsid w:val="00532910"/>
    <w:rsid w:val="0053306F"/>
    <w:rsid w:val="005366A2"/>
    <w:rsid w:val="00542F30"/>
    <w:rsid w:val="00543421"/>
    <w:rsid w:val="005442E9"/>
    <w:rsid w:val="00546711"/>
    <w:rsid w:val="0054731F"/>
    <w:rsid w:val="005503BE"/>
    <w:rsid w:val="00551BF5"/>
    <w:rsid w:val="00557B6D"/>
    <w:rsid w:val="00560D43"/>
    <w:rsid w:val="00561D3F"/>
    <w:rsid w:val="0056341A"/>
    <w:rsid w:val="00564436"/>
    <w:rsid w:val="00571926"/>
    <w:rsid w:val="00571C5C"/>
    <w:rsid w:val="00571CCD"/>
    <w:rsid w:val="0057225E"/>
    <w:rsid w:val="005758C1"/>
    <w:rsid w:val="00576B53"/>
    <w:rsid w:val="00580CEA"/>
    <w:rsid w:val="0058551F"/>
    <w:rsid w:val="00586674"/>
    <w:rsid w:val="00593B94"/>
    <w:rsid w:val="00596547"/>
    <w:rsid w:val="00597CFF"/>
    <w:rsid w:val="005A094D"/>
    <w:rsid w:val="005A75B9"/>
    <w:rsid w:val="005C01F8"/>
    <w:rsid w:val="005C6365"/>
    <w:rsid w:val="005C697F"/>
    <w:rsid w:val="005C7530"/>
    <w:rsid w:val="005C76D5"/>
    <w:rsid w:val="005D0AFC"/>
    <w:rsid w:val="005D1755"/>
    <w:rsid w:val="005D1C7B"/>
    <w:rsid w:val="005D2BFB"/>
    <w:rsid w:val="005E29A5"/>
    <w:rsid w:val="005F0D31"/>
    <w:rsid w:val="005F1034"/>
    <w:rsid w:val="005F79B1"/>
    <w:rsid w:val="006015C2"/>
    <w:rsid w:val="00603967"/>
    <w:rsid w:val="006048E5"/>
    <w:rsid w:val="00604B8F"/>
    <w:rsid w:val="00606A16"/>
    <w:rsid w:val="00606E0F"/>
    <w:rsid w:val="00607F85"/>
    <w:rsid w:val="0061031C"/>
    <w:rsid w:val="00623604"/>
    <w:rsid w:val="006237CD"/>
    <w:rsid w:val="0062484C"/>
    <w:rsid w:val="0063333C"/>
    <w:rsid w:val="00633E09"/>
    <w:rsid w:val="00634A33"/>
    <w:rsid w:val="0063614D"/>
    <w:rsid w:val="006366A9"/>
    <w:rsid w:val="00644354"/>
    <w:rsid w:val="00644FB4"/>
    <w:rsid w:val="00645604"/>
    <w:rsid w:val="0064667F"/>
    <w:rsid w:val="006469D9"/>
    <w:rsid w:val="00646DE4"/>
    <w:rsid w:val="006504F0"/>
    <w:rsid w:val="0065155D"/>
    <w:rsid w:val="00651CB1"/>
    <w:rsid w:val="00653DC6"/>
    <w:rsid w:val="00653F33"/>
    <w:rsid w:val="006574EB"/>
    <w:rsid w:val="00657C56"/>
    <w:rsid w:val="0066423D"/>
    <w:rsid w:val="006642BA"/>
    <w:rsid w:val="0066601A"/>
    <w:rsid w:val="0067078E"/>
    <w:rsid w:val="00671912"/>
    <w:rsid w:val="00674904"/>
    <w:rsid w:val="00675BAD"/>
    <w:rsid w:val="00675D39"/>
    <w:rsid w:val="00677A42"/>
    <w:rsid w:val="00682386"/>
    <w:rsid w:val="00685397"/>
    <w:rsid w:val="00685698"/>
    <w:rsid w:val="00687438"/>
    <w:rsid w:val="006875BB"/>
    <w:rsid w:val="00687A22"/>
    <w:rsid w:val="006903D0"/>
    <w:rsid w:val="0069239C"/>
    <w:rsid w:val="006A2A4F"/>
    <w:rsid w:val="006A47B7"/>
    <w:rsid w:val="006A4C0B"/>
    <w:rsid w:val="006B1FA6"/>
    <w:rsid w:val="006C10D6"/>
    <w:rsid w:val="006C22E1"/>
    <w:rsid w:val="006C6217"/>
    <w:rsid w:val="006C7835"/>
    <w:rsid w:val="006D0CB9"/>
    <w:rsid w:val="006D59EB"/>
    <w:rsid w:val="006D6B74"/>
    <w:rsid w:val="006E0333"/>
    <w:rsid w:val="006E56B5"/>
    <w:rsid w:val="006F1226"/>
    <w:rsid w:val="006F229B"/>
    <w:rsid w:val="006F22C6"/>
    <w:rsid w:val="006F3878"/>
    <w:rsid w:val="006F3DAA"/>
    <w:rsid w:val="006F5A23"/>
    <w:rsid w:val="006F6DB5"/>
    <w:rsid w:val="0070262A"/>
    <w:rsid w:val="00702E5F"/>
    <w:rsid w:val="00706D80"/>
    <w:rsid w:val="00707986"/>
    <w:rsid w:val="00712496"/>
    <w:rsid w:val="007142EF"/>
    <w:rsid w:val="00714F6A"/>
    <w:rsid w:val="0071544B"/>
    <w:rsid w:val="00716D90"/>
    <w:rsid w:val="007201DC"/>
    <w:rsid w:val="00720949"/>
    <w:rsid w:val="00720F4D"/>
    <w:rsid w:val="00721BBB"/>
    <w:rsid w:val="00722885"/>
    <w:rsid w:val="00723C43"/>
    <w:rsid w:val="00735527"/>
    <w:rsid w:val="00735C7B"/>
    <w:rsid w:val="007419DE"/>
    <w:rsid w:val="007430FC"/>
    <w:rsid w:val="0074580F"/>
    <w:rsid w:val="0075498B"/>
    <w:rsid w:val="00756E1E"/>
    <w:rsid w:val="007603FB"/>
    <w:rsid w:val="007604F9"/>
    <w:rsid w:val="00763C82"/>
    <w:rsid w:val="0076485A"/>
    <w:rsid w:val="007652E6"/>
    <w:rsid w:val="00772052"/>
    <w:rsid w:val="00773418"/>
    <w:rsid w:val="00773CE9"/>
    <w:rsid w:val="00774134"/>
    <w:rsid w:val="007748D2"/>
    <w:rsid w:val="00775426"/>
    <w:rsid w:val="00780B31"/>
    <w:rsid w:val="00786EAD"/>
    <w:rsid w:val="0079053B"/>
    <w:rsid w:val="0079246D"/>
    <w:rsid w:val="007A0A6B"/>
    <w:rsid w:val="007A32EC"/>
    <w:rsid w:val="007A7927"/>
    <w:rsid w:val="007B18EF"/>
    <w:rsid w:val="007B19E8"/>
    <w:rsid w:val="007B1D6F"/>
    <w:rsid w:val="007B6F25"/>
    <w:rsid w:val="007C086D"/>
    <w:rsid w:val="007D03B9"/>
    <w:rsid w:val="007D2468"/>
    <w:rsid w:val="007D3384"/>
    <w:rsid w:val="007D3B4A"/>
    <w:rsid w:val="007E150F"/>
    <w:rsid w:val="007E200B"/>
    <w:rsid w:val="007E38BC"/>
    <w:rsid w:val="007F1224"/>
    <w:rsid w:val="007F1D4E"/>
    <w:rsid w:val="007F4BA3"/>
    <w:rsid w:val="00802558"/>
    <w:rsid w:val="00803555"/>
    <w:rsid w:val="00804A86"/>
    <w:rsid w:val="00805345"/>
    <w:rsid w:val="00805BBB"/>
    <w:rsid w:val="00807639"/>
    <w:rsid w:val="00807B09"/>
    <w:rsid w:val="00810BE9"/>
    <w:rsid w:val="00811D33"/>
    <w:rsid w:val="00812525"/>
    <w:rsid w:val="0081334C"/>
    <w:rsid w:val="00815EE6"/>
    <w:rsid w:val="00821A02"/>
    <w:rsid w:val="00821CDC"/>
    <w:rsid w:val="00827067"/>
    <w:rsid w:val="008368D0"/>
    <w:rsid w:val="00842FC4"/>
    <w:rsid w:val="00843960"/>
    <w:rsid w:val="008548B8"/>
    <w:rsid w:val="00855261"/>
    <w:rsid w:val="008569F4"/>
    <w:rsid w:val="00857B45"/>
    <w:rsid w:val="008669D0"/>
    <w:rsid w:val="00870F04"/>
    <w:rsid w:val="008713D6"/>
    <w:rsid w:val="00872435"/>
    <w:rsid w:val="00874979"/>
    <w:rsid w:val="00874AA9"/>
    <w:rsid w:val="0088278B"/>
    <w:rsid w:val="00886316"/>
    <w:rsid w:val="00893F9B"/>
    <w:rsid w:val="0089569D"/>
    <w:rsid w:val="008A1DE6"/>
    <w:rsid w:val="008A32FD"/>
    <w:rsid w:val="008A41D0"/>
    <w:rsid w:val="008B6022"/>
    <w:rsid w:val="008B6387"/>
    <w:rsid w:val="008C1B2A"/>
    <w:rsid w:val="008C40CD"/>
    <w:rsid w:val="008C4BF6"/>
    <w:rsid w:val="008D1ECC"/>
    <w:rsid w:val="008D21DD"/>
    <w:rsid w:val="008D609F"/>
    <w:rsid w:val="008D6FCB"/>
    <w:rsid w:val="008D70E0"/>
    <w:rsid w:val="008E0039"/>
    <w:rsid w:val="008E5442"/>
    <w:rsid w:val="008E6463"/>
    <w:rsid w:val="008E68FA"/>
    <w:rsid w:val="008F109A"/>
    <w:rsid w:val="009029A8"/>
    <w:rsid w:val="009037F4"/>
    <w:rsid w:val="0090428B"/>
    <w:rsid w:val="0091499F"/>
    <w:rsid w:val="00915E1C"/>
    <w:rsid w:val="00917650"/>
    <w:rsid w:val="009267B8"/>
    <w:rsid w:val="0092691F"/>
    <w:rsid w:val="009328C9"/>
    <w:rsid w:val="00941093"/>
    <w:rsid w:val="009500BD"/>
    <w:rsid w:val="0095096C"/>
    <w:rsid w:val="00951D2A"/>
    <w:rsid w:val="00951D7E"/>
    <w:rsid w:val="009565E7"/>
    <w:rsid w:val="00956F95"/>
    <w:rsid w:val="00974544"/>
    <w:rsid w:val="00975740"/>
    <w:rsid w:val="00975E04"/>
    <w:rsid w:val="00976533"/>
    <w:rsid w:val="0097758F"/>
    <w:rsid w:val="00986595"/>
    <w:rsid w:val="00986B25"/>
    <w:rsid w:val="0099568E"/>
    <w:rsid w:val="00997A05"/>
    <w:rsid w:val="009A0C86"/>
    <w:rsid w:val="009A1E82"/>
    <w:rsid w:val="009A53F5"/>
    <w:rsid w:val="009B0D5C"/>
    <w:rsid w:val="009B1A30"/>
    <w:rsid w:val="009B7081"/>
    <w:rsid w:val="009C09BE"/>
    <w:rsid w:val="009C46E9"/>
    <w:rsid w:val="009C4E08"/>
    <w:rsid w:val="009C7BC5"/>
    <w:rsid w:val="009D129D"/>
    <w:rsid w:val="009D1446"/>
    <w:rsid w:val="009D2566"/>
    <w:rsid w:val="009D3A43"/>
    <w:rsid w:val="009D565E"/>
    <w:rsid w:val="009D590E"/>
    <w:rsid w:val="009D6F93"/>
    <w:rsid w:val="009E0AD1"/>
    <w:rsid w:val="009E2C6A"/>
    <w:rsid w:val="009E2E88"/>
    <w:rsid w:val="009E4A98"/>
    <w:rsid w:val="009E4D2A"/>
    <w:rsid w:val="009E527E"/>
    <w:rsid w:val="009E604D"/>
    <w:rsid w:val="009E78DA"/>
    <w:rsid w:val="00A01796"/>
    <w:rsid w:val="00A0256E"/>
    <w:rsid w:val="00A02D9D"/>
    <w:rsid w:val="00A06962"/>
    <w:rsid w:val="00A1043A"/>
    <w:rsid w:val="00A1723D"/>
    <w:rsid w:val="00A2457C"/>
    <w:rsid w:val="00A24F03"/>
    <w:rsid w:val="00A31667"/>
    <w:rsid w:val="00A32D5E"/>
    <w:rsid w:val="00A334A8"/>
    <w:rsid w:val="00A35253"/>
    <w:rsid w:val="00A35F8E"/>
    <w:rsid w:val="00A36898"/>
    <w:rsid w:val="00A3756D"/>
    <w:rsid w:val="00A40B21"/>
    <w:rsid w:val="00A44EBF"/>
    <w:rsid w:val="00A452DC"/>
    <w:rsid w:val="00A45A1D"/>
    <w:rsid w:val="00A45E0B"/>
    <w:rsid w:val="00A467FF"/>
    <w:rsid w:val="00A51760"/>
    <w:rsid w:val="00A51E02"/>
    <w:rsid w:val="00A52268"/>
    <w:rsid w:val="00A556CC"/>
    <w:rsid w:val="00A55F56"/>
    <w:rsid w:val="00A62E83"/>
    <w:rsid w:val="00A676E8"/>
    <w:rsid w:val="00A713B8"/>
    <w:rsid w:val="00A7429C"/>
    <w:rsid w:val="00A77100"/>
    <w:rsid w:val="00A802BC"/>
    <w:rsid w:val="00A80F98"/>
    <w:rsid w:val="00A813D5"/>
    <w:rsid w:val="00A83632"/>
    <w:rsid w:val="00A92C81"/>
    <w:rsid w:val="00A959BD"/>
    <w:rsid w:val="00A96C71"/>
    <w:rsid w:val="00A977DE"/>
    <w:rsid w:val="00AA14C8"/>
    <w:rsid w:val="00AA2B57"/>
    <w:rsid w:val="00AA3EA4"/>
    <w:rsid w:val="00AA7567"/>
    <w:rsid w:val="00AB24CB"/>
    <w:rsid w:val="00AB619B"/>
    <w:rsid w:val="00AB66D7"/>
    <w:rsid w:val="00AB6AE3"/>
    <w:rsid w:val="00AB787C"/>
    <w:rsid w:val="00AC30AD"/>
    <w:rsid w:val="00AC4819"/>
    <w:rsid w:val="00AC74A9"/>
    <w:rsid w:val="00AC7D86"/>
    <w:rsid w:val="00AD2903"/>
    <w:rsid w:val="00AD40EB"/>
    <w:rsid w:val="00AD4864"/>
    <w:rsid w:val="00AD75B5"/>
    <w:rsid w:val="00AE05BC"/>
    <w:rsid w:val="00AE43F1"/>
    <w:rsid w:val="00AE5641"/>
    <w:rsid w:val="00AE5CA7"/>
    <w:rsid w:val="00AE7778"/>
    <w:rsid w:val="00AE782D"/>
    <w:rsid w:val="00AF01DB"/>
    <w:rsid w:val="00AF16FF"/>
    <w:rsid w:val="00AF1A0A"/>
    <w:rsid w:val="00AF418B"/>
    <w:rsid w:val="00AF753D"/>
    <w:rsid w:val="00B006CF"/>
    <w:rsid w:val="00B0298E"/>
    <w:rsid w:val="00B1283C"/>
    <w:rsid w:val="00B17D9A"/>
    <w:rsid w:val="00B200A4"/>
    <w:rsid w:val="00B2018F"/>
    <w:rsid w:val="00B22A43"/>
    <w:rsid w:val="00B25AFA"/>
    <w:rsid w:val="00B30AD6"/>
    <w:rsid w:val="00B324BF"/>
    <w:rsid w:val="00B33668"/>
    <w:rsid w:val="00B3439D"/>
    <w:rsid w:val="00B374C0"/>
    <w:rsid w:val="00B37F1D"/>
    <w:rsid w:val="00B4112E"/>
    <w:rsid w:val="00B41C9E"/>
    <w:rsid w:val="00B42694"/>
    <w:rsid w:val="00B44603"/>
    <w:rsid w:val="00B44716"/>
    <w:rsid w:val="00B45C83"/>
    <w:rsid w:val="00B52B93"/>
    <w:rsid w:val="00B52FF7"/>
    <w:rsid w:val="00B55D76"/>
    <w:rsid w:val="00B57AED"/>
    <w:rsid w:val="00B57F3C"/>
    <w:rsid w:val="00B619B7"/>
    <w:rsid w:val="00B63C69"/>
    <w:rsid w:val="00B722FC"/>
    <w:rsid w:val="00B76F15"/>
    <w:rsid w:val="00B77B04"/>
    <w:rsid w:val="00B80559"/>
    <w:rsid w:val="00B85A12"/>
    <w:rsid w:val="00B85FE1"/>
    <w:rsid w:val="00B874DE"/>
    <w:rsid w:val="00B91649"/>
    <w:rsid w:val="00B94709"/>
    <w:rsid w:val="00B94F6E"/>
    <w:rsid w:val="00BA15C1"/>
    <w:rsid w:val="00BA4942"/>
    <w:rsid w:val="00BA4ED5"/>
    <w:rsid w:val="00BA743B"/>
    <w:rsid w:val="00BB0A65"/>
    <w:rsid w:val="00BB5667"/>
    <w:rsid w:val="00BC0929"/>
    <w:rsid w:val="00BC124E"/>
    <w:rsid w:val="00BC1A18"/>
    <w:rsid w:val="00BC7A9A"/>
    <w:rsid w:val="00BC7B84"/>
    <w:rsid w:val="00BD164B"/>
    <w:rsid w:val="00BD7ABF"/>
    <w:rsid w:val="00BE2C4C"/>
    <w:rsid w:val="00BE460D"/>
    <w:rsid w:val="00BE4E80"/>
    <w:rsid w:val="00BE755C"/>
    <w:rsid w:val="00BF1C09"/>
    <w:rsid w:val="00BF3823"/>
    <w:rsid w:val="00C0604B"/>
    <w:rsid w:val="00C06675"/>
    <w:rsid w:val="00C11281"/>
    <w:rsid w:val="00C14FB6"/>
    <w:rsid w:val="00C153BE"/>
    <w:rsid w:val="00C176F0"/>
    <w:rsid w:val="00C2138A"/>
    <w:rsid w:val="00C233BB"/>
    <w:rsid w:val="00C24834"/>
    <w:rsid w:val="00C30F2B"/>
    <w:rsid w:val="00C316FC"/>
    <w:rsid w:val="00C34076"/>
    <w:rsid w:val="00C4013F"/>
    <w:rsid w:val="00C41ABF"/>
    <w:rsid w:val="00C430F1"/>
    <w:rsid w:val="00C43375"/>
    <w:rsid w:val="00C43DFD"/>
    <w:rsid w:val="00C51E71"/>
    <w:rsid w:val="00C576EE"/>
    <w:rsid w:val="00C61CDF"/>
    <w:rsid w:val="00C6203D"/>
    <w:rsid w:val="00C63C27"/>
    <w:rsid w:val="00C65182"/>
    <w:rsid w:val="00C76395"/>
    <w:rsid w:val="00C76CEE"/>
    <w:rsid w:val="00C8302A"/>
    <w:rsid w:val="00C8408E"/>
    <w:rsid w:val="00C84B09"/>
    <w:rsid w:val="00C868A6"/>
    <w:rsid w:val="00C8710B"/>
    <w:rsid w:val="00C919F5"/>
    <w:rsid w:val="00C93CB3"/>
    <w:rsid w:val="00CA38D2"/>
    <w:rsid w:val="00CB1791"/>
    <w:rsid w:val="00CB5F34"/>
    <w:rsid w:val="00CC0663"/>
    <w:rsid w:val="00CC4B12"/>
    <w:rsid w:val="00CD098B"/>
    <w:rsid w:val="00CD7623"/>
    <w:rsid w:val="00CE7050"/>
    <w:rsid w:val="00CE76C7"/>
    <w:rsid w:val="00CF0F58"/>
    <w:rsid w:val="00CF7374"/>
    <w:rsid w:val="00D10680"/>
    <w:rsid w:val="00D10B95"/>
    <w:rsid w:val="00D11C81"/>
    <w:rsid w:val="00D12797"/>
    <w:rsid w:val="00D160EA"/>
    <w:rsid w:val="00D178A8"/>
    <w:rsid w:val="00D216A7"/>
    <w:rsid w:val="00D218B6"/>
    <w:rsid w:val="00D227C2"/>
    <w:rsid w:val="00D22EF0"/>
    <w:rsid w:val="00D24DDE"/>
    <w:rsid w:val="00D35E68"/>
    <w:rsid w:val="00D43F55"/>
    <w:rsid w:val="00D4440B"/>
    <w:rsid w:val="00D45B12"/>
    <w:rsid w:val="00D52DFF"/>
    <w:rsid w:val="00D546CA"/>
    <w:rsid w:val="00D547EC"/>
    <w:rsid w:val="00D552E6"/>
    <w:rsid w:val="00D557B7"/>
    <w:rsid w:val="00D5612A"/>
    <w:rsid w:val="00D57064"/>
    <w:rsid w:val="00D57C69"/>
    <w:rsid w:val="00D60375"/>
    <w:rsid w:val="00D622BA"/>
    <w:rsid w:val="00D64132"/>
    <w:rsid w:val="00D64A97"/>
    <w:rsid w:val="00D70B69"/>
    <w:rsid w:val="00D734BB"/>
    <w:rsid w:val="00D75532"/>
    <w:rsid w:val="00D76AE9"/>
    <w:rsid w:val="00D76F02"/>
    <w:rsid w:val="00D7710A"/>
    <w:rsid w:val="00D83BCB"/>
    <w:rsid w:val="00D954E4"/>
    <w:rsid w:val="00D967C5"/>
    <w:rsid w:val="00D96A26"/>
    <w:rsid w:val="00DA0288"/>
    <w:rsid w:val="00DA2541"/>
    <w:rsid w:val="00DB39F2"/>
    <w:rsid w:val="00DB6353"/>
    <w:rsid w:val="00DC1D89"/>
    <w:rsid w:val="00DC438D"/>
    <w:rsid w:val="00DD0F76"/>
    <w:rsid w:val="00DD1102"/>
    <w:rsid w:val="00DD2DAC"/>
    <w:rsid w:val="00DD31B1"/>
    <w:rsid w:val="00DD5CE1"/>
    <w:rsid w:val="00DD789A"/>
    <w:rsid w:val="00DE2FCE"/>
    <w:rsid w:val="00DE404B"/>
    <w:rsid w:val="00DE6E06"/>
    <w:rsid w:val="00DF3BD8"/>
    <w:rsid w:val="00E02E43"/>
    <w:rsid w:val="00E037C5"/>
    <w:rsid w:val="00E07243"/>
    <w:rsid w:val="00E076DC"/>
    <w:rsid w:val="00E10316"/>
    <w:rsid w:val="00E2494E"/>
    <w:rsid w:val="00E26F80"/>
    <w:rsid w:val="00E318C9"/>
    <w:rsid w:val="00E33D24"/>
    <w:rsid w:val="00E37EA8"/>
    <w:rsid w:val="00E41048"/>
    <w:rsid w:val="00E42789"/>
    <w:rsid w:val="00E446E4"/>
    <w:rsid w:val="00E45581"/>
    <w:rsid w:val="00E45D71"/>
    <w:rsid w:val="00E47DE9"/>
    <w:rsid w:val="00E52229"/>
    <w:rsid w:val="00E5299A"/>
    <w:rsid w:val="00E52B5A"/>
    <w:rsid w:val="00E600C3"/>
    <w:rsid w:val="00E60766"/>
    <w:rsid w:val="00E62FF2"/>
    <w:rsid w:val="00E7073C"/>
    <w:rsid w:val="00E71D97"/>
    <w:rsid w:val="00E71FF3"/>
    <w:rsid w:val="00E76764"/>
    <w:rsid w:val="00E90AB6"/>
    <w:rsid w:val="00E91611"/>
    <w:rsid w:val="00E923CE"/>
    <w:rsid w:val="00E92D19"/>
    <w:rsid w:val="00E935DA"/>
    <w:rsid w:val="00E937FC"/>
    <w:rsid w:val="00E95A8F"/>
    <w:rsid w:val="00E9650D"/>
    <w:rsid w:val="00EA0299"/>
    <w:rsid w:val="00EA2512"/>
    <w:rsid w:val="00EA3E20"/>
    <w:rsid w:val="00EA4D0C"/>
    <w:rsid w:val="00EA5816"/>
    <w:rsid w:val="00EA68C0"/>
    <w:rsid w:val="00EB1C11"/>
    <w:rsid w:val="00EB677F"/>
    <w:rsid w:val="00EC36B5"/>
    <w:rsid w:val="00EC701A"/>
    <w:rsid w:val="00ED3E97"/>
    <w:rsid w:val="00ED7533"/>
    <w:rsid w:val="00EE100C"/>
    <w:rsid w:val="00EE1541"/>
    <w:rsid w:val="00EE2725"/>
    <w:rsid w:val="00EE27E9"/>
    <w:rsid w:val="00EE4063"/>
    <w:rsid w:val="00EE6B3C"/>
    <w:rsid w:val="00EF0844"/>
    <w:rsid w:val="00EF0AF2"/>
    <w:rsid w:val="00EF2205"/>
    <w:rsid w:val="00EF6D4E"/>
    <w:rsid w:val="00EF7107"/>
    <w:rsid w:val="00F00BAD"/>
    <w:rsid w:val="00F03356"/>
    <w:rsid w:val="00F05633"/>
    <w:rsid w:val="00F06CB4"/>
    <w:rsid w:val="00F10B4F"/>
    <w:rsid w:val="00F142F6"/>
    <w:rsid w:val="00F1750B"/>
    <w:rsid w:val="00F4288E"/>
    <w:rsid w:val="00F4567E"/>
    <w:rsid w:val="00F51077"/>
    <w:rsid w:val="00F5404A"/>
    <w:rsid w:val="00F55CDE"/>
    <w:rsid w:val="00F61948"/>
    <w:rsid w:val="00F62AB8"/>
    <w:rsid w:val="00F63C27"/>
    <w:rsid w:val="00F63FB7"/>
    <w:rsid w:val="00F6418F"/>
    <w:rsid w:val="00F64953"/>
    <w:rsid w:val="00F64F38"/>
    <w:rsid w:val="00F66941"/>
    <w:rsid w:val="00F750D9"/>
    <w:rsid w:val="00F81044"/>
    <w:rsid w:val="00F816B5"/>
    <w:rsid w:val="00F84323"/>
    <w:rsid w:val="00F85E74"/>
    <w:rsid w:val="00F95B65"/>
    <w:rsid w:val="00F97D6D"/>
    <w:rsid w:val="00FA1C8B"/>
    <w:rsid w:val="00FA1E52"/>
    <w:rsid w:val="00FB02E1"/>
    <w:rsid w:val="00FB0E7D"/>
    <w:rsid w:val="00FB36F1"/>
    <w:rsid w:val="00FC0A93"/>
    <w:rsid w:val="00FC15C0"/>
    <w:rsid w:val="00FC24EC"/>
    <w:rsid w:val="00FC474A"/>
    <w:rsid w:val="00FC6E82"/>
    <w:rsid w:val="00FD0BA7"/>
    <w:rsid w:val="00FD3BA1"/>
    <w:rsid w:val="00FD7CC7"/>
    <w:rsid w:val="00FE60A5"/>
    <w:rsid w:val="00FE7F12"/>
    <w:rsid w:val="00FF2B75"/>
    <w:rsid w:val="00FF3E65"/>
    <w:rsid w:val="00FF5747"/>
    <w:rsid w:val="00FF5BC1"/>
    <w:rsid w:val="00FF7B2F"/>
    <w:rsid w:val="2C20E195"/>
    <w:rsid w:val="6F8CED6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F967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A32FD"/>
    <w:pPr>
      <w:spacing w:after="160" w:line="259" w:lineRule="auto"/>
    </w:pPr>
  </w:style>
  <w:style w:type="paragraph" w:styleId="Heading1">
    <w:name w:val="heading 1"/>
    <w:basedOn w:val="Normal"/>
    <w:next w:val="Normal"/>
    <w:link w:val="Heading1Char"/>
    <w:uiPriority w:val="9"/>
    <w:qFormat/>
    <w:rsid w:val="008A32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8A32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A32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2FD"/>
    <w:pPr>
      <w:ind w:left="720"/>
      <w:contextualSpacing/>
    </w:pPr>
  </w:style>
  <w:style w:type="character" w:customStyle="1" w:styleId="Heading1Char">
    <w:name w:val="Heading 1 Char"/>
    <w:basedOn w:val="DefaultParagraphFont"/>
    <w:link w:val="Heading1"/>
    <w:uiPriority w:val="9"/>
    <w:rsid w:val="008A32F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A32F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A32FD"/>
    <w:rPr>
      <w:rFonts w:asciiTheme="majorHAnsi" w:eastAsiaTheme="majorEastAsia" w:hAnsiTheme="majorHAnsi" w:cstheme="majorBidi"/>
      <w:color w:val="243F60" w:themeColor="accent1" w:themeShade="7F"/>
      <w:sz w:val="24"/>
      <w:szCs w:val="24"/>
    </w:rPr>
  </w:style>
  <w:style w:type="paragraph" w:customStyle="1" w:styleId="NoSpacing1">
    <w:name w:val="No Spacing1"/>
    <w:uiPriority w:val="1"/>
    <w:qFormat/>
    <w:rsid w:val="008A32FD"/>
    <w:pPr>
      <w:spacing w:after="0" w:line="240" w:lineRule="auto"/>
    </w:pPr>
    <w:rPr>
      <w:rFonts w:ascii="Calibri" w:eastAsia="Calibri" w:hAnsi="Calibri" w:cs="Times New Roman"/>
      <w:lang w:val="en-CA"/>
    </w:rPr>
  </w:style>
  <w:style w:type="character" w:styleId="CommentReference">
    <w:name w:val="annotation reference"/>
    <w:basedOn w:val="DefaultParagraphFont"/>
    <w:uiPriority w:val="99"/>
    <w:semiHidden/>
    <w:unhideWhenUsed/>
    <w:rsid w:val="00122C91"/>
    <w:rPr>
      <w:sz w:val="16"/>
      <w:szCs w:val="16"/>
    </w:rPr>
  </w:style>
  <w:style w:type="paragraph" w:styleId="CommentText">
    <w:name w:val="annotation text"/>
    <w:basedOn w:val="Normal"/>
    <w:link w:val="CommentTextChar"/>
    <w:uiPriority w:val="99"/>
    <w:unhideWhenUsed/>
    <w:rsid w:val="00122C91"/>
    <w:pPr>
      <w:spacing w:line="240" w:lineRule="auto"/>
    </w:pPr>
    <w:rPr>
      <w:sz w:val="20"/>
      <w:szCs w:val="20"/>
    </w:rPr>
  </w:style>
  <w:style w:type="character" w:customStyle="1" w:styleId="CommentTextChar">
    <w:name w:val="Comment Text Char"/>
    <w:basedOn w:val="DefaultParagraphFont"/>
    <w:link w:val="CommentText"/>
    <w:uiPriority w:val="99"/>
    <w:rsid w:val="00122C91"/>
    <w:rPr>
      <w:sz w:val="20"/>
      <w:szCs w:val="20"/>
    </w:rPr>
  </w:style>
  <w:style w:type="paragraph" w:styleId="CommentSubject">
    <w:name w:val="annotation subject"/>
    <w:basedOn w:val="CommentText"/>
    <w:next w:val="CommentText"/>
    <w:link w:val="CommentSubjectChar"/>
    <w:uiPriority w:val="99"/>
    <w:semiHidden/>
    <w:unhideWhenUsed/>
    <w:rsid w:val="00122C91"/>
    <w:rPr>
      <w:b/>
      <w:bCs/>
    </w:rPr>
  </w:style>
  <w:style w:type="character" w:customStyle="1" w:styleId="CommentSubjectChar">
    <w:name w:val="Comment Subject Char"/>
    <w:basedOn w:val="CommentTextChar"/>
    <w:link w:val="CommentSubject"/>
    <w:uiPriority w:val="99"/>
    <w:semiHidden/>
    <w:rsid w:val="00122C91"/>
    <w:rPr>
      <w:b/>
      <w:bCs/>
      <w:sz w:val="20"/>
      <w:szCs w:val="20"/>
    </w:rPr>
  </w:style>
  <w:style w:type="paragraph" w:styleId="BalloonText">
    <w:name w:val="Balloon Text"/>
    <w:basedOn w:val="Normal"/>
    <w:link w:val="BalloonTextChar"/>
    <w:uiPriority w:val="99"/>
    <w:semiHidden/>
    <w:unhideWhenUsed/>
    <w:rsid w:val="00122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C91"/>
    <w:rPr>
      <w:rFonts w:ascii="Tahoma" w:hAnsi="Tahoma" w:cs="Tahoma"/>
      <w:sz w:val="16"/>
      <w:szCs w:val="16"/>
    </w:rPr>
  </w:style>
  <w:style w:type="paragraph" w:styleId="Revision">
    <w:name w:val="Revision"/>
    <w:hidden/>
    <w:uiPriority w:val="99"/>
    <w:semiHidden/>
    <w:rsid w:val="001B42CF"/>
    <w:pPr>
      <w:spacing w:after="0" w:line="240" w:lineRule="auto"/>
    </w:pPr>
  </w:style>
  <w:style w:type="character" w:styleId="Hyperlink">
    <w:name w:val="Hyperlink"/>
    <w:basedOn w:val="DefaultParagraphFont"/>
    <w:uiPriority w:val="99"/>
    <w:unhideWhenUsed/>
    <w:rsid w:val="006C22E1"/>
    <w:rPr>
      <w:color w:val="0000FF" w:themeColor="hyperlink"/>
      <w:u w:val="single"/>
    </w:rPr>
  </w:style>
  <w:style w:type="table" w:styleId="TableGrid">
    <w:name w:val="Table Grid"/>
    <w:basedOn w:val="TableNormal"/>
    <w:uiPriority w:val="39"/>
    <w:rsid w:val="001F04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F3BD8"/>
    <w:pPr>
      <w:tabs>
        <w:tab w:val="center" w:pos="4680"/>
        <w:tab w:val="right" w:pos="9360"/>
      </w:tabs>
      <w:spacing w:after="200" w:line="276" w:lineRule="auto"/>
    </w:pPr>
    <w:rPr>
      <w:rFonts w:ascii="Calibri" w:eastAsia="Calibri" w:hAnsi="Calibri" w:cs="Times New Roman"/>
      <w:lang w:val="en-CA"/>
    </w:rPr>
  </w:style>
  <w:style w:type="character" w:customStyle="1" w:styleId="HeaderChar">
    <w:name w:val="Header Char"/>
    <w:basedOn w:val="DefaultParagraphFont"/>
    <w:link w:val="Header"/>
    <w:uiPriority w:val="99"/>
    <w:rsid w:val="00DF3BD8"/>
    <w:rPr>
      <w:rFonts w:ascii="Calibri" w:eastAsia="Calibri" w:hAnsi="Calibri" w:cs="Times New Roman"/>
      <w:lang w:val="en-CA"/>
    </w:rPr>
  </w:style>
  <w:style w:type="paragraph" w:styleId="Footer">
    <w:name w:val="footer"/>
    <w:basedOn w:val="Normal"/>
    <w:link w:val="FooterChar"/>
    <w:uiPriority w:val="99"/>
    <w:unhideWhenUsed/>
    <w:rsid w:val="00DF3BD8"/>
    <w:pPr>
      <w:tabs>
        <w:tab w:val="center" w:pos="4680"/>
        <w:tab w:val="right" w:pos="9360"/>
      </w:tabs>
      <w:spacing w:after="200" w:line="276" w:lineRule="auto"/>
    </w:pPr>
    <w:rPr>
      <w:rFonts w:ascii="Calibri" w:eastAsia="Calibri" w:hAnsi="Calibri" w:cs="Times New Roman"/>
      <w:lang w:val="en-CA"/>
    </w:rPr>
  </w:style>
  <w:style w:type="character" w:customStyle="1" w:styleId="FooterChar">
    <w:name w:val="Footer Char"/>
    <w:basedOn w:val="DefaultParagraphFont"/>
    <w:link w:val="Footer"/>
    <w:uiPriority w:val="99"/>
    <w:rsid w:val="00DF3BD8"/>
    <w:rPr>
      <w:rFonts w:ascii="Calibri" w:eastAsia="Calibri" w:hAnsi="Calibri" w:cs="Times New Roman"/>
      <w:lang w:val="en-CA"/>
    </w:rPr>
  </w:style>
  <w:style w:type="character" w:styleId="PageNumber">
    <w:name w:val="page number"/>
    <w:uiPriority w:val="99"/>
    <w:semiHidden/>
    <w:unhideWhenUsed/>
    <w:rsid w:val="00DF3BD8"/>
  </w:style>
  <w:style w:type="character" w:styleId="FollowedHyperlink">
    <w:name w:val="FollowedHyperlink"/>
    <w:basedOn w:val="DefaultParagraphFont"/>
    <w:uiPriority w:val="99"/>
    <w:semiHidden/>
    <w:unhideWhenUsed/>
    <w:rsid w:val="001D061A"/>
    <w:rPr>
      <w:color w:val="800080" w:themeColor="followedHyperlink"/>
      <w:u w:val="single"/>
    </w:rPr>
  </w:style>
  <w:style w:type="paragraph" w:customStyle="1" w:styleId="Normal1">
    <w:name w:val="Normal1"/>
    <w:rsid w:val="00A1043A"/>
    <w:pPr>
      <w:spacing w:after="0" w:line="240" w:lineRule="auto"/>
    </w:pPr>
    <w:rPr>
      <w:rFonts w:ascii="Cambria" w:eastAsia="Cambria" w:hAnsi="Cambria" w:cs="Cambria"/>
      <w:color w:val="000000"/>
      <w:sz w:val="24"/>
      <w:szCs w:val="24"/>
    </w:rPr>
  </w:style>
  <w:style w:type="paragraph" w:styleId="NormalWeb">
    <w:name w:val="Normal (Web)"/>
    <w:basedOn w:val="Normal"/>
    <w:uiPriority w:val="99"/>
    <w:semiHidden/>
    <w:unhideWhenUsed/>
    <w:rsid w:val="00DD789A"/>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DD789A"/>
    <w:rPr>
      <w:b/>
      <w:bCs/>
    </w:rPr>
  </w:style>
  <w:style w:type="character" w:styleId="Emphasis">
    <w:name w:val="Emphasis"/>
    <w:basedOn w:val="DefaultParagraphFont"/>
    <w:uiPriority w:val="20"/>
    <w:qFormat/>
    <w:rsid w:val="00DD78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49484">
      <w:bodyDiv w:val="1"/>
      <w:marLeft w:val="0"/>
      <w:marRight w:val="0"/>
      <w:marTop w:val="0"/>
      <w:marBottom w:val="0"/>
      <w:divBdr>
        <w:top w:val="none" w:sz="0" w:space="0" w:color="auto"/>
        <w:left w:val="none" w:sz="0" w:space="0" w:color="auto"/>
        <w:bottom w:val="none" w:sz="0" w:space="0" w:color="auto"/>
        <w:right w:val="none" w:sz="0" w:space="0" w:color="auto"/>
      </w:divBdr>
    </w:div>
    <w:div w:id="1137145840">
      <w:bodyDiv w:val="1"/>
      <w:marLeft w:val="0"/>
      <w:marRight w:val="0"/>
      <w:marTop w:val="0"/>
      <w:marBottom w:val="0"/>
      <w:divBdr>
        <w:top w:val="none" w:sz="0" w:space="0" w:color="auto"/>
        <w:left w:val="none" w:sz="0" w:space="0" w:color="auto"/>
        <w:bottom w:val="none" w:sz="0" w:space="0" w:color="auto"/>
        <w:right w:val="none" w:sz="0" w:space="0" w:color="auto"/>
      </w:divBdr>
    </w:div>
    <w:div w:id="129776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174A7-DB56-4E4A-B046-7D0B6C7F9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7427</Words>
  <Characters>42337</Characters>
  <Application>Microsoft Macintosh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49665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Etherington, Nicole</dc:creator>
  <cp:lastModifiedBy>Nicole Etherington</cp:lastModifiedBy>
  <cp:revision>9</cp:revision>
  <dcterms:created xsi:type="dcterms:W3CDTF">2017-11-09T21:24:00Z</dcterms:created>
  <dcterms:modified xsi:type="dcterms:W3CDTF">2017-11-09T21:56:00Z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43793c76-88b3-31ed-9fd9-0a1bdff765b4</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