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46FAB0" w14:textId="77777777" w:rsidR="006C51E6" w:rsidRDefault="006C51E6" w:rsidP="006C51E6">
      <w:pPr>
        <w:spacing w:line="240" w:lineRule="auto"/>
        <w:ind w:firstLine="0"/>
        <w:jc w:val="center"/>
      </w:pPr>
      <w:r w:rsidRPr="006C51E6">
        <w:rPr>
          <w:rFonts w:eastAsia="Times New Roman"/>
          <w:b/>
          <w:bCs/>
        </w:rPr>
        <w:t>Plan de leçon pour le Module 0 (module introductif) : Connaître son public</w:t>
      </w:r>
    </w:p>
    <w:p w14:paraId="2D77A6BE" w14:textId="097CCDBB" w:rsidR="006C51E6" w:rsidRPr="006C51E6" w:rsidRDefault="006C51E6" w:rsidP="006C51E6">
      <w:pPr>
        <w:spacing w:line="240" w:lineRule="auto"/>
        <w:ind w:firstLine="0"/>
        <w:jc w:val="center"/>
      </w:pPr>
      <w:r w:rsidRPr="006C51E6">
        <w:rPr>
          <w:rFonts w:eastAsia="Times New Roman"/>
        </w:rPr>
        <w:t>Développé à partir des REL pour améliorer l'inclusivité et l'accessibilité dans les arts de la scène: ressources, pratiques et matériels pédagogiques pour des performances adaptées</w:t>
      </w:r>
    </w:p>
    <w:p w14:paraId="62449685" w14:textId="77777777" w:rsidR="006C51E6" w:rsidRPr="006C51E6" w:rsidRDefault="006C51E6" w:rsidP="006C51E6">
      <w:pPr>
        <w:spacing w:before="100" w:beforeAutospacing="1" w:after="100" w:afterAutospacing="1" w:line="240" w:lineRule="auto"/>
        <w:ind w:firstLine="0"/>
        <w:rPr>
          <w:rFonts w:eastAsia="Times New Roman"/>
        </w:rPr>
      </w:pPr>
      <w:r w:rsidRPr="006C51E6">
        <w:rPr>
          <w:rFonts w:eastAsia="Times New Roman"/>
        </w:rPr>
        <w:t>Ce module est un module fondamental destiné à ceux qui ne sont pas familiers avec les personnes neurodivergentes ou la communauté des personnes en situation de handicap. Contrairement aux modules 1 à 3 de cette REL, le point de départ de ce module repose sur le modèle social du handicap, dans l'objectif de fournir des informations de base pertinentes pour le sujet global de l'inclusivité et de l'accessibilité (avec quelques éléments plus spécifiques aux arts de la scène, qui sont approfondis dans les modules 1 à 3).</w:t>
      </w:r>
    </w:p>
    <w:p w14:paraId="7C4F61CD" w14:textId="77777777" w:rsidR="006C51E6" w:rsidRPr="006C51E6" w:rsidRDefault="006C51E6" w:rsidP="00C745AC">
      <w:pPr>
        <w:spacing w:before="100" w:beforeAutospacing="1" w:line="240" w:lineRule="auto"/>
        <w:ind w:firstLine="0"/>
        <w:outlineLvl w:val="2"/>
        <w:rPr>
          <w:rFonts w:eastAsia="Times New Roman"/>
          <w:b/>
          <w:bCs/>
          <w:sz w:val="27"/>
          <w:szCs w:val="27"/>
        </w:rPr>
      </w:pPr>
      <w:r w:rsidRPr="006C51E6">
        <w:rPr>
          <w:rFonts w:eastAsia="Times New Roman"/>
          <w:b/>
          <w:bCs/>
          <w:sz w:val="27"/>
          <w:szCs w:val="27"/>
        </w:rPr>
        <w:t>Plan du cours :</w:t>
      </w:r>
    </w:p>
    <w:p w14:paraId="0C67EE7C" w14:textId="77777777" w:rsidR="006C51E6" w:rsidRPr="006C51E6" w:rsidRDefault="006C51E6" w:rsidP="006C51E6">
      <w:pPr>
        <w:numPr>
          <w:ilvl w:val="0"/>
          <w:numId w:val="1"/>
        </w:numPr>
        <w:spacing w:before="100" w:beforeAutospacing="1" w:after="100" w:afterAutospacing="1" w:line="240" w:lineRule="auto"/>
        <w:rPr>
          <w:rFonts w:eastAsia="Times New Roman"/>
        </w:rPr>
      </w:pPr>
      <w:r w:rsidRPr="006C51E6">
        <w:rPr>
          <w:rFonts w:eastAsia="Times New Roman"/>
          <w:b/>
          <w:bCs/>
        </w:rPr>
        <w:t>Neurodivergence – qu'est-ce que cela signifie ?</w:t>
      </w:r>
    </w:p>
    <w:p w14:paraId="0A34CC03" w14:textId="77777777" w:rsidR="006C51E6" w:rsidRPr="006C51E6" w:rsidRDefault="006C51E6" w:rsidP="006C51E6">
      <w:pPr>
        <w:numPr>
          <w:ilvl w:val="0"/>
          <w:numId w:val="1"/>
        </w:numPr>
        <w:spacing w:before="100" w:beforeAutospacing="1" w:after="100" w:afterAutospacing="1" w:line="240" w:lineRule="auto"/>
        <w:rPr>
          <w:rFonts w:eastAsia="Times New Roman"/>
        </w:rPr>
      </w:pPr>
      <w:r w:rsidRPr="006C51E6">
        <w:rPr>
          <w:rFonts w:eastAsia="Times New Roman"/>
          <w:b/>
          <w:bCs/>
        </w:rPr>
        <w:t>Handicap – qu'est-ce que cela signifie ?</w:t>
      </w:r>
    </w:p>
    <w:p w14:paraId="26835513" w14:textId="77777777" w:rsidR="006C51E6" w:rsidRPr="006C51E6" w:rsidRDefault="006C51E6" w:rsidP="006C51E6">
      <w:pPr>
        <w:numPr>
          <w:ilvl w:val="0"/>
          <w:numId w:val="1"/>
        </w:numPr>
        <w:spacing w:before="100" w:beforeAutospacing="1" w:after="100" w:afterAutospacing="1" w:line="240" w:lineRule="auto"/>
        <w:rPr>
          <w:rFonts w:eastAsia="Times New Roman"/>
        </w:rPr>
      </w:pPr>
      <w:r w:rsidRPr="006C51E6">
        <w:rPr>
          <w:rFonts w:eastAsia="Times New Roman"/>
          <w:b/>
          <w:bCs/>
        </w:rPr>
        <w:t>Diagnostics courants que vous pourriez rencontrer parmi les membres du public :</w:t>
      </w:r>
    </w:p>
    <w:p w14:paraId="17638668" w14:textId="77777777" w:rsidR="006C51E6" w:rsidRPr="006C51E6" w:rsidRDefault="006C51E6" w:rsidP="006C51E6">
      <w:pPr>
        <w:numPr>
          <w:ilvl w:val="1"/>
          <w:numId w:val="1"/>
        </w:numPr>
        <w:spacing w:before="100" w:beforeAutospacing="1" w:after="100" w:afterAutospacing="1" w:line="240" w:lineRule="auto"/>
        <w:rPr>
          <w:rFonts w:eastAsia="Times New Roman"/>
        </w:rPr>
      </w:pPr>
      <w:r w:rsidRPr="006C51E6">
        <w:rPr>
          <w:rFonts w:eastAsia="Times New Roman"/>
        </w:rPr>
        <w:t>Alzheimer / Démence</w:t>
      </w:r>
    </w:p>
    <w:p w14:paraId="602808B7" w14:textId="77777777" w:rsidR="006C51E6" w:rsidRPr="006C51E6" w:rsidRDefault="006C51E6" w:rsidP="006C51E6">
      <w:pPr>
        <w:numPr>
          <w:ilvl w:val="1"/>
          <w:numId w:val="1"/>
        </w:numPr>
        <w:spacing w:before="100" w:beforeAutospacing="1" w:after="100" w:afterAutospacing="1" w:line="240" w:lineRule="auto"/>
        <w:rPr>
          <w:rFonts w:eastAsia="Times New Roman"/>
        </w:rPr>
      </w:pPr>
      <w:r w:rsidRPr="006C51E6">
        <w:rPr>
          <w:rFonts w:eastAsia="Times New Roman"/>
        </w:rPr>
        <w:t>Autisme</w:t>
      </w:r>
    </w:p>
    <w:p w14:paraId="7AE33283" w14:textId="77777777" w:rsidR="006C51E6" w:rsidRPr="006C51E6" w:rsidRDefault="006C51E6" w:rsidP="006C51E6">
      <w:pPr>
        <w:numPr>
          <w:ilvl w:val="1"/>
          <w:numId w:val="1"/>
        </w:numPr>
        <w:spacing w:before="100" w:beforeAutospacing="1" w:after="100" w:afterAutospacing="1" w:line="240" w:lineRule="auto"/>
        <w:rPr>
          <w:rFonts w:eastAsia="Times New Roman"/>
        </w:rPr>
      </w:pPr>
      <w:r w:rsidRPr="006C51E6">
        <w:rPr>
          <w:rFonts w:eastAsia="Times New Roman"/>
        </w:rPr>
        <w:t>TSAF (Trouble du spectre de l’alcoolisation fœtale)</w:t>
      </w:r>
    </w:p>
    <w:p w14:paraId="7915CA37" w14:textId="77777777" w:rsidR="006C51E6" w:rsidRPr="006C51E6" w:rsidRDefault="006C51E6" w:rsidP="006C51E6">
      <w:pPr>
        <w:numPr>
          <w:ilvl w:val="1"/>
          <w:numId w:val="1"/>
        </w:numPr>
        <w:spacing w:before="100" w:beforeAutospacing="1" w:after="100" w:afterAutospacing="1" w:line="240" w:lineRule="auto"/>
        <w:rPr>
          <w:rFonts w:eastAsia="Times New Roman"/>
        </w:rPr>
      </w:pPr>
      <w:r w:rsidRPr="006C51E6">
        <w:rPr>
          <w:rFonts w:eastAsia="Times New Roman"/>
        </w:rPr>
        <w:t>Syndrome de Down</w:t>
      </w:r>
    </w:p>
    <w:p w14:paraId="53FB9F22" w14:textId="77777777" w:rsidR="006C51E6" w:rsidRPr="006C51E6" w:rsidRDefault="006C51E6" w:rsidP="006C51E6">
      <w:pPr>
        <w:numPr>
          <w:ilvl w:val="1"/>
          <w:numId w:val="1"/>
        </w:numPr>
        <w:spacing w:before="100" w:beforeAutospacing="1" w:after="100" w:afterAutospacing="1" w:line="240" w:lineRule="auto"/>
        <w:rPr>
          <w:rFonts w:eastAsia="Times New Roman"/>
        </w:rPr>
      </w:pPr>
      <w:r w:rsidRPr="006C51E6">
        <w:rPr>
          <w:rFonts w:eastAsia="Times New Roman"/>
        </w:rPr>
        <w:t>TGD (Trouble global du développement)</w:t>
      </w:r>
    </w:p>
    <w:p w14:paraId="7714BEA1" w14:textId="77777777" w:rsidR="006C51E6" w:rsidRPr="006C51E6" w:rsidRDefault="006C51E6" w:rsidP="006C51E6">
      <w:pPr>
        <w:numPr>
          <w:ilvl w:val="1"/>
          <w:numId w:val="1"/>
        </w:numPr>
        <w:spacing w:before="100" w:beforeAutospacing="1" w:after="100" w:afterAutospacing="1" w:line="240" w:lineRule="auto"/>
        <w:rPr>
          <w:rFonts w:eastAsia="Times New Roman"/>
        </w:rPr>
      </w:pPr>
      <w:r w:rsidRPr="006C51E6">
        <w:rPr>
          <w:rFonts w:eastAsia="Times New Roman"/>
        </w:rPr>
        <w:t>TDAH/TDA (Trouble du déficit de l’attention avec ou sans hyperactivité)</w:t>
      </w:r>
    </w:p>
    <w:p w14:paraId="71E21A2D" w14:textId="788D08E5" w:rsidR="006C51E6" w:rsidRPr="006C51E6" w:rsidRDefault="006C51E6" w:rsidP="006C51E6">
      <w:pPr>
        <w:numPr>
          <w:ilvl w:val="1"/>
          <w:numId w:val="1"/>
        </w:numPr>
        <w:spacing w:before="100" w:beforeAutospacing="1" w:after="100" w:afterAutospacing="1" w:line="240" w:lineRule="auto"/>
        <w:rPr>
          <w:rFonts w:eastAsia="Times New Roman"/>
        </w:rPr>
      </w:pPr>
      <w:r w:rsidRPr="006C51E6">
        <w:rPr>
          <w:rFonts w:eastAsia="Times New Roman"/>
        </w:rPr>
        <w:t>Handicaps physiques</w:t>
      </w:r>
    </w:p>
    <w:p w14:paraId="0A131B93" w14:textId="77777777" w:rsidR="006C51E6" w:rsidRPr="006C51E6" w:rsidRDefault="006C51E6" w:rsidP="006C51E6">
      <w:pPr>
        <w:numPr>
          <w:ilvl w:val="0"/>
          <w:numId w:val="1"/>
        </w:numPr>
        <w:spacing w:before="100" w:beforeAutospacing="1" w:after="100" w:afterAutospacing="1" w:line="240" w:lineRule="auto"/>
        <w:rPr>
          <w:rFonts w:eastAsia="Times New Roman"/>
        </w:rPr>
      </w:pPr>
      <w:r w:rsidRPr="006C51E6">
        <w:rPr>
          <w:rFonts w:eastAsia="Times New Roman"/>
          <w:b/>
          <w:bCs/>
        </w:rPr>
        <w:t>Rôle de la performance vs musicothérapie</w:t>
      </w:r>
    </w:p>
    <w:p w14:paraId="1A15872F" w14:textId="77777777" w:rsidR="006C51E6" w:rsidRPr="006C51E6" w:rsidRDefault="006C51E6" w:rsidP="006C51E6">
      <w:pPr>
        <w:numPr>
          <w:ilvl w:val="0"/>
          <w:numId w:val="1"/>
        </w:numPr>
        <w:spacing w:before="100" w:beforeAutospacing="1" w:after="100" w:afterAutospacing="1" w:line="240" w:lineRule="auto"/>
        <w:rPr>
          <w:rFonts w:eastAsia="Times New Roman"/>
        </w:rPr>
      </w:pPr>
      <w:r w:rsidRPr="006C51E6">
        <w:rPr>
          <w:rFonts w:eastAsia="Times New Roman"/>
          <w:b/>
          <w:bCs/>
        </w:rPr>
        <w:t>Lectures complémentaires (inclure diverses ressources, liens, vidéos)</w:t>
      </w:r>
    </w:p>
    <w:p w14:paraId="46EFD311" w14:textId="77777777" w:rsidR="006C51E6" w:rsidRPr="006C51E6" w:rsidRDefault="006C51E6" w:rsidP="00C745AC">
      <w:pPr>
        <w:spacing w:before="100" w:beforeAutospacing="1" w:line="240" w:lineRule="auto"/>
        <w:ind w:firstLine="0"/>
        <w:outlineLvl w:val="2"/>
        <w:rPr>
          <w:rFonts w:eastAsia="Times New Roman"/>
          <w:b/>
          <w:bCs/>
          <w:sz w:val="27"/>
          <w:szCs w:val="27"/>
        </w:rPr>
      </w:pPr>
      <w:r w:rsidRPr="006C51E6">
        <w:rPr>
          <w:rFonts w:eastAsia="Times New Roman"/>
          <w:b/>
          <w:bCs/>
          <w:sz w:val="27"/>
          <w:szCs w:val="27"/>
        </w:rPr>
        <w:t>Objectifs d’apprentissage du Module 0 :</w:t>
      </w:r>
    </w:p>
    <w:p w14:paraId="79810778" w14:textId="2E56D281" w:rsidR="006C51E6" w:rsidRPr="006C51E6" w:rsidRDefault="006C51E6" w:rsidP="00C745AC">
      <w:pPr>
        <w:numPr>
          <w:ilvl w:val="0"/>
          <w:numId w:val="2"/>
        </w:numPr>
        <w:spacing w:after="100" w:afterAutospacing="1" w:line="240" w:lineRule="auto"/>
        <w:rPr>
          <w:rFonts w:eastAsia="Times New Roman"/>
        </w:rPr>
      </w:pPr>
      <w:r w:rsidRPr="006C51E6">
        <w:rPr>
          <w:rFonts w:eastAsia="Times New Roman"/>
        </w:rPr>
        <w:t>Définir le</w:t>
      </w:r>
      <w:r w:rsidR="00C745AC">
        <w:rPr>
          <w:rFonts w:eastAsia="Times New Roman"/>
        </w:rPr>
        <w:t xml:space="preserve">s </w:t>
      </w:r>
      <w:r w:rsidR="00C745AC" w:rsidRPr="006C51E6">
        <w:rPr>
          <w:rFonts w:eastAsia="Times New Roman"/>
        </w:rPr>
        <w:t>termes </w:t>
      </w:r>
      <w:r w:rsidR="00C745AC" w:rsidRPr="006C51E6">
        <w:rPr>
          <w:rFonts w:eastAsia="Times New Roman"/>
          <w:i/>
          <w:iCs/>
        </w:rPr>
        <w:t>neurodivergent</w:t>
      </w:r>
      <w:r w:rsidR="00C745AC">
        <w:rPr>
          <w:rFonts w:eastAsia="Times New Roman"/>
          <w:i/>
          <w:iCs/>
        </w:rPr>
        <w:t>(e)</w:t>
      </w:r>
      <w:r w:rsidR="00C745AC" w:rsidRPr="006C51E6">
        <w:rPr>
          <w:rFonts w:eastAsia="Times New Roman"/>
        </w:rPr>
        <w:t>, </w:t>
      </w:r>
      <w:r w:rsidR="00C745AC" w:rsidRPr="006C51E6">
        <w:rPr>
          <w:rFonts w:eastAsia="Times New Roman"/>
          <w:i/>
          <w:iCs/>
        </w:rPr>
        <w:t>neurodiversité</w:t>
      </w:r>
      <w:r w:rsidR="00C745AC" w:rsidRPr="006C51E6">
        <w:rPr>
          <w:rFonts w:eastAsia="Times New Roman"/>
        </w:rPr>
        <w:t>, </w:t>
      </w:r>
      <w:r w:rsidR="00C745AC" w:rsidRPr="006C51E6">
        <w:rPr>
          <w:rFonts w:eastAsia="Times New Roman"/>
          <w:i/>
          <w:iCs/>
        </w:rPr>
        <w:t>neurotypique</w:t>
      </w:r>
      <w:r w:rsidR="00C745AC" w:rsidRPr="006C51E6">
        <w:rPr>
          <w:rFonts w:eastAsia="Times New Roman"/>
        </w:rPr>
        <w:t>, </w:t>
      </w:r>
      <w:r w:rsidR="00C745AC" w:rsidRPr="006C51E6">
        <w:rPr>
          <w:rFonts w:eastAsia="Times New Roman"/>
          <w:i/>
          <w:iCs/>
        </w:rPr>
        <w:t>handicap</w:t>
      </w:r>
      <w:r w:rsidR="00C745AC" w:rsidRPr="006C51E6">
        <w:rPr>
          <w:rFonts w:eastAsia="Times New Roman"/>
        </w:rPr>
        <w:t>, ainsi que d’autres terminologies courantes liées aux performances adaptées.</w:t>
      </w:r>
    </w:p>
    <w:p w14:paraId="66086DB1" w14:textId="77777777" w:rsidR="006C51E6" w:rsidRPr="006C51E6" w:rsidRDefault="006C51E6" w:rsidP="006C51E6">
      <w:pPr>
        <w:numPr>
          <w:ilvl w:val="0"/>
          <w:numId w:val="2"/>
        </w:numPr>
        <w:spacing w:before="100" w:beforeAutospacing="1" w:after="100" w:afterAutospacing="1" w:line="240" w:lineRule="auto"/>
        <w:rPr>
          <w:rFonts w:eastAsia="Times New Roman"/>
        </w:rPr>
      </w:pPr>
      <w:r w:rsidRPr="006C51E6">
        <w:rPr>
          <w:rFonts w:eastAsia="Times New Roman"/>
        </w:rPr>
        <w:t>Identifier les diagnostics courants des personnes susceptibles d’assister à des performances adaptées.</w:t>
      </w:r>
    </w:p>
    <w:p w14:paraId="7E1A6DAC" w14:textId="77777777" w:rsidR="006C51E6" w:rsidRPr="006C51E6" w:rsidRDefault="006C51E6" w:rsidP="00C745AC">
      <w:pPr>
        <w:spacing w:before="100" w:beforeAutospacing="1" w:line="240" w:lineRule="auto"/>
        <w:ind w:firstLine="0"/>
        <w:outlineLvl w:val="2"/>
        <w:rPr>
          <w:rFonts w:eastAsia="Times New Roman"/>
          <w:b/>
          <w:bCs/>
          <w:sz w:val="27"/>
          <w:szCs w:val="27"/>
        </w:rPr>
      </w:pPr>
      <w:r w:rsidRPr="006C51E6">
        <w:rPr>
          <w:rFonts w:eastAsia="Times New Roman"/>
          <w:b/>
          <w:bCs/>
          <w:sz w:val="27"/>
          <w:szCs w:val="27"/>
        </w:rPr>
        <w:t>Pour atteindre ces objectifs :</w:t>
      </w:r>
    </w:p>
    <w:p w14:paraId="56EE49A8" w14:textId="77777777" w:rsidR="006C51E6" w:rsidRPr="006C51E6" w:rsidRDefault="006C51E6" w:rsidP="006C51E6">
      <w:pPr>
        <w:numPr>
          <w:ilvl w:val="0"/>
          <w:numId w:val="3"/>
        </w:numPr>
        <w:spacing w:before="100" w:beforeAutospacing="1" w:after="100" w:afterAutospacing="1" w:line="240" w:lineRule="auto"/>
        <w:rPr>
          <w:rFonts w:eastAsia="Times New Roman"/>
        </w:rPr>
      </w:pPr>
      <w:r w:rsidRPr="006C51E6">
        <w:rPr>
          <w:rFonts w:eastAsia="Times New Roman"/>
        </w:rPr>
        <w:t>Fournir une fiche avec des phrases à trous où chaque phrase est une définition et les mots correspondants doivent être placés dans les espaces vides. Les participants complètent les fiches avant de discuter des définitions ensemble.</w:t>
      </w:r>
    </w:p>
    <w:p w14:paraId="0E8C9AB6" w14:textId="5BEB8642" w:rsidR="006C51E6" w:rsidRPr="006C51E6" w:rsidRDefault="006C51E6" w:rsidP="006C51E6">
      <w:pPr>
        <w:numPr>
          <w:ilvl w:val="0"/>
          <w:numId w:val="3"/>
        </w:numPr>
        <w:spacing w:before="100" w:beforeAutospacing="1" w:after="100" w:afterAutospacing="1" w:line="240" w:lineRule="auto"/>
        <w:rPr>
          <w:rFonts w:eastAsia="Times New Roman"/>
        </w:rPr>
      </w:pPr>
      <w:r w:rsidRPr="006C51E6">
        <w:rPr>
          <w:rFonts w:eastAsia="Times New Roman"/>
        </w:rPr>
        <w:t>Utiliser la méthode </w:t>
      </w:r>
      <w:r w:rsidRPr="006C51E6">
        <w:rPr>
          <w:rFonts w:eastAsia="Times New Roman"/>
          <w:i/>
          <w:iCs/>
        </w:rPr>
        <w:t>réfléchir,</w:t>
      </w:r>
      <w:r w:rsidR="00C745AC">
        <w:rPr>
          <w:rFonts w:eastAsia="Times New Roman"/>
          <w:i/>
          <w:iCs/>
        </w:rPr>
        <w:t xml:space="preserve"> </w:t>
      </w:r>
      <w:r w:rsidRPr="006C51E6">
        <w:rPr>
          <w:rFonts w:eastAsia="Times New Roman"/>
          <w:i/>
          <w:iCs/>
        </w:rPr>
        <w:t>partager</w:t>
      </w:r>
      <w:r w:rsidR="00C745AC">
        <w:rPr>
          <w:rFonts w:eastAsia="Times New Roman"/>
          <w:i/>
          <w:iCs/>
        </w:rPr>
        <w:t>,</w:t>
      </w:r>
      <w:r w:rsidRPr="006C51E6">
        <w:rPr>
          <w:rFonts w:eastAsia="Times New Roman"/>
          <w:i/>
          <w:iCs/>
        </w:rPr>
        <w:t xml:space="preserve"> discuter en groupe</w:t>
      </w:r>
      <w:r w:rsidRPr="006C51E6">
        <w:rPr>
          <w:rFonts w:eastAsia="Times New Roman"/>
        </w:rPr>
        <w:t> pour les diagnostics courants.</w:t>
      </w:r>
    </w:p>
    <w:p w14:paraId="0648E852" w14:textId="77777777" w:rsidR="006C51E6" w:rsidRPr="006C51E6" w:rsidRDefault="006C51E6" w:rsidP="00C745AC">
      <w:pPr>
        <w:spacing w:before="100" w:beforeAutospacing="1" w:line="240" w:lineRule="auto"/>
        <w:ind w:firstLine="0"/>
        <w:outlineLvl w:val="2"/>
        <w:rPr>
          <w:rFonts w:eastAsia="Times New Roman"/>
          <w:b/>
          <w:bCs/>
          <w:sz w:val="27"/>
          <w:szCs w:val="27"/>
        </w:rPr>
      </w:pPr>
      <w:r w:rsidRPr="006C51E6">
        <w:rPr>
          <w:rFonts w:eastAsia="Times New Roman"/>
          <w:b/>
          <w:bCs/>
          <w:sz w:val="27"/>
          <w:szCs w:val="27"/>
        </w:rPr>
        <w:t>Questions de réflexion :</w:t>
      </w:r>
    </w:p>
    <w:p w14:paraId="3605371B" w14:textId="77777777" w:rsidR="006C51E6" w:rsidRPr="006C51E6" w:rsidRDefault="006C51E6" w:rsidP="00C745AC">
      <w:pPr>
        <w:numPr>
          <w:ilvl w:val="0"/>
          <w:numId w:val="4"/>
        </w:numPr>
        <w:spacing w:after="100" w:afterAutospacing="1" w:line="240" w:lineRule="auto"/>
        <w:rPr>
          <w:rFonts w:eastAsia="Times New Roman"/>
        </w:rPr>
      </w:pPr>
      <w:r w:rsidRPr="006C51E6">
        <w:rPr>
          <w:rFonts w:eastAsia="Times New Roman"/>
        </w:rPr>
        <w:t>Étiez-vous familier avec la terminologie liée à la neurodiversité avant cette unité ?</w:t>
      </w:r>
    </w:p>
    <w:p w14:paraId="011FCBD2" w14:textId="77777777" w:rsidR="006C51E6" w:rsidRPr="006C51E6" w:rsidRDefault="006C51E6" w:rsidP="006C51E6">
      <w:pPr>
        <w:numPr>
          <w:ilvl w:val="0"/>
          <w:numId w:val="4"/>
        </w:numPr>
        <w:spacing w:before="100" w:beforeAutospacing="1" w:after="100" w:afterAutospacing="1" w:line="240" w:lineRule="auto"/>
        <w:rPr>
          <w:rFonts w:eastAsia="Times New Roman"/>
        </w:rPr>
      </w:pPr>
      <w:r w:rsidRPr="006C51E6">
        <w:rPr>
          <w:rFonts w:eastAsia="Times New Roman"/>
        </w:rPr>
        <w:t>Avez-vous des amis ou des membres de votre famille faisant partie de la communauté neurodivergente et/ou en situation de handicap, qui aiment la musique, le théâtre ou la danse mais rencontrent des difficultés pour assister à des événements culturels ?</w:t>
      </w:r>
    </w:p>
    <w:p w14:paraId="5BE4CAEF" w14:textId="29235D40" w:rsidR="006C51E6" w:rsidRPr="006C51E6" w:rsidRDefault="006C51E6" w:rsidP="006C51E6">
      <w:pPr>
        <w:numPr>
          <w:ilvl w:val="0"/>
          <w:numId w:val="4"/>
        </w:numPr>
        <w:spacing w:before="100" w:beforeAutospacing="1" w:after="100" w:afterAutospacing="1" w:line="240" w:lineRule="auto"/>
        <w:rPr>
          <w:rFonts w:eastAsia="Times New Roman"/>
        </w:rPr>
      </w:pPr>
      <w:r w:rsidRPr="006C51E6">
        <w:rPr>
          <w:rFonts w:eastAsia="Times New Roman"/>
        </w:rPr>
        <w:t>Comment la musicothérapie ou la danse-thérapie pourraient-elles enrichir la performance et inversement ?</w:t>
      </w:r>
    </w:p>
    <w:sectPr w:rsidR="006C51E6" w:rsidRPr="006C51E6">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D4640E" w14:textId="77777777" w:rsidR="00164D24" w:rsidRDefault="00164D24" w:rsidP="00EC5312">
      <w:pPr>
        <w:spacing w:line="240" w:lineRule="auto"/>
      </w:pPr>
      <w:r>
        <w:separator/>
      </w:r>
    </w:p>
  </w:endnote>
  <w:endnote w:type="continuationSeparator" w:id="0">
    <w:p w14:paraId="43D6B52C" w14:textId="77777777" w:rsidR="00164D24" w:rsidRDefault="00164D24" w:rsidP="00EC531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AA6D44" w14:textId="77777777" w:rsidR="00EC5312" w:rsidRDefault="00EC531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09290" w14:textId="1F312224" w:rsidR="00EC5312" w:rsidRDefault="00EC5312" w:rsidP="00EC5312">
    <w:pPr>
      <w:pStyle w:val="Footer"/>
      <w:jc w:val="center"/>
    </w:pPr>
    <w:r>
      <w:t>CC-BY NC SA 4.0 Jenna Richards et Erin Parkes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EDF04" w14:textId="77777777" w:rsidR="00EC5312" w:rsidRDefault="00EC53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731AAE" w14:textId="77777777" w:rsidR="00164D24" w:rsidRDefault="00164D24" w:rsidP="00EC5312">
      <w:pPr>
        <w:spacing w:line="240" w:lineRule="auto"/>
      </w:pPr>
      <w:r>
        <w:separator/>
      </w:r>
    </w:p>
  </w:footnote>
  <w:footnote w:type="continuationSeparator" w:id="0">
    <w:p w14:paraId="39B0ACE6" w14:textId="77777777" w:rsidR="00164D24" w:rsidRDefault="00164D24" w:rsidP="00EC531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1F598" w14:textId="77777777" w:rsidR="00EC5312" w:rsidRDefault="00EC531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535B9" w14:textId="77777777" w:rsidR="00EC5312" w:rsidRDefault="00EC531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DDB5F2" w14:textId="77777777" w:rsidR="00EC5312" w:rsidRDefault="00EC531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450BC"/>
    <w:multiLevelType w:val="multilevel"/>
    <w:tmpl w:val="0D3AC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C726BD"/>
    <w:multiLevelType w:val="multilevel"/>
    <w:tmpl w:val="980C9C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4792773"/>
    <w:multiLevelType w:val="multilevel"/>
    <w:tmpl w:val="1FFC65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54D066B"/>
    <w:multiLevelType w:val="multilevel"/>
    <w:tmpl w:val="B9543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29376966">
    <w:abstractNumId w:val="2"/>
  </w:num>
  <w:num w:numId="2" w16cid:durableId="2142074634">
    <w:abstractNumId w:val="3"/>
  </w:num>
  <w:num w:numId="3" w16cid:durableId="1694107417">
    <w:abstractNumId w:val="1"/>
  </w:num>
  <w:num w:numId="4" w16cid:durableId="4041126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E0B"/>
    <w:rsid w:val="00164D24"/>
    <w:rsid w:val="0021579D"/>
    <w:rsid w:val="006C51E6"/>
    <w:rsid w:val="00936E0B"/>
    <w:rsid w:val="00B426CF"/>
    <w:rsid w:val="00C745AC"/>
    <w:rsid w:val="00EC531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73002E87"/>
  <w15:chartTrackingRefBased/>
  <w15:docId w15:val="{404D0C98-4480-3A41-9A2E-7E0E52D79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color w:val="000000"/>
        <w:sz w:val="24"/>
        <w:szCs w:val="24"/>
        <w:lang w:val="en-CA" w:eastAsia="en-US" w:bidi="ar-SA"/>
      </w:rPr>
    </w:rPrDefault>
    <w:pPrDefault>
      <w:pPr>
        <w:spacing w:line="480" w:lineRule="auto"/>
        <w:ind w:firstLine="425"/>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6E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6E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36E0B"/>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6E0B"/>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36E0B"/>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36E0B"/>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36E0B"/>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36E0B"/>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36E0B"/>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6E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6E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36E0B"/>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6E0B"/>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936E0B"/>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936E0B"/>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936E0B"/>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936E0B"/>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936E0B"/>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936E0B"/>
    <w:pPr>
      <w:spacing w:after="8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936E0B"/>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1"/>
    <w:qFormat/>
    <w:rsid w:val="00936E0B"/>
    <w:pPr>
      <w:numPr>
        <w:ilvl w:val="1"/>
      </w:numPr>
      <w:spacing w:after="160"/>
      <w:ind w:firstLine="425"/>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6E0B"/>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936E0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36E0B"/>
    <w:rPr>
      <w:i/>
      <w:iCs/>
      <w:color w:val="404040" w:themeColor="text1" w:themeTint="BF"/>
    </w:rPr>
  </w:style>
  <w:style w:type="paragraph" w:styleId="ListParagraph">
    <w:name w:val="List Paragraph"/>
    <w:basedOn w:val="Normal"/>
    <w:uiPriority w:val="34"/>
    <w:qFormat/>
    <w:rsid w:val="00936E0B"/>
    <w:pPr>
      <w:ind w:left="720"/>
      <w:contextualSpacing/>
    </w:pPr>
  </w:style>
  <w:style w:type="character" w:styleId="IntenseEmphasis">
    <w:name w:val="Intense Emphasis"/>
    <w:basedOn w:val="DefaultParagraphFont"/>
    <w:uiPriority w:val="21"/>
    <w:qFormat/>
    <w:rsid w:val="00936E0B"/>
    <w:rPr>
      <w:i/>
      <w:iCs/>
      <w:color w:val="0F4761" w:themeColor="accent1" w:themeShade="BF"/>
    </w:rPr>
  </w:style>
  <w:style w:type="paragraph" w:styleId="IntenseQuote">
    <w:name w:val="Intense Quote"/>
    <w:basedOn w:val="Normal"/>
    <w:next w:val="Normal"/>
    <w:link w:val="IntenseQuoteChar"/>
    <w:uiPriority w:val="30"/>
    <w:qFormat/>
    <w:rsid w:val="00936E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6E0B"/>
    <w:rPr>
      <w:i/>
      <w:iCs/>
      <w:color w:val="0F4761" w:themeColor="accent1" w:themeShade="BF"/>
    </w:rPr>
  </w:style>
  <w:style w:type="character" w:styleId="IntenseReference">
    <w:name w:val="Intense Reference"/>
    <w:basedOn w:val="DefaultParagraphFont"/>
    <w:uiPriority w:val="32"/>
    <w:qFormat/>
    <w:rsid w:val="00936E0B"/>
    <w:rPr>
      <w:b/>
      <w:bCs/>
      <w:smallCaps/>
      <w:color w:val="0F4761" w:themeColor="accent1" w:themeShade="BF"/>
      <w:spacing w:val="5"/>
    </w:rPr>
  </w:style>
  <w:style w:type="character" w:styleId="Strong">
    <w:name w:val="Strong"/>
    <w:basedOn w:val="DefaultParagraphFont"/>
    <w:uiPriority w:val="22"/>
    <w:qFormat/>
    <w:rsid w:val="006C51E6"/>
    <w:rPr>
      <w:b/>
      <w:bCs/>
    </w:rPr>
  </w:style>
  <w:style w:type="character" w:customStyle="1" w:styleId="apple-converted-space">
    <w:name w:val="apple-converted-space"/>
    <w:basedOn w:val="DefaultParagraphFont"/>
    <w:rsid w:val="006C51E6"/>
  </w:style>
  <w:style w:type="character" w:styleId="Emphasis">
    <w:name w:val="Emphasis"/>
    <w:basedOn w:val="DefaultParagraphFont"/>
    <w:uiPriority w:val="20"/>
    <w:qFormat/>
    <w:rsid w:val="006C51E6"/>
    <w:rPr>
      <w:i/>
      <w:iCs/>
    </w:rPr>
  </w:style>
  <w:style w:type="paragraph" w:styleId="Header">
    <w:name w:val="header"/>
    <w:basedOn w:val="Normal"/>
    <w:link w:val="HeaderChar"/>
    <w:uiPriority w:val="99"/>
    <w:unhideWhenUsed/>
    <w:rsid w:val="00EC5312"/>
    <w:pPr>
      <w:tabs>
        <w:tab w:val="center" w:pos="4680"/>
        <w:tab w:val="right" w:pos="9360"/>
      </w:tabs>
      <w:spacing w:line="240" w:lineRule="auto"/>
    </w:pPr>
  </w:style>
  <w:style w:type="character" w:customStyle="1" w:styleId="HeaderChar">
    <w:name w:val="Header Char"/>
    <w:basedOn w:val="DefaultParagraphFont"/>
    <w:link w:val="Header"/>
    <w:uiPriority w:val="99"/>
    <w:rsid w:val="00EC5312"/>
  </w:style>
  <w:style w:type="paragraph" w:styleId="Footer">
    <w:name w:val="footer"/>
    <w:basedOn w:val="Normal"/>
    <w:link w:val="FooterChar"/>
    <w:uiPriority w:val="99"/>
    <w:unhideWhenUsed/>
    <w:rsid w:val="00EC5312"/>
    <w:pPr>
      <w:tabs>
        <w:tab w:val="center" w:pos="4680"/>
        <w:tab w:val="right" w:pos="9360"/>
      </w:tabs>
      <w:spacing w:line="240" w:lineRule="auto"/>
    </w:pPr>
  </w:style>
  <w:style w:type="character" w:customStyle="1" w:styleId="FooterChar">
    <w:name w:val="Footer Char"/>
    <w:basedOn w:val="DefaultParagraphFont"/>
    <w:link w:val="Footer"/>
    <w:uiPriority w:val="99"/>
    <w:rsid w:val="00EC53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9469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361</Words>
  <Characters>2061</Characters>
  <Application>Microsoft Office Word</Application>
  <DocSecurity>0</DocSecurity>
  <Lines>17</Lines>
  <Paragraphs>4</Paragraphs>
  <ScaleCrop>false</ScaleCrop>
  <Company/>
  <LinksUpToDate>false</LinksUpToDate>
  <CharactersWithSpaces>2418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4</cp:revision>
  <dcterms:created xsi:type="dcterms:W3CDTF">2025-03-15T15:48:00Z</dcterms:created>
  <dcterms:modified xsi:type="dcterms:W3CDTF">2025-05-17T18:53:00Z</dcterms:modified>
</cp:coreProperties>
</file>