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E3F172" w14:textId="77777777" w:rsidR="003342F7" w:rsidRDefault="003342F7" w:rsidP="004F77CF">
      <w:pPr>
        <w:spacing w:line="276" w:lineRule="auto"/>
        <w:jc w:val="center"/>
        <w:rPr>
          <w:rFonts w:ascii="Times New Roman" w:hAnsi="Times New Roman" w:cs="Times New Roman"/>
          <w:b/>
          <w:bCs/>
          <w:sz w:val="24"/>
          <w:szCs w:val="24"/>
        </w:rPr>
      </w:pPr>
      <w:bookmarkStart w:id="0" w:name="_Hlk69844859"/>
      <w:bookmarkStart w:id="1" w:name="_Hlk71885203"/>
      <w:bookmarkEnd w:id="0"/>
      <w:r w:rsidRPr="00D542A1">
        <w:rPr>
          <w:rFonts w:ascii="Times New Roman" w:hAnsi="Times New Roman" w:cs="Times New Roman"/>
          <w:b/>
          <w:bCs/>
          <w:sz w:val="24"/>
          <w:szCs w:val="24"/>
        </w:rPr>
        <w:t>Ugochi Udonsi</w:t>
      </w:r>
    </w:p>
    <w:p w14:paraId="5BB299C6" w14:textId="7FBC560B" w:rsidR="003342F7" w:rsidRDefault="003342F7" w:rsidP="004F77C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0300093119</w:t>
      </w:r>
    </w:p>
    <w:p w14:paraId="773DE3BF" w14:textId="1C570B0D" w:rsidR="004F77CF" w:rsidRDefault="004F77CF" w:rsidP="004F77CF">
      <w:pPr>
        <w:spacing w:line="276" w:lineRule="auto"/>
        <w:jc w:val="center"/>
        <w:rPr>
          <w:rFonts w:ascii="Times New Roman" w:hAnsi="Times New Roman" w:cs="Times New Roman"/>
          <w:b/>
          <w:bCs/>
          <w:sz w:val="24"/>
          <w:szCs w:val="24"/>
        </w:rPr>
      </w:pPr>
    </w:p>
    <w:p w14:paraId="524FC485" w14:textId="77777777" w:rsidR="004F77CF" w:rsidRDefault="004F77CF" w:rsidP="004F77CF">
      <w:pPr>
        <w:spacing w:line="276" w:lineRule="auto"/>
        <w:jc w:val="center"/>
        <w:rPr>
          <w:rFonts w:ascii="Times New Roman" w:hAnsi="Times New Roman" w:cs="Times New Roman"/>
          <w:b/>
          <w:bCs/>
          <w:sz w:val="24"/>
          <w:szCs w:val="24"/>
        </w:rPr>
      </w:pPr>
    </w:p>
    <w:p w14:paraId="56DB82F7" w14:textId="58DB1C24" w:rsidR="004F77CF" w:rsidRDefault="004F77CF" w:rsidP="004F77CF">
      <w:pPr>
        <w:spacing w:line="276" w:lineRule="auto"/>
        <w:jc w:val="center"/>
        <w:rPr>
          <w:rFonts w:ascii="Times New Roman" w:hAnsi="Times New Roman" w:cs="Times New Roman"/>
          <w:b/>
          <w:bCs/>
          <w:sz w:val="24"/>
          <w:szCs w:val="24"/>
        </w:rPr>
      </w:pPr>
      <w:r w:rsidRPr="004F77CF">
        <w:rPr>
          <w:rFonts w:ascii="Times New Roman" w:hAnsi="Times New Roman" w:cs="Times New Roman"/>
          <w:b/>
          <w:bCs/>
          <w:sz w:val="24"/>
          <w:szCs w:val="24"/>
        </w:rPr>
        <w:t>Major Research Paper</w:t>
      </w:r>
    </w:p>
    <w:p w14:paraId="4951CAC1" w14:textId="77777777" w:rsidR="004F77CF" w:rsidRDefault="004F77CF" w:rsidP="003342F7">
      <w:pPr>
        <w:spacing w:line="276" w:lineRule="auto"/>
        <w:jc w:val="both"/>
        <w:rPr>
          <w:rFonts w:ascii="Times New Roman" w:hAnsi="Times New Roman" w:cs="Times New Roman"/>
          <w:b/>
          <w:bCs/>
          <w:sz w:val="24"/>
          <w:szCs w:val="24"/>
        </w:rPr>
      </w:pPr>
    </w:p>
    <w:p w14:paraId="221CA83A" w14:textId="77777777" w:rsidR="00D542A1" w:rsidRPr="00D542A1" w:rsidRDefault="00D542A1" w:rsidP="00BE37E2">
      <w:pPr>
        <w:spacing w:after="0" w:line="240" w:lineRule="auto"/>
        <w:contextualSpacing/>
        <w:jc w:val="both"/>
        <w:rPr>
          <w:rFonts w:ascii="Times New Roman" w:eastAsiaTheme="majorEastAsia" w:hAnsi="Times New Roman" w:cs="Times New Roman"/>
          <w:spacing w:val="-10"/>
          <w:kern w:val="28"/>
          <w:sz w:val="24"/>
          <w:szCs w:val="24"/>
        </w:rPr>
      </w:pPr>
    </w:p>
    <w:p w14:paraId="406E758A" w14:textId="77777777" w:rsidR="00D542A1" w:rsidRPr="009727EF" w:rsidRDefault="00D542A1" w:rsidP="00BE37E2">
      <w:pPr>
        <w:spacing w:after="0" w:line="240" w:lineRule="auto"/>
        <w:contextualSpacing/>
        <w:jc w:val="both"/>
        <w:rPr>
          <w:rFonts w:ascii="Times New Roman" w:eastAsiaTheme="majorEastAsia" w:hAnsi="Times New Roman" w:cs="Times New Roman"/>
          <w:b/>
          <w:bCs/>
          <w:spacing w:val="-10"/>
          <w:kern w:val="28"/>
          <w:sz w:val="24"/>
          <w:szCs w:val="24"/>
        </w:rPr>
      </w:pPr>
    </w:p>
    <w:p w14:paraId="689FF903" w14:textId="77777777" w:rsidR="00D542A1" w:rsidRPr="009727EF" w:rsidRDefault="00D542A1" w:rsidP="004F77CF">
      <w:pPr>
        <w:spacing w:after="0" w:line="240" w:lineRule="auto"/>
        <w:contextualSpacing/>
        <w:jc w:val="center"/>
        <w:rPr>
          <w:rFonts w:ascii="Times New Roman" w:eastAsiaTheme="majorEastAsia" w:hAnsi="Times New Roman" w:cs="Times New Roman"/>
          <w:b/>
          <w:bCs/>
          <w:spacing w:val="-10"/>
          <w:kern w:val="28"/>
          <w:sz w:val="24"/>
          <w:szCs w:val="24"/>
        </w:rPr>
      </w:pPr>
    </w:p>
    <w:p w14:paraId="5C20C5AD" w14:textId="77777777" w:rsidR="00D542A1" w:rsidRPr="009727EF" w:rsidRDefault="00D542A1" w:rsidP="004F77CF">
      <w:pPr>
        <w:spacing w:after="0" w:line="240" w:lineRule="auto"/>
        <w:contextualSpacing/>
        <w:jc w:val="center"/>
        <w:rPr>
          <w:rFonts w:ascii="Times New Roman" w:eastAsiaTheme="majorEastAsia" w:hAnsi="Times New Roman" w:cs="Times New Roman"/>
          <w:b/>
          <w:bCs/>
          <w:spacing w:val="-10"/>
          <w:kern w:val="28"/>
          <w:sz w:val="24"/>
          <w:szCs w:val="24"/>
        </w:rPr>
      </w:pPr>
      <w:r w:rsidRPr="009727EF">
        <w:rPr>
          <w:rFonts w:ascii="Times New Roman" w:eastAsiaTheme="majorEastAsia" w:hAnsi="Times New Roman" w:cs="Times New Roman"/>
          <w:b/>
          <w:bCs/>
          <w:spacing w:val="-10"/>
          <w:kern w:val="28"/>
          <w:sz w:val="24"/>
          <w:szCs w:val="24"/>
        </w:rPr>
        <w:t>An Intersectional Analysis of the Social Determinants of Health among Male Migrant Workers:</w:t>
      </w:r>
    </w:p>
    <w:p w14:paraId="704C52AA" w14:textId="77777777" w:rsidR="00D542A1" w:rsidRPr="009727EF" w:rsidRDefault="00D542A1" w:rsidP="004F77CF">
      <w:pPr>
        <w:numPr>
          <w:ilvl w:val="1"/>
          <w:numId w:val="0"/>
        </w:numPr>
        <w:spacing w:before="240"/>
        <w:jc w:val="center"/>
        <w:rPr>
          <w:rFonts w:ascii="Times New Roman" w:eastAsiaTheme="minorEastAsia" w:hAnsi="Times New Roman" w:cs="Times New Roman"/>
          <w:b/>
          <w:bCs/>
          <w:color w:val="5A5A5A" w:themeColor="text1" w:themeTint="A5"/>
          <w:spacing w:val="15"/>
          <w:sz w:val="24"/>
          <w:szCs w:val="24"/>
        </w:rPr>
      </w:pPr>
      <w:r w:rsidRPr="009727EF">
        <w:rPr>
          <w:rFonts w:ascii="Times New Roman" w:eastAsiaTheme="minorEastAsia" w:hAnsi="Times New Roman" w:cs="Times New Roman"/>
          <w:b/>
          <w:bCs/>
          <w:color w:val="5A5A5A" w:themeColor="text1" w:themeTint="A5"/>
          <w:spacing w:val="15"/>
          <w:sz w:val="24"/>
          <w:szCs w:val="24"/>
        </w:rPr>
        <w:t>Masculinity, Migration and Work in the context of a Pandemic</w:t>
      </w:r>
    </w:p>
    <w:p w14:paraId="3B0C3546" w14:textId="77777777" w:rsidR="00D542A1" w:rsidRPr="009727EF" w:rsidRDefault="00D542A1" w:rsidP="004F77CF">
      <w:pPr>
        <w:spacing w:line="276" w:lineRule="auto"/>
        <w:jc w:val="center"/>
        <w:rPr>
          <w:rFonts w:ascii="Times New Roman" w:hAnsi="Times New Roman" w:cs="Times New Roman"/>
          <w:b/>
          <w:bCs/>
          <w:sz w:val="24"/>
          <w:szCs w:val="24"/>
        </w:rPr>
      </w:pPr>
    </w:p>
    <w:p w14:paraId="5E649F76" w14:textId="77777777" w:rsidR="00D542A1" w:rsidRPr="009727EF" w:rsidRDefault="00D542A1" w:rsidP="004F77CF">
      <w:pPr>
        <w:spacing w:line="276" w:lineRule="auto"/>
        <w:jc w:val="center"/>
        <w:rPr>
          <w:rFonts w:ascii="Times New Roman" w:hAnsi="Times New Roman" w:cs="Times New Roman"/>
          <w:b/>
          <w:bCs/>
          <w:sz w:val="24"/>
          <w:szCs w:val="24"/>
        </w:rPr>
      </w:pPr>
    </w:p>
    <w:p w14:paraId="55465452" w14:textId="77777777" w:rsidR="00D542A1" w:rsidRPr="00D542A1" w:rsidRDefault="00D542A1" w:rsidP="00BE37E2">
      <w:pPr>
        <w:spacing w:line="276" w:lineRule="auto"/>
        <w:jc w:val="both"/>
        <w:rPr>
          <w:rFonts w:ascii="Times New Roman" w:hAnsi="Times New Roman" w:cs="Times New Roman"/>
          <w:b/>
          <w:bCs/>
          <w:sz w:val="24"/>
          <w:szCs w:val="24"/>
        </w:rPr>
      </w:pPr>
    </w:p>
    <w:p w14:paraId="061DC18F" w14:textId="77777777" w:rsidR="00D542A1" w:rsidRPr="00D542A1" w:rsidRDefault="00D542A1" w:rsidP="00BE37E2">
      <w:pPr>
        <w:spacing w:line="276" w:lineRule="auto"/>
        <w:jc w:val="both"/>
        <w:rPr>
          <w:rFonts w:ascii="Times New Roman" w:hAnsi="Times New Roman" w:cs="Times New Roman"/>
          <w:b/>
          <w:bCs/>
          <w:sz w:val="24"/>
          <w:szCs w:val="24"/>
        </w:rPr>
      </w:pPr>
    </w:p>
    <w:p w14:paraId="4A8EAFE7" w14:textId="77777777" w:rsidR="00D542A1" w:rsidRPr="00D542A1" w:rsidRDefault="00D542A1" w:rsidP="00BE37E2">
      <w:pPr>
        <w:spacing w:line="276" w:lineRule="auto"/>
        <w:jc w:val="both"/>
        <w:rPr>
          <w:rFonts w:ascii="Times New Roman" w:hAnsi="Times New Roman" w:cs="Times New Roman"/>
          <w:b/>
          <w:bCs/>
          <w:sz w:val="24"/>
          <w:szCs w:val="24"/>
        </w:rPr>
      </w:pPr>
    </w:p>
    <w:p w14:paraId="199BEC6A" w14:textId="77777777" w:rsidR="00D542A1" w:rsidRPr="00D542A1" w:rsidRDefault="00D542A1" w:rsidP="00BE37E2">
      <w:pPr>
        <w:spacing w:line="276" w:lineRule="auto"/>
        <w:jc w:val="both"/>
        <w:rPr>
          <w:rFonts w:ascii="Times New Roman" w:hAnsi="Times New Roman" w:cs="Times New Roman"/>
          <w:b/>
          <w:bCs/>
          <w:sz w:val="24"/>
          <w:szCs w:val="24"/>
        </w:rPr>
      </w:pPr>
    </w:p>
    <w:p w14:paraId="0DC95416" w14:textId="5FF56433" w:rsidR="00D542A1" w:rsidRPr="00D542A1" w:rsidRDefault="004F77CF" w:rsidP="004F77CF">
      <w:pPr>
        <w:spacing w:line="276" w:lineRule="auto"/>
        <w:jc w:val="center"/>
        <w:rPr>
          <w:rFonts w:ascii="Times New Roman" w:hAnsi="Times New Roman" w:cs="Times New Roman"/>
          <w:b/>
          <w:bCs/>
          <w:sz w:val="24"/>
          <w:szCs w:val="24"/>
        </w:rPr>
      </w:pPr>
      <w:r w:rsidRPr="004F77CF">
        <w:rPr>
          <w:rFonts w:ascii="Times New Roman" w:hAnsi="Times New Roman" w:cs="Times New Roman"/>
          <w:b/>
          <w:bCs/>
          <w:sz w:val="24"/>
          <w:szCs w:val="24"/>
        </w:rPr>
        <w:t>School of Sociological and Anthropological Studies</w:t>
      </w:r>
    </w:p>
    <w:p w14:paraId="5A078955" w14:textId="0AA6BE7E" w:rsidR="003342F7" w:rsidRPr="003342F7" w:rsidRDefault="003342F7" w:rsidP="004F77CF">
      <w:pPr>
        <w:spacing w:line="276" w:lineRule="auto"/>
        <w:jc w:val="center"/>
        <w:rPr>
          <w:rFonts w:ascii="Times New Roman" w:hAnsi="Times New Roman" w:cs="Times New Roman"/>
          <w:b/>
          <w:bCs/>
          <w:sz w:val="24"/>
          <w:szCs w:val="24"/>
        </w:rPr>
      </w:pPr>
      <w:r w:rsidRPr="003342F7">
        <w:rPr>
          <w:rFonts w:ascii="Times New Roman" w:hAnsi="Times New Roman" w:cs="Times New Roman"/>
          <w:b/>
          <w:bCs/>
          <w:sz w:val="24"/>
          <w:szCs w:val="24"/>
        </w:rPr>
        <w:t>S</w:t>
      </w:r>
      <w:r>
        <w:rPr>
          <w:rFonts w:ascii="Times New Roman" w:hAnsi="Times New Roman" w:cs="Times New Roman"/>
          <w:b/>
          <w:bCs/>
          <w:sz w:val="24"/>
          <w:szCs w:val="24"/>
        </w:rPr>
        <w:t>upervisor</w:t>
      </w:r>
      <w:r w:rsidRPr="003342F7">
        <w:rPr>
          <w:rFonts w:ascii="Times New Roman" w:hAnsi="Times New Roman" w:cs="Times New Roman"/>
          <w:b/>
          <w:bCs/>
          <w:sz w:val="24"/>
          <w:szCs w:val="24"/>
        </w:rPr>
        <w:t>:</w:t>
      </w:r>
      <w:r>
        <w:rPr>
          <w:rFonts w:ascii="Times New Roman" w:hAnsi="Times New Roman" w:cs="Times New Roman"/>
          <w:b/>
          <w:bCs/>
          <w:sz w:val="24"/>
          <w:szCs w:val="24"/>
        </w:rPr>
        <w:t xml:space="preserve"> </w:t>
      </w:r>
      <w:bookmarkStart w:id="2" w:name="_Hlk72493385"/>
      <w:r w:rsidR="004F77CF">
        <w:rPr>
          <w:rFonts w:ascii="Times New Roman" w:hAnsi="Times New Roman" w:cs="Times New Roman"/>
          <w:b/>
          <w:bCs/>
          <w:sz w:val="24"/>
          <w:szCs w:val="24"/>
        </w:rPr>
        <w:t>Dr.</w:t>
      </w:r>
      <w:r w:rsidRPr="003342F7">
        <w:rPr>
          <w:rFonts w:ascii="Times New Roman" w:hAnsi="Times New Roman" w:cs="Times New Roman"/>
          <w:b/>
          <w:bCs/>
          <w:sz w:val="24"/>
          <w:szCs w:val="24"/>
        </w:rPr>
        <w:t xml:space="preserve"> </w:t>
      </w:r>
      <w:r>
        <w:rPr>
          <w:rFonts w:ascii="Times New Roman" w:hAnsi="Times New Roman" w:cs="Times New Roman"/>
          <w:b/>
          <w:bCs/>
          <w:sz w:val="24"/>
          <w:szCs w:val="24"/>
        </w:rPr>
        <w:t>Phyllis Rippey</w:t>
      </w:r>
      <w:bookmarkEnd w:id="2"/>
    </w:p>
    <w:p w14:paraId="7FAB7E98" w14:textId="48857700" w:rsidR="00D542A1" w:rsidRPr="00D542A1" w:rsidRDefault="003342F7" w:rsidP="004F77C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Committee member</w:t>
      </w:r>
      <w:r w:rsidRPr="003342F7">
        <w:rPr>
          <w:rFonts w:ascii="Times New Roman" w:hAnsi="Times New Roman" w:cs="Times New Roman"/>
          <w:b/>
          <w:bCs/>
          <w:sz w:val="24"/>
          <w:szCs w:val="24"/>
        </w:rPr>
        <w:t>:</w:t>
      </w:r>
      <w:r>
        <w:rPr>
          <w:rFonts w:ascii="Times New Roman" w:hAnsi="Times New Roman" w:cs="Times New Roman"/>
          <w:b/>
          <w:bCs/>
          <w:sz w:val="24"/>
          <w:szCs w:val="24"/>
        </w:rPr>
        <w:t xml:space="preserve"> </w:t>
      </w:r>
      <w:r w:rsidR="00997C26">
        <w:rPr>
          <w:rFonts w:ascii="Times New Roman" w:hAnsi="Times New Roman" w:cs="Times New Roman"/>
          <w:b/>
          <w:bCs/>
          <w:sz w:val="24"/>
          <w:szCs w:val="24"/>
        </w:rPr>
        <w:t>Dr.</w:t>
      </w:r>
      <w:r w:rsidRPr="003342F7">
        <w:rPr>
          <w:rFonts w:ascii="Times New Roman" w:hAnsi="Times New Roman" w:cs="Times New Roman"/>
          <w:b/>
          <w:bCs/>
          <w:sz w:val="24"/>
          <w:szCs w:val="24"/>
        </w:rPr>
        <w:t xml:space="preserve"> </w:t>
      </w:r>
      <w:bookmarkStart w:id="3" w:name="_Hlk72493710"/>
      <w:r>
        <w:rPr>
          <w:rFonts w:ascii="Times New Roman" w:hAnsi="Times New Roman" w:cs="Times New Roman"/>
          <w:b/>
          <w:bCs/>
          <w:sz w:val="24"/>
          <w:szCs w:val="24"/>
        </w:rPr>
        <w:t>Ivy B</w:t>
      </w:r>
      <w:r w:rsidR="004F77CF">
        <w:rPr>
          <w:rFonts w:ascii="Times New Roman" w:hAnsi="Times New Roman" w:cs="Times New Roman"/>
          <w:b/>
          <w:bCs/>
          <w:sz w:val="24"/>
          <w:szCs w:val="24"/>
        </w:rPr>
        <w:t>ourgeault</w:t>
      </w:r>
      <w:bookmarkEnd w:id="3"/>
    </w:p>
    <w:p w14:paraId="71248CAB" w14:textId="77777777" w:rsidR="00D542A1" w:rsidRPr="00D542A1" w:rsidRDefault="00D542A1" w:rsidP="004F77CF">
      <w:pPr>
        <w:spacing w:line="276" w:lineRule="auto"/>
        <w:jc w:val="center"/>
        <w:rPr>
          <w:rFonts w:ascii="Times New Roman" w:hAnsi="Times New Roman" w:cs="Times New Roman"/>
          <w:b/>
          <w:bCs/>
          <w:sz w:val="24"/>
          <w:szCs w:val="24"/>
        </w:rPr>
      </w:pPr>
    </w:p>
    <w:p w14:paraId="22357B47" w14:textId="77777777" w:rsidR="00D542A1" w:rsidRPr="00D542A1" w:rsidRDefault="00D542A1" w:rsidP="004F77CF">
      <w:pPr>
        <w:spacing w:line="276" w:lineRule="auto"/>
        <w:jc w:val="center"/>
        <w:rPr>
          <w:rFonts w:ascii="Times New Roman" w:hAnsi="Times New Roman" w:cs="Times New Roman"/>
          <w:b/>
          <w:bCs/>
          <w:sz w:val="24"/>
          <w:szCs w:val="24"/>
        </w:rPr>
      </w:pPr>
    </w:p>
    <w:p w14:paraId="78C70FB5" w14:textId="77777777" w:rsidR="00D542A1" w:rsidRPr="00D542A1" w:rsidRDefault="00D542A1" w:rsidP="004F77CF">
      <w:pPr>
        <w:spacing w:line="276" w:lineRule="auto"/>
        <w:jc w:val="center"/>
        <w:rPr>
          <w:rFonts w:ascii="Times New Roman" w:hAnsi="Times New Roman" w:cs="Times New Roman"/>
          <w:b/>
          <w:bCs/>
          <w:sz w:val="24"/>
          <w:szCs w:val="24"/>
        </w:rPr>
      </w:pPr>
    </w:p>
    <w:p w14:paraId="07B28672" w14:textId="77777777" w:rsidR="00D542A1" w:rsidRPr="00D542A1" w:rsidRDefault="00D542A1" w:rsidP="004F77CF">
      <w:pPr>
        <w:spacing w:line="276" w:lineRule="auto"/>
        <w:jc w:val="center"/>
        <w:rPr>
          <w:rFonts w:ascii="Times New Roman" w:hAnsi="Times New Roman" w:cs="Times New Roman"/>
          <w:b/>
          <w:bCs/>
          <w:sz w:val="24"/>
          <w:szCs w:val="24"/>
        </w:rPr>
      </w:pPr>
    </w:p>
    <w:p w14:paraId="66DC8845" w14:textId="77777777" w:rsidR="00D542A1" w:rsidRPr="009727EF" w:rsidRDefault="00D542A1" w:rsidP="004F77CF">
      <w:pPr>
        <w:spacing w:line="276" w:lineRule="auto"/>
        <w:jc w:val="center"/>
        <w:rPr>
          <w:rFonts w:ascii="Times New Roman" w:hAnsi="Times New Roman" w:cs="Times New Roman"/>
          <w:sz w:val="24"/>
          <w:szCs w:val="24"/>
        </w:rPr>
      </w:pPr>
    </w:p>
    <w:p w14:paraId="3564BC7F" w14:textId="59A08FDF" w:rsidR="00D542A1" w:rsidRPr="009727EF" w:rsidRDefault="003342F7" w:rsidP="004F77CF">
      <w:pPr>
        <w:tabs>
          <w:tab w:val="left" w:pos="3578"/>
        </w:tabs>
        <w:spacing w:line="276" w:lineRule="auto"/>
        <w:jc w:val="center"/>
        <w:rPr>
          <w:rFonts w:ascii="Times New Roman" w:hAnsi="Times New Roman" w:cs="Times New Roman"/>
          <w:sz w:val="24"/>
          <w:szCs w:val="24"/>
        </w:rPr>
      </w:pPr>
      <w:r w:rsidRPr="009727EF">
        <w:rPr>
          <w:rFonts w:ascii="Times New Roman" w:hAnsi="Times New Roman" w:cs="Times New Roman"/>
          <w:sz w:val="24"/>
          <w:szCs w:val="24"/>
        </w:rPr>
        <w:t xml:space="preserve">© Ugochi Udonsi, </w:t>
      </w:r>
      <w:r w:rsidR="004F77CF" w:rsidRPr="009727EF">
        <w:rPr>
          <w:rFonts w:ascii="Times New Roman" w:hAnsi="Times New Roman" w:cs="Times New Roman"/>
          <w:sz w:val="24"/>
          <w:szCs w:val="24"/>
        </w:rPr>
        <w:t>University of Ottawa</w:t>
      </w:r>
      <w:r w:rsidRPr="009727EF">
        <w:rPr>
          <w:rFonts w:ascii="Times New Roman" w:hAnsi="Times New Roman" w:cs="Times New Roman"/>
          <w:sz w:val="24"/>
          <w:szCs w:val="24"/>
        </w:rPr>
        <w:t>, Canada, 2021</w:t>
      </w:r>
    </w:p>
    <w:p w14:paraId="74A03085" w14:textId="77777777" w:rsidR="00D542A1" w:rsidRPr="00D542A1" w:rsidRDefault="00D542A1" w:rsidP="00BE37E2">
      <w:pPr>
        <w:spacing w:line="276" w:lineRule="auto"/>
        <w:jc w:val="both"/>
        <w:rPr>
          <w:rFonts w:ascii="Times New Roman" w:hAnsi="Times New Roman" w:cs="Times New Roman"/>
          <w:b/>
          <w:bCs/>
          <w:sz w:val="24"/>
          <w:szCs w:val="24"/>
        </w:rPr>
      </w:pPr>
    </w:p>
    <w:p w14:paraId="40725D18" w14:textId="77777777" w:rsidR="00D542A1" w:rsidRPr="00D542A1" w:rsidRDefault="00D542A1" w:rsidP="00BE37E2">
      <w:pPr>
        <w:spacing w:line="276" w:lineRule="auto"/>
        <w:jc w:val="both"/>
        <w:rPr>
          <w:rFonts w:ascii="Times New Roman" w:hAnsi="Times New Roman" w:cs="Times New Roman"/>
          <w:b/>
          <w:bCs/>
          <w:sz w:val="24"/>
          <w:szCs w:val="24"/>
        </w:rPr>
      </w:pPr>
    </w:p>
    <w:p w14:paraId="7E6A4871" w14:textId="40BC483E" w:rsidR="00D542A1" w:rsidRDefault="004F77CF" w:rsidP="00BE37E2">
      <w:p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Acknowledgements</w:t>
      </w:r>
    </w:p>
    <w:p w14:paraId="0DEBFB2E" w14:textId="77777777" w:rsidR="004F77CF" w:rsidRPr="00D542A1" w:rsidRDefault="004F77CF" w:rsidP="00BE37E2">
      <w:pPr>
        <w:spacing w:line="276" w:lineRule="auto"/>
        <w:jc w:val="both"/>
        <w:rPr>
          <w:rFonts w:ascii="Times New Roman" w:hAnsi="Times New Roman" w:cs="Times New Roman"/>
          <w:b/>
          <w:bCs/>
          <w:sz w:val="24"/>
          <w:szCs w:val="24"/>
        </w:rPr>
      </w:pPr>
    </w:p>
    <w:p w14:paraId="0DCC819C" w14:textId="77777777" w:rsidR="00696790" w:rsidRDefault="00997C26" w:rsidP="004F77CF">
      <w:pPr>
        <w:jc w:val="both"/>
        <w:rPr>
          <w:rFonts w:ascii="Times New Roman" w:hAnsi="Times New Roman" w:cs="Times New Roman"/>
          <w:sz w:val="24"/>
          <w:szCs w:val="24"/>
        </w:rPr>
      </w:pPr>
      <w:r>
        <w:rPr>
          <w:rFonts w:ascii="Times New Roman" w:hAnsi="Times New Roman" w:cs="Times New Roman"/>
          <w:sz w:val="24"/>
          <w:szCs w:val="24"/>
        </w:rPr>
        <w:t>My eternal gratitude goes to Jehovah, my God, who made this journey possible.</w:t>
      </w:r>
    </w:p>
    <w:p w14:paraId="07E4DBDA" w14:textId="77777777" w:rsidR="003C1AC9" w:rsidRDefault="003C1AC9" w:rsidP="004F77CF">
      <w:pPr>
        <w:jc w:val="both"/>
        <w:rPr>
          <w:rFonts w:ascii="Times New Roman" w:hAnsi="Times New Roman" w:cs="Times New Roman"/>
          <w:sz w:val="24"/>
          <w:szCs w:val="24"/>
        </w:rPr>
      </w:pPr>
    </w:p>
    <w:p w14:paraId="5E2372A4" w14:textId="130DCF92" w:rsidR="004F77CF" w:rsidRPr="004F77CF" w:rsidRDefault="004F77CF" w:rsidP="004F77CF">
      <w:pPr>
        <w:jc w:val="both"/>
        <w:rPr>
          <w:rFonts w:ascii="Times New Roman" w:hAnsi="Times New Roman" w:cs="Times New Roman"/>
          <w:sz w:val="24"/>
          <w:szCs w:val="24"/>
        </w:rPr>
      </w:pPr>
      <w:r w:rsidRPr="004F77CF">
        <w:rPr>
          <w:rFonts w:ascii="Times New Roman" w:hAnsi="Times New Roman" w:cs="Times New Roman"/>
          <w:sz w:val="24"/>
          <w:szCs w:val="24"/>
        </w:rPr>
        <w:t xml:space="preserve">I extend </w:t>
      </w:r>
      <w:r w:rsidR="003C1AC9">
        <w:rPr>
          <w:rFonts w:ascii="Times New Roman" w:hAnsi="Times New Roman" w:cs="Times New Roman"/>
          <w:sz w:val="24"/>
          <w:szCs w:val="24"/>
        </w:rPr>
        <w:t xml:space="preserve">my </w:t>
      </w:r>
      <w:r w:rsidRPr="004F77CF">
        <w:rPr>
          <w:rFonts w:ascii="Times New Roman" w:hAnsi="Times New Roman" w:cs="Times New Roman"/>
          <w:sz w:val="24"/>
          <w:szCs w:val="24"/>
        </w:rPr>
        <w:t>deep gratitude to my supervisor, Dr.</w:t>
      </w:r>
      <w:r w:rsidR="00997C26" w:rsidRPr="00997C26">
        <w:t xml:space="preserve"> </w:t>
      </w:r>
      <w:r w:rsidR="00997C26" w:rsidRPr="00997C26">
        <w:rPr>
          <w:rFonts w:ascii="Times New Roman" w:hAnsi="Times New Roman" w:cs="Times New Roman"/>
          <w:sz w:val="24"/>
          <w:szCs w:val="24"/>
        </w:rPr>
        <w:t>Phyllis Rippey</w:t>
      </w:r>
      <w:r w:rsidRPr="004F77CF">
        <w:rPr>
          <w:rFonts w:ascii="Times New Roman" w:hAnsi="Times New Roman" w:cs="Times New Roman"/>
          <w:sz w:val="24"/>
          <w:szCs w:val="24"/>
        </w:rPr>
        <w:t>, for bringing clarity</w:t>
      </w:r>
      <w:r w:rsidR="00997C26">
        <w:rPr>
          <w:rFonts w:ascii="Times New Roman" w:hAnsi="Times New Roman" w:cs="Times New Roman"/>
          <w:sz w:val="24"/>
          <w:szCs w:val="24"/>
        </w:rPr>
        <w:t xml:space="preserve"> with all her </w:t>
      </w:r>
      <w:r w:rsidR="003C1AC9">
        <w:rPr>
          <w:rFonts w:ascii="Times New Roman" w:hAnsi="Times New Roman" w:cs="Times New Roman"/>
          <w:sz w:val="24"/>
          <w:szCs w:val="24"/>
        </w:rPr>
        <w:t xml:space="preserve">timely, </w:t>
      </w:r>
      <w:r w:rsidR="00997C26">
        <w:rPr>
          <w:rFonts w:ascii="Times New Roman" w:hAnsi="Times New Roman" w:cs="Times New Roman"/>
          <w:sz w:val="24"/>
          <w:szCs w:val="24"/>
        </w:rPr>
        <w:t>painstaking edits</w:t>
      </w:r>
      <w:r w:rsidR="003C1AC9">
        <w:rPr>
          <w:rFonts w:ascii="Times New Roman" w:hAnsi="Times New Roman" w:cs="Times New Roman"/>
          <w:sz w:val="24"/>
          <w:szCs w:val="24"/>
        </w:rPr>
        <w:t>,</w:t>
      </w:r>
      <w:r w:rsidRPr="004F77CF">
        <w:rPr>
          <w:rFonts w:ascii="Times New Roman" w:hAnsi="Times New Roman" w:cs="Times New Roman"/>
          <w:sz w:val="24"/>
          <w:szCs w:val="24"/>
        </w:rPr>
        <w:t xml:space="preserve"> </w:t>
      </w:r>
      <w:r w:rsidR="00997C26">
        <w:rPr>
          <w:rFonts w:ascii="Times New Roman" w:hAnsi="Times New Roman" w:cs="Times New Roman"/>
          <w:sz w:val="24"/>
          <w:szCs w:val="24"/>
        </w:rPr>
        <w:t xml:space="preserve">constant encouragement and enthusiasm that sustained me during the process of writing </w:t>
      </w:r>
      <w:r w:rsidR="00997C26" w:rsidRPr="004F77CF">
        <w:rPr>
          <w:rFonts w:ascii="Times New Roman" w:hAnsi="Times New Roman" w:cs="Times New Roman"/>
          <w:sz w:val="24"/>
          <w:szCs w:val="24"/>
        </w:rPr>
        <w:t>this</w:t>
      </w:r>
      <w:r w:rsidRPr="004F77CF">
        <w:rPr>
          <w:rFonts w:ascii="Times New Roman" w:hAnsi="Times New Roman" w:cs="Times New Roman"/>
          <w:sz w:val="24"/>
          <w:szCs w:val="24"/>
        </w:rPr>
        <w:t xml:space="preserve"> project. </w:t>
      </w:r>
      <w:r w:rsidR="00997C26">
        <w:rPr>
          <w:rFonts w:ascii="Times New Roman" w:hAnsi="Times New Roman" w:cs="Times New Roman"/>
          <w:sz w:val="24"/>
          <w:szCs w:val="24"/>
        </w:rPr>
        <w:t>My most sincere gratitude</w:t>
      </w:r>
      <w:r w:rsidRPr="004F77CF">
        <w:rPr>
          <w:rFonts w:ascii="Times New Roman" w:hAnsi="Times New Roman" w:cs="Times New Roman"/>
          <w:sz w:val="24"/>
          <w:szCs w:val="24"/>
        </w:rPr>
        <w:t xml:space="preserve"> to </w:t>
      </w:r>
      <w:bookmarkStart w:id="4" w:name="_Hlk72493686"/>
      <w:r w:rsidRPr="004F77CF">
        <w:rPr>
          <w:rFonts w:ascii="Times New Roman" w:hAnsi="Times New Roman" w:cs="Times New Roman"/>
          <w:sz w:val="24"/>
          <w:szCs w:val="24"/>
        </w:rPr>
        <w:t xml:space="preserve">Dr. </w:t>
      </w:r>
      <w:bookmarkEnd w:id="4"/>
      <w:r w:rsidR="00997C26" w:rsidRPr="00997C26">
        <w:rPr>
          <w:rFonts w:ascii="Times New Roman" w:hAnsi="Times New Roman" w:cs="Times New Roman"/>
          <w:sz w:val="24"/>
          <w:szCs w:val="24"/>
        </w:rPr>
        <w:t xml:space="preserve">Ivy Bourgeault </w:t>
      </w:r>
      <w:r w:rsidRPr="004F77CF">
        <w:rPr>
          <w:rFonts w:ascii="Times New Roman" w:hAnsi="Times New Roman" w:cs="Times New Roman"/>
          <w:sz w:val="24"/>
          <w:szCs w:val="24"/>
        </w:rPr>
        <w:t xml:space="preserve">who, as </w:t>
      </w:r>
      <w:r w:rsidR="003C1AC9">
        <w:rPr>
          <w:rFonts w:ascii="Times New Roman" w:hAnsi="Times New Roman" w:cs="Times New Roman"/>
          <w:sz w:val="24"/>
          <w:szCs w:val="24"/>
        </w:rPr>
        <w:t xml:space="preserve">the </w:t>
      </w:r>
      <w:r w:rsidRPr="004F77CF">
        <w:rPr>
          <w:rFonts w:ascii="Times New Roman" w:hAnsi="Times New Roman" w:cs="Times New Roman"/>
          <w:sz w:val="24"/>
          <w:szCs w:val="24"/>
        </w:rPr>
        <w:t xml:space="preserve">second reviewer, </w:t>
      </w:r>
      <w:r w:rsidR="00997C26">
        <w:rPr>
          <w:rFonts w:ascii="Times New Roman" w:hAnsi="Times New Roman" w:cs="Times New Roman"/>
          <w:sz w:val="24"/>
          <w:szCs w:val="24"/>
        </w:rPr>
        <w:t xml:space="preserve">provided me with the </w:t>
      </w:r>
      <w:r w:rsidR="00696790">
        <w:rPr>
          <w:rFonts w:ascii="Times New Roman" w:hAnsi="Times New Roman" w:cs="Times New Roman"/>
          <w:sz w:val="24"/>
          <w:szCs w:val="24"/>
        </w:rPr>
        <w:t>blueprint</w:t>
      </w:r>
      <w:r w:rsidR="00997C26">
        <w:rPr>
          <w:rFonts w:ascii="Times New Roman" w:hAnsi="Times New Roman" w:cs="Times New Roman"/>
          <w:sz w:val="24"/>
          <w:szCs w:val="24"/>
        </w:rPr>
        <w:t xml:space="preserve"> that guided this project, her helpful suggestions and edits were invaluable.</w:t>
      </w:r>
    </w:p>
    <w:p w14:paraId="31CC3567" w14:textId="77777777" w:rsidR="00696790" w:rsidRDefault="00696790" w:rsidP="00696790">
      <w:pPr>
        <w:jc w:val="both"/>
        <w:rPr>
          <w:rFonts w:ascii="Times New Roman" w:hAnsi="Times New Roman" w:cs="Times New Roman"/>
          <w:sz w:val="24"/>
          <w:szCs w:val="24"/>
        </w:rPr>
      </w:pPr>
    </w:p>
    <w:p w14:paraId="0C889404" w14:textId="13E0DDB2" w:rsidR="004F77CF" w:rsidRDefault="003C1AC9" w:rsidP="00696790">
      <w:pPr>
        <w:jc w:val="both"/>
        <w:rPr>
          <w:rFonts w:ascii="Times New Roman" w:hAnsi="Times New Roman" w:cs="Times New Roman"/>
          <w:sz w:val="24"/>
          <w:szCs w:val="24"/>
        </w:rPr>
      </w:pPr>
      <w:r>
        <w:rPr>
          <w:rFonts w:ascii="Times New Roman" w:hAnsi="Times New Roman" w:cs="Times New Roman"/>
          <w:sz w:val="24"/>
          <w:szCs w:val="24"/>
        </w:rPr>
        <w:t>My sincere appreciation goes</w:t>
      </w:r>
      <w:r w:rsidR="00997C26">
        <w:rPr>
          <w:rFonts w:ascii="Times New Roman" w:hAnsi="Times New Roman" w:cs="Times New Roman"/>
          <w:sz w:val="24"/>
          <w:szCs w:val="24"/>
        </w:rPr>
        <w:t xml:space="preserve"> to my husband</w:t>
      </w:r>
      <w:r w:rsidR="00696790">
        <w:rPr>
          <w:rFonts w:ascii="Times New Roman" w:hAnsi="Times New Roman" w:cs="Times New Roman"/>
          <w:sz w:val="24"/>
          <w:szCs w:val="24"/>
        </w:rPr>
        <w:t xml:space="preserve">, </w:t>
      </w:r>
      <w:proofErr w:type="spellStart"/>
      <w:r w:rsidR="00696790">
        <w:rPr>
          <w:rFonts w:ascii="Times New Roman" w:hAnsi="Times New Roman" w:cs="Times New Roman"/>
          <w:sz w:val="24"/>
          <w:szCs w:val="24"/>
        </w:rPr>
        <w:t>Kanu</w:t>
      </w:r>
      <w:proofErr w:type="spellEnd"/>
      <w:r w:rsidR="00696790">
        <w:rPr>
          <w:rFonts w:ascii="Times New Roman" w:hAnsi="Times New Roman" w:cs="Times New Roman"/>
          <w:sz w:val="24"/>
          <w:szCs w:val="24"/>
        </w:rPr>
        <w:t xml:space="preserve"> </w:t>
      </w:r>
      <w:proofErr w:type="spellStart"/>
      <w:r w:rsidR="00696790">
        <w:rPr>
          <w:rFonts w:ascii="Times New Roman" w:hAnsi="Times New Roman" w:cs="Times New Roman"/>
          <w:sz w:val="24"/>
          <w:szCs w:val="24"/>
        </w:rPr>
        <w:t>Udonsi</w:t>
      </w:r>
      <w:proofErr w:type="spellEnd"/>
      <w:r w:rsidR="00696790">
        <w:rPr>
          <w:rFonts w:ascii="Times New Roman" w:hAnsi="Times New Roman" w:cs="Times New Roman"/>
          <w:sz w:val="24"/>
          <w:szCs w:val="24"/>
        </w:rPr>
        <w:t xml:space="preserve"> for his patience</w:t>
      </w:r>
      <w:r>
        <w:rPr>
          <w:rFonts w:ascii="Times New Roman" w:hAnsi="Times New Roman" w:cs="Times New Roman"/>
          <w:sz w:val="24"/>
          <w:szCs w:val="24"/>
        </w:rPr>
        <w:t>,</w:t>
      </w:r>
      <w:r w:rsidR="00696790">
        <w:rPr>
          <w:rFonts w:ascii="Times New Roman" w:hAnsi="Times New Roman" w:cs="Times New Roman"/>
          <w:sz w:val="24"/>
          <w:szCs w:val="24"/>
        </w:rPr>
        <w:t xml:space="preserve"> support</w:t>
      </w:r>
      <w:r>
        <w:rPr>
          <w:rFonts w:ascii="Times New Roman" w:hAnsi="Times New Roman" w:cs="Times New Roman"/>
          <w:sz w:val="24"/>
          <w:szCs w:val="24"/>
        </w:rPr>
        <w:t>,</w:t>
      </w:r>
      <w:r w:rsidR="00696790">
        <w:rPr>
          <w:rFonts w:ascii="Times New Roman" w:hAnsi="Times New Roman" w:cs="Times New Roman"/>
          <w:sz w:val="24"/>
          <w:szCs w:val="24"/>
        </w:rPr>
        <w:t xml:space="preserve"> and encouragement during this work. He </w:t>
      </w:r>
      <w:r>
        <w:rPr>
          <w:rFonts w:ascii="Times New Roman" w:hAnsi="Times New Roman" w:cs="Times New Roman"/>
          <w:sz w:val="24"/>
          <w:szCs w:val="24"/>
        </w:rPr>
        <w:t>wa</w:t>
      </w:r>
      <w:r w:rsidR="00696790">
        <w:rPr>
          <w:rFonts w:ascii="Times New Roman" w:hAnsi="Times New Roman" w:cs="Times New Roman"/>
          <w:sz w:val="24"/>
          <w:szCs w:val="24"/>
        </w:rPr>
        <w:t xml:space="preserve">s always there to tell me I can do it and took so many responsibilities off me </w:t>
      </w:r>
      <w:r>
        <w:rPr>
          <w:rFonts w:ascii="Times New Roman" w:hAnsi="Times New Roman" w:cs="Times New Roman"/>
          <w:sz w:val="24"/>
          <w:szCs w:val="24"/>
        </w:rPr>
        <w:t xml:space="preserve">to afford </w:t>
      </w:r>
      <w:r w:rsidR="00696790">
        <w:rPr>
          <w:rFonts w:ascii="Times New Roman" w:hAnsi="Times New Roman" w:cs="Times New Roman"/>
          <w:sz w:val="24"/>
          <w:szCs w:val="24"/>
        </w:rPr>
        <w:t xml:space="preserve">me </w:t>
      </w:r>
      <w:r>
        <w:rPr>
          <w:rFonts w:ascii="Times New Roman" w:hAnsi="Times New Roman" w:cs="Times New Roman"/>
          <w:sz w:val="24"/>
          <w:szCs w:val="24"/>
        </w:rPr>
        <w:t>all the time I needed</w:t>
      </w:r>
      <w:r w:rsidR="00696790">
        <w:rPr>
          <w:rFonts w:ascii="Times New Roman" w:hAnsi="Times New Roman" w:cs="Times New Roman"/>
          <w:sz w:val="24"/>
          <w:szCs w:val="24"/>
        </w:rPr>
        <w:t xml:space="preserve"> to concentrate on my M</w:t>
      </w:r>
      <w:r w:rsidR="00C270AB">
        <w:rPr>
          <w:rFonts w:ascii="Times New Roman" w:hAnsi="Times New Roman" w:cs="Times New Roman"/>
          <w:sz w:val="24"/>
          <w:szCs w:val="24"/>
        </w:rPr>
        <w:t>A and MRP</w:t>
      </w:r>
      <w:r w:rsidR="00696790">
        <w:rPr>
          <w:rFonts w:ascii="Times New Roman" w:hAnsi="Times New Roman" w:cs="Times New Roman"/>
          <w:sz w:val="24"/>
          <w:szCs w:val="24"/>
        </w:rPr>
        <w:t xml:space="preserve">. </w:t>
      </w:r>
      <w:r>
        <w:rPr>
          <w:rFonts w:ascii="Times New Roman" w:hAnsi="Times New Roman" w:cs="Times New Roman"/>
          <w:sz w:val="24"/>
          <w:szCs w:val="24"/>
        </w:rPr>
        <w:t>Loads of</w:t>
      </w:r>
      <w:r w:rsidR="00696790">
        <w:rPr>
          <w:rFonts w:ascii="Times New Roman" w:hAnsi="Times New Roman" w:cs="Times New Roman"/>
          <w:sz w:val="24"/>
          <w:szCs w:val="24"/>
        </w:rPr>
        <w:t xml:space="preserve"> </w:t>
      </w:r>
      <w:r>
        <w:rPr>
          <w:rFonts w:ascii="Times New Roman" w:hAnsi="Times New Roman" w:cs="Times New Roman"/>
          <w:sz w:val="24"/>
          <w:szCs w:val="24"/>
        </w:rPr>
        <w:t xml:space="preserve">love to my </w:t>
      </w:r>
      <w:r w:rsidR="00696790">
        <w:rPr>
          <w:rFonts w:ascii="Times New Roman" w:hAnsi="Times New Roman" w:cs="Times New Roman"/>
          <w:sz w:val="24"/>
          <w:szCs w:val="24"/>
        </w:rPr>
        <w:t xml:space="preserve">boys </w:t>
      </w:r>
      <w:proofErr w:type="spellStart"/>
      <w:r w:rsidR="00696790">
        <w:rPr>
          <w:rFonts w:ascii="Times New Roman" w:hAnsi="Times New Roman" w:cs="Times New Roman"/>
          <w:sz w:val="24"/>
          <w:szCs w:val="24"/>
        </w:rPr>
        <w:t>Chinedum</w:t>
      </w:r>
      <w:proofErr w:type="spellEnd"/>
      <w:r w:rsidR="00696790">
        <w:rPr>
          <w:rFonts w:ascii="Times New Roman" w:hAnsi="Times New Roman" w:cs="Times New Roman"/>
          <w:sz w:val="24"/>
          <w:szCs w:val="24"/>
        </w:rPr>
        <w:t xml:space="preserve"> and </w:t>
      </w:r>
      <w:proofErr w:type="spellStart"/>
      <w:r w:rsidR="00696790">
        <w:rPr>
          <w:rFonts w:ascii="Times New Roman" w:hAnsi="Times New Roman" w:cs="Times New Roman"/>
          <w:sz w:val="24"/>
          <w:szCs w:val="24"/>
        </w:rPr>
        <w:t>Osinachi</w:t>
      </w:r>
      <w:proofErr w:type="spellEnd"/>
      <w:r w:rsidR="00696790">
        <w:rPr>
          <w:rFonts w:ascii="Times New Roman" w:hAnsi="Times New Roman" w:cs="Times New Roman"/>
          <w:sz w:val="24"/>
          <w:szCs w:val="24"/>
        </w:rPr>
        <w:t xml:space="preserve"> for putting up with me despite my unintentional neglects. My sincere thanks to my family and friends who contributed in one way or the other </w:t>
      </w:r>
      <w:r>
        <w:rPr>
          <w:rFonts w:ascii="Times New Roman" w:hAnsi="Times New Roman" w:cs="Times New Roman"/>
          <w:sz w:val="24"/>
          <w:szCs w:val="24"/>
        </w:rPr>
        <w:t>to</w:t>
      </w:r>
      <w:r w:rsidR="00696790">
        <w:rPr>
          <w:rFonts w:ascii="Times New Roman" w:hAnsi="Times New Roman" w:cs="Times New Roman"/>
          <w:sz w:val="24"/>
          <w:szCs w:val="24"/>
        </w:rPr>
        <w:t xml:space="preserve"> support me.</w:t>
      </w:r>
    </w:p>
    <w:p w14:paraId="11EA087D" w14:textId="5A545ED4" w:rsidR="00696790" w:rsidRDefault="00696790" w:rsidP="00696790">
      <w:pPr>
        <w:jc w:val="both"/>
        <w:rPr>
          <w:rFonts w:ascii="Times New Roman" w:hAnsi="Times New Roman" w:cs="Times New Roman"/>
          <w:sz w:val="24"/>
          <w:szCs w:val="24"/>
        </w:rPr>
      </w:pPr>
    </w:p>
    <w:p w14:paraId="71C6C66D" w14:textId="3D2F76CC" w:rsidR="00696790" w:rsidRPr="004F77CF" w:rsidRDefault="00C270AB" w:rsidP="00696790">
      <w:pPr>
        <w:jc w:val="both"/>
        <w:rPr>
          <w:rFonts w:ascii="Times New Roman" w:hAnsi="Times New Roman" w:cs="Times New Roman"/>
          <w:sz w:val="24"/>
          <w:szCs w:val="24"/>
        </w:rPr>
      </w:pPr>
      <w:r>
        <w:rPr>
          <w:rFonts w:ascii="Times New Roman" w:hAnsi="Times New Roman" w:cs="Times New Roman"/>
          <w:sz w:val="24"/>
          <w:szCs w:val="24"/>
        </w:rPr>
        <w:t>To all the migrant workers doing their best even in a dangerous situation to feed the nation and care for their famil</w:t>
      </w:r>
      <w:r w:rsidR="003C1AC9">
        <w:rPr>
          <w:rFonts w:ascii="Times New Roman" w:hAnsi="Times New Roman" w:cs="Times New Roman"/>
          <w:sz w:val="24"/>
          <w:szCs w:val="24"/>
        </w:rPr>
        <w:t>ies</w:t>
      </w:r>
      <w:r>
        <w:rPr>
          <w:rFonts w:ascii="Times New Roman" w:hAnsi="Times New Roman" w:cs="Times New Roman"/>
          <w:sz w:val="24"/>
          <w:szCs w:val="24"/>
        </w:rPr>
        <w:t>, my gratitude. And to all the essential workers, thank you.</w:t>
      </w:r>
    </w:p>
    <w:p w14:paraId="6F015A97" w14:textId="21FD4F77" w:rsidR="004F77CF" w:rsidRDefault="004F77CF" w:rsidP="00BE37E2">
      <w:pPr>
        <w:jc w:val="both"/>
        <w:rPr>
          <w:rFonts w:ascii="Times New Roman" w:hAnsi="Times New Roman" w:cs="Times New Roman"/>
          <w:b/>
          <w:bCs/>
          <w:sz w:val="24"/>
          <w:szCs w:val="24"/>
        </w:rPr>
      </w:pPr>
    </w:p>
    <w:p w14:paraId="0DDE3E68" w14:textId="220CDBC6" w:rsidR="004F77CF" w:rsidRDefault="004F77CF" w:rsidP="00BE37E2">
      <w:pPr>
        <w:jc w:val="both"/>
        <w:rPr>
          <w:rFonts w:ascii="Times New Roman" w:hAnsi="Times New Roman" w:cs="Times New Roman"/>
          <w:b/>
          <w:bCs/>
          <w:sz w:val="24"/>
          <w:szCs w:val="24"/>
        </w:rPr>
      </w:pPr>
    </w:p>
    <w:p w14:paraId="6257F30D" w14:textId="6314156F" w:rsidR="004F77CF" w:rsidRDefault="004F77CF" w:rsidP="00BE37E2">
      <w:pPr>
        <w:jc w:val="both"/>
        <w:rPr>
          <w:rFonts w:ascii="Times New Roman" w:hAnsi="Times New Roman" w:cs="Times New Roman"/>
          <w:b/>
          <w:bCs/>
          <w:sz w:val="24"/>
          <w:szCs w:val="24"/>
        </w:rPr>
      </w:pPr>
    </w:p>
    <w:p w14:paraId="148729C1" w14:textId="20599035" w:rsidR="004F77CF" w:rsidRDefault="004F77CF" w:rsidP="00BE37E2">
      <w:pPr>
        <w:jc w:val="both"/>
        <w:rPr>
          <w:rFonts w:ascii="Times New Roman" w:hAnsi="Times New Roman" w:cs="Times New Roman"/>
          <w:b/>
          <w:bCs/>
          <w:sz w:val="24"/>
          <w:szCs w:val="24"/>
        </w:rPr>
      </w:pPr>
    </w:p>
    <w:p w14:paraId="26FDF27C" w14:textId="774C3F7B" w:rsidR="004F77CF" w:rsidRDefault="004F77CF" w:rsidP="00BE37E2">
      <w:pPr>
        <w:jc w:val="both"/>
        <w:rPr>
          <w:rFonts w:ascii="Times New Roman" w:hAnsi="Times New Roman" w:cs="Times New Roman"/>
          <w:b/>
          <w:bCs/>
          <w:sz w:val="24"/>
          <w:szCs w:val="24"/>
        </w:rPr>
      </w:pPr>
    </w:p>
    <w:p w14:paraId="432C59FA" w14:textId="1784B53F" w:rsidR="004F77CF" w:rsidRDefault="004F77CF" w:rsidP="00BE37E2">
      <w:pPr>
        <w:jc w:val="both"/>
        <w:rPr>
          <w:rFonts w:ascii="Times New Roman" w:hAnsi="Times New Roman" w:cs="Times New Roman"/>
          <w:b/>
          <w:bCs/>
          <w:sz w:val="24"/>
          <w:szCs w:val="24"/>
        </w:rPr>
      </w:pPr>
    </w:p>
    <w:p w14:paraId="5929FB2A" w14:textId="3A956CD3" w:rsidR="004F77CF" w:rsidRDefault="004F77CF" w:rsidP="00BE37E2">
      <w:pPr>
        <w:jc w:val="both"/>
        <w:rPr>
          <w:rFonts w:ascii="Times New Roman" w:hAnsi="Times New Roman" w:cs="Times New Roman"/>
          <w:b/>
          <w:bCs/>
          <w:sz w:val="24"/>
          <w:szCs w:val="24"/>
        </w:rPr>
      </w:pPr>
    </w:p>
    <w:p w14:paraId="117CAA14" w14:textId="7695896B" w:rsidR="004F77CF" w:rsidRDefault="004F77CF" w:rsidP="00BE37E2">
      <w:pPr>
        <w:jc w:val="both"/>
        <w:rPr>
          <w:rFonts w:ascii="Times New Roman" w:hAnsi="Times New Roman" w:cs="Times New Roman"/>
          <w:b/>
          <w:bCs/>
          <w:sz w:val="24"/>
          <w:szCs w:val="24"/>
        </w:rPr>
      </w:pPr>
    </w:p>
    <w:p w14:paraId="61C5CB00" w14:textId="7C09A606" w:rsidR="004F77CF" w:rsidRDefault="004F77CF" w:rsidP="00BE37E2">
      <w:pPr>
        <w:jc w:val="both"/>
        <w:rPr>
          <w:rFonts w:ascii="Times New Roman" w:hAnsi="Times New Roman" w:cs="Times New Roman"/>
          <w:b/>
          <w:bCs/>
          <w:sz w:val="24"/>
          <w:szCs w:val="24"/>
        </w:rPr>
      </w:pPr>
    </w:p>
    <w:p w14:paraId="19332B05" w14:textId="5B061596" w:rsidR="004F77CF" w:rsidRDefault="004F77CF" w:rsidP="00BE37E2">
      <w:pPr>
        <w:jc w:val="both"/>
        <w:rPr>
          <w:rFonts w:ascii="Times New Roman" w:hAnsi="Times New Roman" w:cs="Times New Roman"/>
          <w:b/>
          <w:bCs/>
          <w:sz w:val="24"/>
          <w:szCs w:val="24"/>
        </w:rPr>
      </w:pPr>
    </w:p>
    <w:p w14:paraId="1377133B" w14:textId="5A297BF3" w:rsidR="004F77CF" w:rsidRDefault="004F77CF" w:rsidP="00BE37E2">
      <w:pPr>
        <w:jc w:val="both"/>
        <w:rPr>
          <w:rFonts w:ascii="Times New Roman" w:hAnsi="Times New Roman" w:cs="Times New Roman"/>
          <w:b/>
          <w:bCs/>
          <w:sz w:val="24"/>
          <w:szCs w:val="24"/>
        </w:rPr>
      </w:pPr>
    </w:p>
    <w:p w14:paraId="526A576A" w14:textId="54A8632F" w:rsidR="004F77CF" w:rsidRDefault="004F77CF" w:rsidP="00BE37E2">
      <w:pPr>
        <w:jc w:val="both"/>
        <w:rPr>
          <w:rFonts w:ascii="Times New Roman" w:hAnsi="Times New Roman" w:cs="Times New Roman"/>
          <w:b/>
          <w:bCs/>
          <w:sz w:val="24"/>
          <w:szCs w:val="24"/>
        </w:rPr>
      </w:pPr>
    </w:p>
    <w:p w14:paraId="03F5799F" w14:textId="77777777" w:rsidR="004F77CF" w:rsidRDefault="004F77CF" w:rsidP="00BE37E2">
      <w:pPr>
        <w:jc w:val="both"/>
        <w:rPr>
          <w:rFonts w:ascii="Times New Roman" w:hAnsi="Times New Roman" w:cs="Times New Roman"/>
          <w:b/>
          <w:bCs/>
          <w:sz w:val="24"/>
          <w:szCs w:val="24"/>
        </w:rPr>
      </w:pPr>
    </w:p>
    <w:p w14:paraId="0F763B64" w14:textId="1DE69718" w:rsidR="00225FB1" w:rsidRDefault="00225FB1" w:rsidP="00BE37E2">
      <w:pPr>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p>
    <w:p w14:paraId="5199C14A" w14:textId="77777777" w:rsidR="00225FB1" w:rsidRPr="00225FB1" w:rsidRDefault="00225FB1" w:rsidP="00BE37E2">
      <w:pPr>
        <w:jc w:val="both"/>
        <w:rPr>
          <w:rFonts w:ascii="Times New Roman" w:hAnsi="Times New Roman" w:cs="Times New Roman"/>
          <w:b/>
          <w:bCs/>
          <w:sz w:val="24"/>
          <w:szCs w:val="24"/>
        </w:rPr>
      </w:pPr>
      <w:r w:rsidRPr="00225FB1">
        <w:rPr>
          <w:rFonts w:ascii="Times New Roman" w:hAnsi="Times New Roman" w:cs="Times New Roman"/>
          <w:b/>
          <w:bCs/>
          <w:sz w:val="24"/>
          <w:szCs w:val="24"/>
        </w:rPr>
        <w:t>Abstract</w:t>
      </w:r>
    </w:p>
    <w:p w14:paraId="12991AB0" w14:textId="77777777" w:rsidR="00225FB1" w:rsidRPr="00225FB1" w:rsidRDefault="00225FB1" w:rsidP="00BE37E2">
      <w:pPr>
        <w:jc w:val="both"/>
        <w:rPr>
          <w:rFonts w:ascii="Times New Roman" w:hAnsi="Times New Roman" w:cs="Times New Roman"/>
          <w:sz w:val="24"/>
          <w:szCs w:val="24"/>
        </w:rPr>
      </w:pPr>
      <w:r w:rsidRPr="00225FB1">
        <w:rPr>
          <w:rFonts w:ascii="Times New Roman" w:hAnsi="Times New Roman" w:cs="Times New Roman"/>
          <w:sz w:val="24"/>
          <w:szCs w:val="24"/>
        </w:rPr>
        <w:t xml:space="preserve">Emerging data from the COVID-19 pandemic has revealed a preponderance of male susceptibility to being infected and experiencing poorer health outcomes, this was particularly notable for certain groups of men. In this paper, I examine the effect of COVID 19 pandemic on male migrant workers employed in farms and meat packing plants in Canada. I draw upon the intersection of migration, social determinant of health and masculinity theory. Using an extended literature review method, I reviewed how these theories explain the reason for the breakdown of migrant’s health post migration. The study reveal that male migrants were worse hit by the effects of the pandemic compared to non-immigrants and female migrants. I demonstrate how the pandemic enables a specific lens on issues of healthcare access and utilization, systemic racialization treatment of migrants in Canada. Indeed, there are multiple layers embedded in migrant’s health deterioration that made them vulnerable to COVID 19 pandemic. Additionally, the paper shows how the health deterioration, migration status and systemic racism contributed to migrants’ vulnerability to the pandemic.  </w:t>
      </w:r>
    </w:p>
    <w:p w14:paraId="16A18D82" w14:textId="77777777" w:rsidR="00225FB1" w:rsidRPr="00225FB1" w:rsidRDefault="00225FB1" w:rsidP="00BE37E2">
      <w:pPr>
        <w:jc w:val="both"/>
        <w:rPr>
          <w:rFonts w:ascii="Times New Roman" w:hAnsi="Times New Roman" w:cs="Times New Roman"/>
          <w:b/>
          <w:bCs/>
          <w:sz w:val="24"/>
          <w:szCs w:val="24"/>
        </w:rPr>
      </w:pPr>
      <w:r w:rsidRPr="00225FB1">
        <w:rPr>
          <w:rFonts w:ascii="Times New Roman" w:hAnsi="Times New Roman" w:cs="Times New Roman"/>
          <w:b/>
          <w:bCs/>
          <w:sz w:val="24"/>
          <w:szCs w:val="24"/>
        </w:rPr>
        <w:t xml:space="preserve">Keywords   </w:t>
      </w:r>
    </w:p>
    <w:p w14:paraId="4E6A1860" w14:textId="45867549" w:rsidR="00D542A1" w:rsidRPr="00D542A1" w:rsidRDefault="00225FB1" w:rsidP="00BE37E2">
      <w:pPr>
        <w:jc w:val="both"/>
        <w:rPr>
          <w:sz w:val="24"/>
          <w:szCs w:val="24"/>
        </w:rPr>
      </w:pPr>
      <w:r w:rsidRPr="00225FB1">
        <w:rPr>
          <w:rFonts w:ascii="Times New Roman" w:hAnsi="Times New Roman" w:cs="Times New Roman"/>
          <w:sz w:val="24"/>
          <w:szCs w:val="24"/>
        </w:rPr>
        <w:t>Migrant workers. Canada.  COVID 19 Pandemic. Social determinant of health. Masculinity.</w:t>
      </w:r>
      <w:r w:rsidR="00D542A1" w:rsidRPr="00D542A1">
        <w:rPr>
          <w:rFonts w:ascii="Times New Roman" w:hAnsi="Times New Roman" w:cs="Times New Roman"/>
          <w:b/>
          <w:bCs/>
          <w:sz w:val="24"/>
          <w:szCs w:val="24"/>
        </w:rPr>
        <w:br w:type="page"/>
      </w:r>
    </w:p>
    <w:p w14:paraId="5736087E" w14:textId="77777777" w:rsidR="00D542A1" w:rsidRPr="00D542A1" w:rsidRDefault="00D542A1" w:rsidP="00BE37E2">
      <w:pPr>
        <w:spacing w:line="276" w:lineRule="auto"/>
        <w:jc w:val="both"/>
        <w:rPr>
          <w:rFonts w:ascii="Times New Roman" w:hAnsi="Times New Roman" w:cs="Times New Roman"/>
          <w:b/>
          <w:bCs/>
          <w:sz w:val="24"/>
          <w:szCs w:val="24"/>
        </w:rPr>
      </w:pPr>
    </w:p>
    <w:sdt>
      <w:sdtPr>
        <w:rPr>
          <w:rFonts w:ascii="Times New Roman" w:hAnsi="Times New Roman" w:cs="Times New Roman"/>
          <w:sz w:val="24"/>
          <w:szCs w:val="24"/>
        </w:rPr>
        <w:id w:val="-582761620"/>
        <w:docPartObj>
          <w:docPartGallery w:val="Table of Contents"/>
          <w:docPartUnique/>
        </w:docPartObj>
      </w:sdtPr>
      <w:sdtEndPr>
        <w:rPr>
          <w:b/>
          <w:bCs/>
          <w:noProof/>
        </w:rPr>
      </w:sdtEndPr>
      <w:sdtContent>
        <w:p w14:paraId="4EF0C002" w14:textId="77777777" w:rsidR="00D542A1" w:rsidRPr="00D542A1" w:rsidRDefault="00D542A1" w:rsidP="00BE37E2">
          <w:pPr>
            <w:jc w:val="both"/>
            <w:rPr>
              <w:rFonts w:ascii="Times New Roman" w:eastAsiaTheme="majorEastAsia" w:hAnsi="Times New Roman" w:cs="Times New Roman"/>
              <w:color w:val="2F5496" w:themeColor="accent1" w:themeShade="BF"/>
              <w:sz w:val="24"/>
              <w:szCs w:val="24"/>
              <w:lang w:val="en-US"/>
            </w:rPr>
          </w:pPr>
          <w:r w:rsidRPr="00D542A1">
            <w:rPr>
              <w:rFonts w:ascii="Times New Roman" w:eastAsiaTheme="majorEastAsia" w:hAnsi="Times New Roman" w:cs="Times New Roman"/>
              <w:color w:val="2F5496" w:themeColor="accent1" w:themeShade="BF"/>
              <w:sz w:val="24"/>
              <w:szCs w:val="24"/>
              <w:lang w:val="en-US"/>
            </w:rPr>
            <w:t>Table of Contents</w:t>
          </w:r>
        </w:p>
        <w:p w14:paraId="4D2039E2" w14:textId="14C760F3" w:rsidR="00C270AB" w:rsidRDefault="00D542A1">
          <w:pPr>
            <w:pStyle w:val="TOC1"/>
            <w:tabs>
              <w:tab w:val="right" w:leader="dot" w:pos="9350"/>
            </w:tabs>
            <w:rPr>
              <w:rFonts w:eastAsiaTheme="minorEastAsia"/>
              <w:noProof/>
              <w:lang w:eastAsia="en-CA"/>
            </w:rPr>
          </w:pP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TOC \o "1-3" \h \z \u </w:instrText>
          </w:r>
          <w:r w:rsidRPr="00D542A1">
            <w:rPr>
              <w:rFonts w:ascii="Times New Roman" w:hAnsi="Times New Roman" w:cs="Times New Roman"/>
              <w:sz w:val="24"/>
              <w:szCs w:val="24"/>
            </w:rPr>
            <w:fldChar w:fldCharType="separate"/>
          </w:r>
          <w:hyperlink w:anchor="_Toc72494751" w:history="1">
            <w:r w:rsidR="00C270AB" w:rsidRPr="000A7259">
              <w:rPr>
                <w:rStyle w:val="Hyperlink"/>
                <w:rFonts w:ascii="Times New Roman" w:eastAsiaTheme="majorEastAsia" w:hAnsi="Times New Roman" w:cs="Times New Roman"/>
                <w:noProof/>
                <w:lang w:val="en-US"/>
              </w:rPr>
              <w:t>Introduction</w:t>
            </w:r>
            <w:r w:rsidR="00C270AB">
              <w:rPr>
                <w:noProof/>
                <w:webHidden/>
              </w:rPr>
              <w:tab/>
            </w:r>
            <w:r w:rsidR="00C270AB">
              <w:rPr>
                <w:noProof/>
                <w:webHidden/>
              </w:rPr>
              <w:fldChar w:fldCharType="begin"/>
            </w:r>
            <w:r w:rsidR="00C270AB">
              <w:rPr>
                <w:noProof/>
                <w:webHidden/>
              </w:rPr>
              <w:instrText xml:space="preserve"> PAGEREF _Toc72494751 \h </w:instrText>
            </w:r>
            <w:r w:rsidR="00C270AB">
              <w:rPr>
                <w:noProof/>
                <w:webHidden/>
              </w:rPr>
            </w:r>
            <w:r w:rsidR="00C270AB">
              <w:rPr>
                <w:noProof/>
                <w:webHidden/>
              </w:rPr>
              <w:fldChar w:fldCharType="separate"/>
            </w:r>
            <w:r w:rsidR="00C270AB">
              <w:rPr>
                <w:noProof/>
                <w:webHidden/>
              </w:rPr>
              <w:t>6</w:t>
            </w:r>
            <w:r w:rsidR="00C270AB">
              <w:rPr>
                <w:noProof/>
                <w:webHidden/>
              </w:rPr>
              <w:fldChar w:fldCharType="end"/>
            </w:r>
          </w:hyperlink>
        </w:p>
        <w:p w14:paraId="6859721C" w14:textId="69EA5913" w:rsidR="00C270AB" w:rsidRDefault="00E67C9A">
          <w:pPr>
            <w:pStyle w:val="TOC1"/>
            <w:tabs>
              <w:tab w:val="right" w:leader="dot" w:pos="9350"/>
            </w:tabs>
            <w:rPr>
              <w:rFonts w:eastAsiaTheme="minorEastAsia"/>
              <w:noProof/>
              <w:lang w:eastAsia="en-CA"/>
            </w:rPr>
          </w:pPr>
          <w:hyperlink w:anchor="_Toc72494752" w:history="1">
            <w:r w:rsidR="00C270AB" w:rsidRPr="000A7259">
              <w:rPr>
                <w:rStyle w:val="Hyperlink"/>
                <w:rFonts w:ascii="Times New Roman" w:eastAsiaTheme="majorEastAsia" w:hAnsi="Times New Roman" w:cs="Times New Roman"/>
                <w:noProof/>
                <w:lang w:val="en-US"/>
              </w:rPr>
              <w:t>Background</w:t>
            </w:r>
            <w:r w:rsidR="00C270AB">
              <w:rPr>
                <w:noProof/>
                <w:webHidden/>
              </w:rPr>
              <w:tab/>
            </w:r>
            <w:r w:rsidR="00C270AB">
              <w:rPr>
                <w:noProof/>
                <w:webHidden/>
              </w:rPr>
              <w:fldChar w:fldCharType="begin"/>
            </w:r>
            <w:r w:rsidR="00C270AB">
              <w:rPr>
                <w:noProof/>
                <w:webHidden/>
              </w:rPr>
              <w:instrText xml:space="preserve"> PAGEREF _Toc72494752 \h </w:instrText>
            </w:r>
            <w:r w:rsidR="00C270AB">
              <w:rPr>
                <w:noProof/>
                <w:webHidden/>
              </w:rPr>
            </w:r>
            <w:r w:rsidR="00C270AB">
              <w:rPr>
                <w:noProof/>
                <w:webHidden/>
              </w:rPr>
              <w:fldChar w:fldCharType="separate"/>
            </w:r>
            <w:r w:rsidR="00C270AB">
              <w:rPr>
                <w:noProof/>
                <w:webHidden/>
              </w:rPr>
              <w:t>7</w:t>
            </w:r>
            <w:r w:rsidR="00C270AB">
              <w:rPr>
                <w:noProof/>
                <w:webHidden/>
              </w:rPr>
              <w:fldChar w:fldCharType="end"/>
            </w:r>
          </w:hyperlink>
        </w:p>
        <w:p w14:paraId="4A7B824C" w14:textId="5B732DDD" w:rsidR="00C270AB" w:rsidRDefault="00E67C9A">
          <w:pPr>
            <w:pStyle w:val="TOC1"/>
            <w:tabs>
              <w:tab w:val="right" w:leader="dot" w:pos="9350"/>
            </w:tabs>
            <w:rPr>
              <w:rFonts w:eastAsiaTheme="minorEastAsia"/>
              <w:noProof/>
              <w:lang w:eastAsia="en-CA"/>
            </w:rPr>
          </w:pPr>
          <w:hyperlink w:anchor="_Toc72494753" w:history="1">
            <w:r w:rsidR="00C270AB" w:rsidRPr="000A7259">
              <w:rPr>
                <w:rStyle w:val="Hyperlink"/>
                <w:rFonts w:ascii="Times New Roman" w:eastAsiaTheme="majorEastAsia" w:hAnsi="Times New Roman" w:cs="Times New Roman"/>
                <w:noProof/>
                <w:lang w:val="en-US"/>
              </w:rPr>
              <w:t>The Pandemic Context</w:t>
            </w:r>
            <w:r w:rsidR="00C270AB">
              <w:rPr>
                <w:noProof/>
                <w:webHidden/>
              </w:rPr>
              <w:tab/>
            </w:r>
            <w:r w:rsidR="00C270AB">
              <w:rPr>
                <w:noProof/>
                <w:webHidden/>
              </w:rPr>
              <w:fldChar w:fldCharType="begin"/>
            </w:r>
            <w:r w:rsidR="00C270AB">
              <w:rPr>
                <w:noProof/>
                <w:webHidden/>
              </w:rPr>
              <w:instrText xml:space="preserve"> PAGEREF _Toc72494753 \h </w:instrText>
            </w:r>
            <w:r w:rsidR="00C270AB">
              <w:rPr>
                <w:noProof/>
                <w:webHidden/>
              </w:rPr>
            </w:r>
            <w:r w:rsidR="00C270AB">
              <w:rPr>
                <w:noProof/>
                <w:webHidden/>
              </w:rPr>
              <w:fldChar w:fldCharType="separate"/>
            </w:r>
            <w:r w:rsidR="00C270AB">
              <w:rPr>
                <w:noProof/>
                <w:webHidden/>
              </w:rPr>
              <w:t>7</w:t>
            </w:r>
            <w:r w:rsidR="00C270AB">
              <w:rPr>
                <w:noProof/>
                <w:webHidden/>
              </w:rPr>
              <w:fldChar w:fldCharType="end"/>
            </w:r>
          </w:hyperlink>
        </w:p>
        <w:p w14:paraId="7F428D8C" w14:textId="35AC50C4" w:rsidR="00C270AB" w:rsidRDefault="00E67C9A">
          <w:pPr>
            <w:pStyle w:val="TOC2"/>
            <w:tabs>
              <w:tab w:val="right" w:leader="dot" w:pos="9350"/>
            </w:tabs>
            <w:rPr>
              <w:rFonts w:eastAsiaTheme="minorEastAsia"/>
              <w:noProof/>
              <w:lang w:eastAsia="en-CA"/>
            </w:rPr>
          </w:pPr>
          <w:hyperlink w:anchor="_Toc72494754" w:history="1">
            <w:r w:rsidR="00C270AB" w:rsidRPr="000A7259">
              <w:rPr>
                <w:rStyle w:val="Hyperlink"/>
                <w:rFonts w:ascii="Times New Roman" w:eastAsiaTheme="majorEastAsia" w:hAnsi="Times New Roman" w:cs="Times New Roman"/>
                <w:noProof/>
              </w:rPr>
              <w:t>Seasonal Agricultural Workers Program (SAWP)</w:t>
            </w:r>
            <w:r w:rsidR="00C270AB">
              <w:rPr>
                <w:noProof/>
                <w:webHidden/>
              </w:rPr>
              <w:tab/>
            </w:r>
            <w:r w:rsidR="00C270AB">
              <w:rPr>
                <w:noProof/>
                <w:webHidden/>
              </w:rPr>
              <w:fldChar w:fldCharType="begin"/>
            </w:r>
            <w:r w:rsidR="00C270AB">
              <w:rPr>
                <w:noProof/>
                <w:webHidden/>
              </w:rPr>
              <w:instrText xml:space="preserve"> PAGEREF _Toc72494754 \h </w:instrText>
            </w:r>
            <w:r w:rsidR="00C270AB">
              <w:rPr>
                <w:noProof/>
                <w:webHidden/>
              </w:rPr>
            </w:r>
            <w:r w:rsidR="00C270AB">
              <w:rPr>
                <w:noProof/>
                <w:webHidden/>
              </w:rPr>
              <w:fldChar w:fldCharType="separate"/>
            </w:r>
            <w:r w:rsidR="00C270AB">
              <w:rPr>
                <w:noProof/>
                <w:webHidden/>
              </w:rPr>
              <w:t>8</w:t>
            </w:r>
            <w:r w:rsidR="00C270AB">
              <w:rPr>
                <w:noProof/>
                <w:webHidden/>
              </w:rPr>
              <w:fldChar w:fldCharType="end"/>
            </w:r>
          </w:hyperlink>
        </w:p>
        <w:p w14:paraId="373D424D" w14:textId="45872716" w:rsidR="00C270AB" w:rsidRDefault="00E67C9A">
          <w:pPr>
            <w:pStyle w:val="TOC2"/>
            <w:tabs>
              <w:tab w:val="right" w:leader="dot" w:pos="9350"/>
            </w:tabs>
            <w:rPr>
              <w:rFonts w:eastAsiaTheme="minorEastAsia"/>
              <w:noProof/>
              <w:lang w:eastAsia="en-CA"/>
            </w:rPr>
          </w:pPr>
          <w:hyperlink w:anchor="_Toc72494755" w:history="1">
            <w:r w:rsidR="00C270AB" w:rsidRPr="000A7259">
              <w:rPr>
                <w:rStyle w:val="Hyperlink"/>
                <w:rFonts w:ascii="Times New Roman" w:eastAsiaTheme="majorEastAsia" w:hAnsi="Times New Roman" w:cs="Times New Roman"/>
                <w:noProof/>
              </w:rPr>
              <w:t>Temporary Foreign Workers Program</w:t>
            </w:r>
            <w:r w:rsidR="00C270AB">
              <w:rPr>
                <w:noProof/>
                <w:webHidden/>
              </w:rPr>
              <w:tab/>
            </w:r>
            <w:r w:rsidR="00C270AB">
              <w:rPr>
                <w:noProof/>
                <w:webHidden/>
              </w:rPr>
              <w:fldChar w:fldCharType="begin"/>
            </w:r>
            <w:r w:rsidR="00C270AB">
              <w:rPr>
                <w:noProof/>
                <w:webHidden/>
              </w:rPr>
              <w:instrText xml:space="preserve"> PAGEREF _Toc72494755 \h </w:instrText>
            </w:r>
            <w:r w:rsidR="00C270AB">
              <w:rPr>
                <w:noProof/>
                <w:webHidden/>
              </w:rPr>
            </w:r>
            <w:r w:rsidR="00C270AB">
              <w:rPr>
                <w:noProof/>
                <w:webHidden/>
              </w:rPr>
              <w:fldChar w:fldCharType="separate"/>
            </w:r>
            <w:r w:rsidR="00C270AB">
              <w:rPr>
                <w:noProof/>
                <w:webHidden/>
              </w:rPr>
              <w:t>9</w:t>
            </w:r>
            <w:r w:rsidR="00C270AB">
              <w:rPr>
                <w:noProof/>
                <w:webHidden/>
              </w:rPr>
              <w:fldChar w:fldCharType="end"/>
            </w:r>
          </w:hyperlink>
        </w:p>
        <w:p w14:paraId="442542FD" w14:textId="4EB87E4F" w:rsidR="00C270AB" w:rsidRDefault="00E67C9A">
          <w:pPr>
            <w:pStyle w:val="TOC1"/>
            <w:tabs>
              <w:tab w:val="right" w:leader="dot" w:pos="9350"/>
            </w:tabs>
            <w:rPr>
              <w:rFonts w:eastAsiaTheme="minorEastAsia"/>
              <w:noProof/>
              <w:lang w:eastAsia="en-CA"/>
            </w:rPr>
          </w:pPr>
          <w:hyperlink w:anchor="_Toc72494756" w:history="1">
            <w:r w:rsidR="00C270AB" w:rsidRPr="000A7259">
              <w:rPr>
                <w:rStyle w:val="Hyperlink"/>
                <w:rFonts w:ascii="Times New Roman" w:eastAsiaTheme="majorEastAsia" w:hAnsi="Times New Roman" w:cs="Times New Roman"/>
                <w:noProof/>
                <w:lang w:val="en-US"/>
              </w:rPr>
              <w:t>Migrants – The cornerstone of Agricultural sectors in Canada</w:t>
            </w:r>
            <w:r w:rsidR="00C270AB">
              <w:rPr>
                <w:noProof/>
                <w:webHidden/>
              </w:rPr>
              <w:tab/>
            </w:r>
            <w:r w:rsidR="00C270AB">
              <w:rPr>
                <w:noProof/>
                <w:webHidden/>
              </w:rPr>
              <w:fldChar w:fldCharType="begin"/>
            </w:r>
            <w:r w:rsidR="00C270AB">
              <w:rPr>
                <w:noProof/>
                <w:webHidden/>
              </w:rPr>
              <w:instrText xml:space="preserve"> PAGEREF _Toc72494756 \h </w:instrText>
            </w:r>
            <w:r w:rsidR="00C270AB">
              <w:rPr>
                <w:noProof/>
                <w:webHidden/>
              </w:rPr>
            </w:r>
            <w:r w:rsidR="00C270AB">
              <w:rPr>
                <w:noProof/>
                <w:webHidden/>
              </w:rPr>
              <w:fldChar w:fldCharType="separate"/>
            </w:r>
            <w:r w:rsidR="00C270AB">
              <w:rPr>
                <w:noProof/>
                <w:webHidden/>
              </w:rPr>
              <w:t>10</w:t>
            </w:r>
            <w:r w:rsidR="00C270AB">
              <w:rPr>
                <w:noProof/>
                <w:webHidden/>
              </w:rPr>
              <w:fldChar w:fldCharType="end"/>
            </w:r>
          </w:hyperlink>
        </w:p>
        <w:p w14:paraId="6487B488" w14:textId="219EEEE1" w:rsidR="00C270AB" w:rsidRDefault="00E67C9A">
          <w:pPr>
            <w:pStyle w:val="TOC1"/>
            <w:tabs>
              <w:tab w:val="right" w:leader="dot" w:pos="9350"/>
            </w:tabs>
            <w:rPr>
              <w:rFonts w:eastAsiaTheme="minorEastAsia"/>
              <w:noProof/>
              <w:lang w:eastAsia="en-CA"/>
            </w:rPr>
          </w:pPr>
          <w:hyperlink w:anchor="_Toc72494757" w:history="1">
            <w:r w:rsidR="00C270AB" w:rsidRPr="000A7259">
              <w:rPr>
                <w:rStyle w:val="Hyperlink"/>
                <w:rFonts w:ascii="Times New Roman" w:eastAsiaTheme="majorEastAsia" w:hAnsi="Times New Roman" w:cs="Times New Roman"/>
                <w:noProof/>
                <w:lang w:val="en-US"/>
              </w:rPr>
              <w:t>Literature Review</w:t>
            </w:r>
            <w:r w:rsidR="00C270AB">
              <w:rPr>
                <w:noProof/>
                <w:webHidden/>
              </w:rPr>
              <w:tab/>
            </w:r>
            <w:r w:rsidR="00C270AB">
              <w:rPr>
                <w:noProof/>
                <w:webHidden/>
              </w:rPr>
              <w:fldChar w:fldCharType="begin"/>
            </w:r>
            <w:r w:rsidR="00C270AB">
              <w:rPr>
                <w:noProof/>
                <w:webHidden/>
              </w:rPr>
              <w:instrText xml:space="preserve"> PAGEREF _Toc72494757 \h </w:instrText>
            </w:r>
            <w:r w:rsidR="00C270AB">
              <w:rPr>
                <w:noProof/>
                <w:webHidden/>
              </w:rPr>
            </w:r>
            <w:r w:rsidR="00C270AB">
              <w:rPr>
                <w:noProof/>
                <w:webHidden/>
              </w:rPr>
              <w:fldChar w:fldCharType="separate"/>
            </w:r>
            <w:r w:rsidR="00C270AB">
              <w:rPr>
                <w:noProof/>
                <w:webHidden/>
              </w:rPr>
              <w:t>13</w:t>
            </w:r>
            <w:r w:rsidR="00C270AB">
              <w:rPr>
                <w:noProof/>
                <w:webHidden/>
              </w:rPr>
              <w:fldChar w:fldCharType="end"/>
            </w:r>
          </w:hyperlink>
        </w:p>
        <w:p w14:paraId="4525B054" w14:textId="2D4A0188" w:rsidR="00C270AB" w:rsidRDefault="00E67C9A">
          <w:pPr>
            <w:pStyle w:val="TOC2"/>
            <w:tabs>
              <w:tab w:val="right" w:leader="dot" w:pos="9350"/>
            </w:tabs>
            <w:rPr>
              <w:rFonts w:eastAsiaTheme="minorEastAsia"/>
              <w:noProof/>
              <w:lang w:eastAsia="en-CA"/>
            </w:rPr>
          </w:pPr>
          <w:hyperlink w:anchor="_Toc72494758" w:history="1">
            <w:r w:rsidR="00C270AB" w:rsidRPr="000A7259">
              <w:rPr>
                <w:rStyle w:val="Hyperlink"/>
                <w:rFonts w:ascii="Times New Roman" w:eastAsiaTheme="majorEastAsia" w:hAnsi="Times New Roman" w:cs="Times New Roman"/>
                <w:noProof/>
              </w:rPr>
              <w:t>Healthy Immigrant Effect (HIE)</w:t>
            </w:r>
            <w:r w:rsidR="00C270AB">
              <w:rPr>
                <w:noProof/>
                <w:webHidden/>
              </w:rPr>
              <w:tab/>
            </w:r>
            <w:r w:rsidR="00C270AB">
              <w:rPr>
                <w:noProof/>
                <w:webHidden/>
              </w:rPr>
              <w:fldChar w:fldCharType="begin"/>
            </w:r>
            <w:r w:rsidR="00C270AB">
              <w:rPr>
                <w:noProof/>
                <w:webHidden/>
              </w:rPr>
              <w:instrText xml:space="preserve"> PAGEREF _Toc72494758 \h </w:instrText>
            </w:r>
            <w:r w:rsidR="00C270AB">
              <w:rPr>
                <w:noProof/>
                <w:webHidden/>
              </w:rPr>
            </w:r>
            <w:r w:rsidR="00C270AB">
              <w:rPr>
                <w:noProof/>
                <w:webHidden/>
              </w:rPr>
              <w:fldChar w:fldCharType="separate"/>
            </w:r>
            <w:r w:rsidR="00C270AB">
              <w:rPr>
                <w:noProof/>
                <w:webHidden/>
              </w:rPr>
              <w:t>13</w:t>
            </w:r>
            <w:r w:rsidR="00C270AB">
              <w:rPr>
                <w:noProof/>
                <w:webHidden/>
              </w:rPr>
              <w:fldChar w:fldCharType="end"/>
            </w:r>
          </w:hyperlink>
        </w:p>
        <w:p w14:paraId="51EA6812" w14:textId="54528B1D" w:rsidR="00C270AB" w:rsidRDefault="00E67C9A">
          <w:pPr>
            <w:pStyle w:val="TOC2"/>
            <w:tabs>
              <w:tab w:val="right" w:leader="dot" w:pos="9350"/>
            </w:tabs>
            <w:rPr>
              <w:rFonts w:eastAsiaTheme="minorEastAsia"/>
              <w:noProof/>
              <w:lang w:eastAsia="en-CA"/>
            </w:rPr>
          </w:pPr>
          <w:hyperlink w:anchor="_Toc72494759" w:history="1">
            <w:r w:rsidR="00C270AB" w:rsidRPr="000A7259">
              <w:rPr>
                <w:rStyle w:val="Hyperlink"/>
                <w:rFonts w:ascii="Times New Roman" w:eastAsiaTheme="majorEastAsia" w:hAnsi="Times New Roman" w:cs="Times New Roman"/>
                <w:noProof/>
              </w:rPr>
              <w:t>Social Determinants of Health (SDH)</w:t>
            </w:r>
            <w:r w:rsidR="00C270AB">
              <w:rPr>
                <w:noProof/>
                <w:webHidden/>
              </w:rPr>
              <w:tab/>
            </w:r>
            <w:r w:rsidR="00C270AB">
              <w:rPr>
                <w:noProof/>
                <w:webHidden/>
              </w:rPr>
              <w:fldChar w:fldCharType="begin"/>
            </w:r>
            <w:r w:rsidR="00C270AB">
              <w:rPr>
                <w:noProof/>
                <w:webHidden/>
              </w:rPr>
              <w:instrText xml:space="preserve"> PAGEREF _Toc72494759 \h </w:instrText>
            </w:r>
            <w:r w:rsidR="00C270AB">
              <w:rPr>
                <w:noProof/>
                <w:webHidden/>
              </w:rPr>
            </w:r>
            <w:r w:rsidR="00C270AB">
              <w:rPr>
                <w:noProof/>
                <w:webHidden/>
              </w:rPr>
              <w:fldChar w:fldCharType="separate"/>
            </w:r>
            <w:r w:rsidR="00C270AB">
              <w:rPr>
                <w:noProof/>
                <w:webHidden/>
              </w:rPr>
              <w:t>14</w:t>
            </w:r>
            <w:r w:rsidR="00C270AB">
              <w:rPr>
                <w:noProof/>
                <w:webHidden/>
              </w:rPr>
              <w:fldChar w:fldCharType="end"/>
            </w:r>
          </w:hyperlink>
        </w:p>
        <w:p w14:paraId="28A76769" w14:textId="56B352E0" w:rsidR="00C270AB" w:rsidRDefault="00E67C9A">
          <w:pPr>
            <w:pStyle w:val="TOC2"/>
            <w:tabs>
              <w:tab w:val="right" w:leader="dot" w:pos="9350"/>
            </w:tabs>
            <w:rPr>
              <w:rFonts w:eastAsiaTheme="minorEastAsia"/>
              <w:noProof/>
              <w:lang w:eastAsia="en-CA"/>
            </w:rPr>
          </w:pPr>
          <w:hyperlink w:anchor="_Toc72494760" w:history="1">
            <w:r w:rsidR="00C270AB" w:rsidRPr="000A7259">
              <w:rPr>
                <w:rStyle w:val="Hyperlink"/>
                <w:rFonts w:ascii="Times New Roman" w:eastAsiaTheme="majorEastAsia" w:hAnsi="Times New Roman" w:cs="Times New Roman"/>
                <w:noProof/>
              </w:rPr>
              <w:t>Gender and Health</w:t>
            </w:r>
            <w:r w:rsidR="00C270AB">
              <w:rPr>
                <w:noProof/>
                <w:webHidden/>
              </w:rPr>
              <w:tab/>
            </w:r>
            <w:r w:rsidR="00C270AB">
              <w:rPr>
                <w:noProof/>
                <w:webHidden/>
              </w:rPr>
              <w:fldChar w:fldCharType="begin"/>
            </w:r>
            <w:r w:rsidR="00C270AB">
              <w:rPr>
                <w:noProof/>
                <w:webHidden/>
              </w:rPr>
              <w:instrText xml:space="preserve"> PAGEREF _Toc72494760 \h </w:instrText>
            </w:r>
            <w:r w:rsidR="00C270AB">
              <w:rPr>
                <w:noProof/>
                <w:webHidden/>
              </w:rPr>
            </w:r>
            <w:r w:rsidR="00C270AB">
              <w:rPr>
                <w:noProof/>
                <w:webHidden/>
              </w:rPr>
              <w:fldChar w:fldCharType="separate"/>
            </w:r>
            <w:r w:rsidR="00C270AB">
              <w:rPr>
                <w:noProof/>
                <w:webHidden/>
              </w:rPr>
              <w:t>16</w:t>
            </w:r>
            <w:r w:rsidR="00C270AB">
              <w:rPr>
                <w:noProof/>
                <w:webHidden/>
              </w:rPr>
              <w:fldChar w:fldCharType="end"/>
            </w:r>
          </w:hyperlink>
        </w:p>
        <w:p w14:paraId="3936FE10" w14:textId="055CB74F" w:rsidR="00C270AB" w:rsidRDefault="00E67C9A">
          <w:pPr>
            <w:pStyle w:val="TOC2"/>
            <w:tabs>
              <w:tab w:val="right" w:leader="dot" w:pos="9350"/>
            </w:tabs>
            <w:rPr>
              <w:rFonts w:eastAsiaTheme="minorEastAsia"/>
              <w:noProof/>
              <w:lang w:eastAsia="en-CA"/>
            </w:rPr>
          </w:pPr>
          <w:hyperlink w:anchor="_Toc72494761" w:history="1">
            <w:r w:rsidR="00C270AB" w:rsidRPr="000A7259">
              <w:rPr>
                <w:rStyle w:val="Hyperlink"/>
                <w:rFonts w:ascii="Times New Roman" w:eastAsiaTheme="majorEastAsia" w:hAnsi="Times New Roman" w:cs="Times New Roman"/>
                <w:noProof/>
              </w:rPr>
              <w:t>Work and Health</w:t>
            </w:r>
            <w:r w:rsidR="00C270AB">
              <w:rPr>
                <w:noProof/>
                <w:webHidden/>
              </w:rPr>
              <w:tab/>
            </w:r>
            <w:r w:rsidR="00C270AB">
              <w:rPr>
                <w:noProof/>
                <w:webHidden/>
              </w:rPr>
              <w:fldChar w:fldCharType="begin"/>
            </w:r>
            <w:r w:rsidR="00C270AB">
              <w:rPr>
                <w:noProof/>
                <w:webHidden/>
              </w:rPr>
              <w:instrText xml:space="preserve"> PAGEREF _Toc72494761 \h </w:instrText>
            </w:r>
            <w:r w:rsidR="00C270AB">
              <w:rPr>
                <w:noProof/>
                <w:webHidden/>
              </w:rPr>
            </w:r>
            <w:r w:rsidR="00C270AB">
              <w:rPr>
                <w:noProof/>
                <w:webHidden/>
              </w:rPr>
              <w:fldChar w:fldCharType="separate"/>
            </w:r>
            <w:r w:rsidR="00C270AB">
              <w:rPr>
                <w:noProof/>
                <w:webHidden/>
              </w:rPr>
              <w:t>18</w:t>
            </w:r>
            <w:r w:rsidR="00C270AB">
              <w:rPr>
                <w:noProof/>
                <w:webHidden/>
              </w:rPr>
              <w:fldChar w:fldCharType="end"/>
            </w:r>
          </w:hyperlink>
        </w:p>
        <w:p w14:paraId="0DBD7A44" w14:textId="48FEA56B" w:rsidR="00C270AB" w:rsidRDefault="00E67C9A">
          <w:pPr>
            <w:pStyle w:val="TOC1"/>
            <w:tabs>
              <w:tab w:val="right" w:leader="dot" w:pos="9350"/>
            </w:tabs>
            <w:rPr>
              <w:rFonts w:eastAsiaTheme="minorEastAsia"/>
              <w:noProof/>
              <w:lang w:eastAsia="en-CA"/>
            </w:rPr>
          </w:pPr>
          <w:hyperlink w:anchor="_Toc72494762" w:history="1">
            <w:r w:rsidR="00C270AB" w:rsidRPr="000A7259">
              <w:rPr>
                <w:rStyle w:val="Hyperlink"/>
                <w:rFonts w:ascii="Times New Roman" w:eastAsiaTheme="majorEastAsia" w:hAnsi="Times New Roman" w:cs="Times New Roman"/>
                <w:noProof/>
                <w:lang w:val="en-US"/>
              </w:rPr>
              <w:t>Theoretical Perspectives</w:t>
            </w:r>
            <w:r w:rsidR="00C270AB">
              <w:rPr>
                <w:noProof/>
                <w:webHidden/>
              </w:rPr>
              <w:tab/>
            </w:r>
            <w:r w:rsidR="00C270AB">
              <w:rPr>
                <w:noProof/>
                <w:webHidden/>
              </w:rPr>
              <w:fldChar w:fldCharType="begin"/>
            </w:r>
            <w:r w:rsidR="00C270AB">
              <w:rPr>
                <w:noProof/>
                <w:webHidden/>
              </w:rPr>
              <w:instrText xml:space="preserve"> PAGEREF _Toc72494762 \h </w:instrText>
            </w:r>
            <w:r w:rsidR="00C270AB">
              <w:rPr>
                <w:noProof/>
                <w:webHidden/>
              </w:rPr>
            </w:r>
            <w:r w:rsidR="00C270AB">
              <w:rPr>
                <w:noProof/>
                <w:webHidden/>
              </w:rPr>
              <w:fldChar w:fldCharType="separate"/>
            </w:r>
            <w:r w:rsidR="00C270AB">
              <w:rPr>
                <w:noProof/>
                <w:webHidden/>
              </w:rPr>
              <w:t>21</w:t>
            </w:r>
            <w:r w:rsidR="00C270AB">
              <w:rPr>
                <w:noProof/>
                <w:webHidden/>
              </w:rPr>
              <w:fldChar w:fldCharType="end"/>
            </w:r>
          </w:hyperlink>
        </w:p>
        <w:p w14:paraId="39083D00" w14:textId="26E1D696" w:rsidR="00C270AB" w:rsidRDefault="00E67C9A">
          <w:pPr>
            <w:pStyle w:val="TOC2"/>
            <w:tabs>
              <w:tab w:val="right" w:leader="dot" w:pos="9350"/>
            </w:tabs>
            <w:rPr>
              <w:rFonts w:eastAsiaTheme="minorEastAsia"/>
              <w:noProof/>
              <w:lang w:eastAsia="en-CA"/>
            </w:rPr>
          </w:pPr>
          <w:hyperlink w:anchor="_Toc72494763" w:history="1">
            <w:r w:rsidR="00C270AB" w:rsidRPr="000A7259">
              <w:rPr>
                <w:rStyle w:val="Hyperlink"/>
                <w:rFonts w:ascii="Times New Roman" w:eastAsiaTheme="majorEastAsia" w:hAnsi="Times New Roman" w:cs="Times New Roman"/>
                <w:noProof/>
              </w:rPr>
              <w:t>Intersectionality</w:t>
            </w:r>
            <w:r w:rsidR="00C270AB">
              <w:rPr>
                <w:noProof/>
                <w:webHidden/>
              </w:rPr>
              <w:tab/>
            </w:r>
            <w:r w:rsidR="00C270AB">
              <w:rPr>
                <w:noProof/>
                <w:webHidden/>
              </w:rPr>
              <w:fldChar w:fldCharType="begin"/>
            </w:r>
            <w:r w:rsidR="00C270AB">
              <w:rPr>
                <w:noProof/>
                <w:webHidden/>
              </w:rPr>
              <w:instrText xml:space="preserve"> PAGEREF _Toc72494763 \h </w:instrText>
            </w:r>
            <w:r w:rsidR="00C270AB">
              <w:rPr>
                <w:noProof/>
                <w:webHidden/>
              </w:rPr>
            </w:r>
            <w:r w:rsidR="00C270AB">
              <w:rPr>
                <w:noProof/>
                <w:webHidden/>
              </w:rPr>
              <w:fldChar w:fldCharType="separate"/>
            </w:r>
            <w:r w:rsidR="00C270AB">
              <w:rPr>
                <w:noProof/>
                <w:webHidden/>
              </w:rPr>
              <w:t>21</w:t>
            </w:r>
            <w:r w:rsidR="00C270AB">
              <w:rPr>
                <w:noProof/>
                <w:webHidden/>
              </w:rPr>
              <w:fldChar w:fldCharType="end"/>
            </w:r>
          </w:hyperlink>
        </w:p>
        <w:p w14:paraId="0C18E89E" w14:textId="2051A897" w:rsidR="00C270AB" w:rsidRDefault="00E67C9A">
          <w:pPr>
            <w:pStyle w:val="TOC2"/>
            <w:tabs>
              <w:tab w:val="right" w:leader="dot" w:pos="9350"/>
            </w:tabs>
            <w:rPr>
              <w:rFonts w:eastAsiaTheme="minorEastAsia"/>
              <w:noProof/>
              <w:lang w:eastAsia="en-CA"/>
            </w:rPr>
          </w:pPr>
          <w:hyperlink w:anchor="_Toc72494764" w:history="1">
            <w:r w:rsidR="00C270AB" w:rsidRPr="000A7259">
              <w:rPr>
                <w:rStyle w:val="Hyperlink"/>
                <w:rFonts w:ascii="Times New Roman" w:eastAsiaTheme="majorEastAsia" w:hAnsi="Times New Roman" w:cs="Times New Roman"/>
                <w:noProof/>
              </w:rPr>
              <w:t>Masculinity Theory</w:t>
            </w:r>
            <w:r w:rsidR="00C270AB">
              <w:rPr>
                <w:noProof/>
                <w:webHidden/>
              </w:rPr>
              <w:tab/>
            </w:r>
            <w:r w:rsidR="00C270AB">
              <w:rPr>
                <w:noProof/>
                <w:webHidden/>
              </w:rPr>
              <w:fldChar w:fldCharType="begin"/>
            </w:r>
            <w:r w:rsidR="00C270AB">
              <w:rPr>
                <w:noProof/>
                <w:webHidden/>
              </w:rPr>
              <w:instrText xml:space="preserve"> PAGEREF _Toc72494764 \h </w:instrText>
            </w:r>
            <w:r w:rsidR="00C270AB">
              <w:rPr>
                <w:noProof/>
                <w:webHidden/>
              </w:rPr>
            </w:r>
            <w:r w:rsidR="00C270AB">
              <w:rPr>
                <w:noProof/>
                <w:webHidden/>
              </w:rPr>
              <w:fldChar w:fldCharType="separate"/>
            </w:r>
            <w:r w:rsidR="00C270AB">
              <w:rPr>
                <w:noProof/>
                <w:webHidden/>
              </w:rPr>
              <w:t>24</w:t>
            </w:r>
            <w:r w:rsidR="00C270AB">
              <w:rPr>
                <w:noProof/>
                <w:webHidden/>
              </w:rPr>
              <w:fldChar w:fldCharType="end"/>
            </w:r>
          </w:hyperlink>
        </w:p>
        <w:p w14:paraId="32A0B10B" w14:textId="3852261E" w:rsidR="00C270AB" w:rsidRDefault="00E67C9A">
          <w:pPr>
            <w:pStyle w:val="TOC1"/>
            <w:tabs>
              <w:tab w:val="right" w:leader="dot" w:pos="9350"/>
            </w:tabs>
            <w:rPr>
              <w:rFonts w:eastAsiaTheme="minorEastAsia"/>
              <w:noProof/>
              <w:lang w:eastAsia="en-CA"/>
            </w:rPr>
          </w:pPr>
          <w:hyperlink w:anchor="_Toc72494765" w:history="1">
            <w:r w:rsidR="00C270AB" w:rsidRPr="000A7259">
              <w:rPr>
                <w:rStyle w:val="Hyperlink"/>
                <w:rFonts w:ascii="Times New Roman" w:eastAsiaTheme="majorEastAsia" w:hAnsi="Times New Roman" w:cs="Times New Roman"/>
                <w:noProof/>
                <w:lang w:val="en-US"/>
              </w:rPr>
              <w:t>Case #1: The Alberta Meat Packing Plant -Cargill and JBS</w:t>
            </w:r>
            <w:r w:rsidR="00C270AB">
              <w:rPr>
                <w:noProof/>
                <w:webHidden/>
              </w:rPr>
              <w:tab/>
            </w:r>
            <w:r w:rsidR="00C270AB">
              <w:rPr>
                <w:noProof/>
                <w:webHidden/>
              </w:rPr>
              <w:fldChar w:fldCharType="begin"/>
            </w:r>
            <w:r w:rsidR="00C270AB">
              <w:rPr>
                <w:noProof/>
                <w:webHidden/>
              </w:rPr>
              <w:instrText xml:space="preserve"> PAGEREF _Toc72494765 \h </w:instrText>
            </w:r>
            <w:r w:rsidR="00C270AB">
              <w:rPr>
                <w:noProof/>
                <w:webHidden/>
              </w:rPr>
            </w:r>
            <w:r w:rsidR="00C270AB">
              <w:rPr>
                <w:noProof/>
                <w:webHidden/>
              </w:rPr>
              <w:fldChar w:fldCharType="separate"/>
            </w:r>
            <w:r w:rsidR="00C270AB">
              <w:rPr>
                <w:noProof/>
                <w:webHidden/>
              </w:rPr>
              <w:t>26</w:t>
            </w:r>
            <w:r w:rsidR="00C270AB">
              <w:rPr>
                <w:noProof/>
                <w:webHidden/>
              </w:rPr>
              <w:fldChar w:fldCharType="end"/>
            </w:r>
          </w:hyperlink>
        </w:p>
        <w:p w14:paraId="59B4BCF3" w14:textId="3C2AF14C" w:rsidR="00C270AB" w:rsidRDefault="00E67C9A">
          <w:pPr>
            <w:pStyle w:val="TOC2"/>
            <w:tabs>
              <w:tab w:val="right" w:leader="dot" w:pos="9350"/>
            </w:tabs>
            <w:rPr>
              <w:rFonts w:eastAsiaTheme="minorEastAsia"/>
              <w:noProof/>
              <w:lang w:eastAsia="en-CA"/>
            </w:rPr>
          </w:pPr>
          <w:hyperlink w:anchor="_Toc72494766" w:history="1">
            <w:r w:rsidR="00C270AB" w:rsidRPr="000A7259">
              <w:rPr>
                <w:rStyle w:val="Hyperlink"/>
                <w:rFonts w:ascii="Times New Roman" w:eastAsiaTheme="majorEastAsia" w:hAnsi="Times New Roman" w:cs="Times New Roman"/>
                <w:noProof/>
              </w:rPr>
              <w:t>The Working Condition in the Meatpacking Plant</w:t>
            </w:r>
            <w:r w:rsidR="00C270AB">
              <w:rPr>
                <w:noProof/>
                <w:webHidden/>
              </w:rPr>
              <w:tab/>
            </w:r>
            <w:r w:rsidR="00C270AB">
              <w:rPr>
                <w:noProof/>
                <w:webHidden/>
              </w:rPr>
              <w:fldChar w:fldCharType="begin"/>
            </w:r>
            <w:r w:rsidR="00C270AB">
              <w:rPr>
                <w:noProof/>
                <w:webHidden/>
              </w:rPr>
              <w:instrText xml:space="preserve"> PAGEREF _Toc72494766 \h </w:instrText>
            </w:r>
            <w:r w:rsidR="00C270AB">
              <w:rPr>
                <w:noProof/>
                <w:webHidden/>
              </w:rPr>
            </w:r>
            <w:r w:rsidR="00C270AB">
              <w:rPr>
                <w:noProof/>
                <w:webHidden/>
              </w:rPr>
              <w:fldChar w:fldCharType="separate"/>
            </w:r>
            <w:r w:rsidR="00C270AB">
              <w:rPr>
                <w:noProof/>
                <w:webHidden/>
              </w:rPr>
              <w:t>27</w:t>
            </w:r>
            <w:r w:rsidR="00C270AB">
              <w:rPr>
                <w:noProof/>
                <w:webHidden/>
              </w:rPr>
              <w:fldChar w:fldCharType="end"/>
            </w:r>
          </w:hyperlink>
        </w:p>
        <w:p w14:paraId="05C19AD6" w14:textId="4D5C26EA" w:rsidR="00C270AB" w:rsidRDefault="00E67C9A">
          <w:pPr>
            <w:pStyle w:val="TOC2"/>
            <w:tabs>
              <w:tab w:val="right" w:leader="dot" w:pos="9350"/>
            </w:tabs>
            <w:rPr>
              <w:rFonts w:eastAsiaTheme="minorEastAsia"/>
              <w:noProof/>
              <w:lang w:eastAsia="en-CA"/>
            </w:rPr>
          </w:pPr>
          <w:hyperlink w:anchor="_Toc72494767" w:history="1">
            <w:r w:rsidR="00C270AB" w:rsidRPr="000A7259">
              <w:rPr>
                <w:rStyle w:val="Hyperlink"/>
                <w:rFonts w:ascii="Times New Roman" w:eastAsiaTheme="majorEastAsia" w:hAnsi="Times New Roman" w:cs="Times New Roman"/>
                <w:noProof/>
              </w:rPr>
              <w:t>The Pandemic Strikes</w:t>
            </w:r>
            <w:r w:rsidR="00C270AB">
              <w:rPr>
                <w:noProof/>
                <w:webHidden/>
              </w:rPr>
              <w:tab/>
            </w:r>
            <w:r w:rsidR="00C270AB">
              <w:rPr>
                <w:noProof/>
                <w:webHidden/>
              </w:rPr>
              <w:fldChar w:fldCharType="begin"/>
            </w:r>
            <w:r w:rsidR="00C270AB">
              <w:rPr>
                <w:noProof/>
                <w:webHidden/>
              </w:rPr>
              <w:instrText xml:space="preserve"> PAGEREF _Toc72494767 \h </w:instrText>
            </w:r>
            <w:r w:rsidR="00C270AB">
              <w:rPr>
                <w:noProof/>
                <w:webHidden/>
              </w:rPr>
            </w:r>
            <w:r w:rsidR="00C270AB">
              <w:rPr>
                <w:noProof/>
                <w:webHidden/>
              </w:rPr>
              <w:fldChar w:fldCharType="separate"/>
            </w:r>
            <w:r w:rsidR="00C270AB">
              <w:rPr>
                <w:noProof/>
                <w:webHidden/>
              </w:rPr>
              <w:t>32</w:t>
            </w:r>
            <w:r w:rsidR="00C270AB">
              <w:rPr>
                <w:noProof/>
                <w:webHidden/>
              </w:rPr>
              <w:fldChar w:fldCharType="end"/>
            </w:r>
          </w:hyperlink>
        </w:p>
        <w:p w14:paraId="6F5DAE13" w14:textId="3723B53B" w:rsidR="00C270AB" w:rsidRDefault="00E67C9A">
          <w:pPr>
            <w:pStyle w:val="TOC2"/>
            <w:tabs>
              <w:tab w:val="right" w:leader="dot" w:pos="9350"/>
            </w:tabs>
            <w:rPr>
              <w:rFonts w:eastAsiaTheme="minorEastAsia"/>
              <w:noProof/>
              <w:lang w:eastAsia="en-CA"/>
            </w:rPr>
          </w:pPr>
          <w:hyperlink w:anchor="_Toc72494768" w:history="1">
            <w:r w:rsidR="00C270AB" w:rsidRPr="000A7259">
              <w:rPr>
                <w:rStyle w:val="Hyperlink"/>
                <w:rFonts w:ascii="Times New Roman" w:eastAsiaTheme="majorEastAsia" w:hAnsi="Times New Roman" w:cs="Times New Roman"/>
                <w:noProof/>
                <w:lang w:val="en-US"/>
              </w:rPr>
              <w:t>Key Findings from Case Study #1</w:t>
            </w:r>
            <w:r w:rsidR="00C270AB">
              <w:rPr>
                <w:noProof/>
                <w:webHidden/>
              </w:rPr>
              <w:tab/>
            </w:r>
            <w:r w:rsidR="00C270AB">
              <w:rPr>
                <w:noProof/>
                <w:webHidden/>
              </w:rPr>
              <w:fldChar w:fldCharType="begin"/>
            </w:r>
            <w:r w:rsidR="00C270AB">
              <w:rPr>
                <w:noProof/>
                <w:webHidden/>
              </w:rPr>
              <w:instrText xml:space="preserve"> PAGEREF _Toc72494768 \h </w:instrText>
            </w:r>
            <w:r w:rsidR="00C270AB">
              <w:rPr>
                <w:noProof/>
                <w:webHidden/>
              </w:rPr>
            </w:r>
            <w:r w:rsidR="00C270AB">
              <w:rPr>
                <w:noProof/>
                <w:webHidden/>
              </w:rPr>
              <w:fldChar w:fldCharType="separate"/>
            </w:r>
            <w:r w:rsidR="00C270AB">
              <w:rPr>
                <w:noProof/>
                <w:webHidden/>
              </w:rPr>
              <w:t>34</w:t>
            </w:r>
            <w:r w:rsidR="00C270AB">
              <w:rPr>
                <w:noProof/>
                <w:webHidden/>
              </w:rPr>
              <w:fldChar w:fldCharType="end"/>
            </w:r>
          </w:hyperlink>
        </w:p>
        <w:p w14:paraId="77EC00CA" w14:textId="5A76154B" w:rsidR="00C270AB" w:rsidRDefault="00E67C9A">
          <w:pPr>
            <w:pStyle w:val="TOC2"/>
            <w:tabs>
              <w:tab w:val="right" w:leader="dot" w:pos="9350"/>
            </w:tabs>
            <w:rPr>
              <w:rFonts w:eastAsiaTheme="minorEastAsia"/>
              <w:noProof/>
              <w:lang w:eastAsia="en-CA"/>
            </w:rPr>
          </w:pPr>
          <w:hyperlink w:anchor="_Toc72494769" w:history="1">
            <w:r w:rsidR="00C270AB" w:rsidRPr="000A7259">
              <w:rPr>
                <w:rStyle w:val="Hyperlink"/>
                <w:rFonts w:ascii="Times New Roman" w:eastAsiaTheme="majorEastAsia" w:hAnsi="Times New Roman" w:cs="Times New Roman"/>
                <w:noProof/>
              </w:rPr>
              <w:t>Designation as an ‘Essential Worker’</w:t>
            </w:r>
            <w:r w:rsidR="00C270AB">
              <w:rPr>
                <w:noProof/>
                <w:webHidden/>
              </w:rPr>
              <w:tab/>
            </w:r>
            <w:r w:rsidR="00C270AB">
              <w:rPr>
                <w:noProof/>
                <w:webHidden/>
              </w:rPr>
              <w:fldChar w:fldCharType="begin"/>
            </w:r>
            <w:r w:rsidR="00C270AB">
              <w:rPr>
                <w:noProof/>
                <w:webHidden/>
              </w:rPr>
              <w:instrText xml:space="preserve"> PAGEREF _Toc72494769 \h </w:instrText>
            </w:r>
            <w:r w:rsidR="00C270AB">
              <w:rPr>
                <w:noProof/>
                <w:webHidden/>
              </w:rPr>
            </w:r>
            <w:r w:rsidR="00C270AB">
              <w:rPr>
                <w:noProof/>
                <w:webHidden/>
              </w:rPr>
              <w:fldChar w:fldCharType="separate"/>
            </w:r>
            <w:r w:rsidR="00C270AB">
              <w:rPr>
                <w:noProof/>
                <w:webHidden/>
              </w:rPr>
              <w:t>34</w:t>
            </w:r>
            <w:r w:rsidR="00C270AB">
              <w:rPr>
                <w:noProof/>
                <w:webHidden/>
              </w:rPr>
              <w:fldChar w:fldCharType="end"/>
            </w:r>
          </w:hyperlink>
        </w:p>
        <w:p w14:paraId="33E7492F" w14:textId="67C7DAC3" w:rsidR="00C270AB" w:rsidRDefault="00E67C9A">
          <w:pPr>
            <w:pStyle w:val="TOC2"/>
            <w:tabs>
              <w:tab w:val="right" w:leader="dot" w:pos="9350"/>
            </w:tabs>
            <w:rPr>
              <w:rFonts w:eastAsiaTheme="minorEastAsia"/>
              <w:noProof/>
              <w:lang w:eastAsia="en-CA"/>
            </w:rPr>
          </w:pPr>
          <w:hyperlink w:anchor="_Toc72494770" w:history="1">
            <w:r w:rsidR="00C270AB" w:rsidRPr="000A7259">
              <w:rPr>
                <w:rStyle w:val="Hyperlink"/>
                <w:rFonts w:ascii="Times New Roman" w:eastAsiaTheme="majorEastAsia" w:hAnsi="Times New Roman" w:cs="Times New Roman"/>
                <w:noProof/>
              </w:rPr>
              <w:t>Lack of Implementation of Safe Working Condition</w:t>
            </w:r>
            <w:r w:rsidR="00C270AB">
              <w:rPr>
                <w:noProof/>
                <w:webHidden/>
              </w:rPr>
              <w:tab/>
            </w:r>
            <w:r w:rsidR="00C270AB">
              <w:rPr>
                <w:noProof/>
                <w:webHidden/>
              </w:rPr>
              <w:fldChar w:fldCharType="begin"/>
            </w:r>
            <w:r w:rsidR="00C270AB">
              <w:rPr>
                <w:noProof/>
                <w:webHidden/>
              </w:rPr>
              <w:instrText xml:space="preserve"> PAGEREF _Toc72494770 \h </w:instrText>
            </w:r>
            <w:r w:rsidR="00C270AB">
              <w:rPr>
                <w:noProof/>
                <w:webHidden/>
              </w:rPr>
            </w:r>
            <w:r w:rsidR="00C270AB">
              <w:rPr>
                <w:noProof/>
                <w:webHidden/>
              </w:rPr>
              <w:fldChar w:fldCharType="separate"/>
            </w:r>
            <w:r w:rsidR="00C270AB">
              <w:rPr>
                <w:noProof/>
                <w:webHidden/>
              </w:rPr>
              <w:t>35</w:t>
            </w:r>
            <w:r w:rsidR="00C270AB">
              <w:rPr>
                <w:noProof/>
                <w:webHidden/>
              </w:rPr>
              <w:fldChar w:fldCharType="end"/>
            </w:r>
          </w:hyperlink>
        </w:p>
        <w:p w14:paraId="4AEF5708" w14:textId="69B1EDF2" w:rsidR="00C270AB" w:rsidRDefault="00E67C9A">
          <w:pPr>
            <w:pStyle w:val="TOC1"/>
            <w:tabs>
              <w:tab w:val="right" w:leader="dot" w:pos="9350"/>
            </w:tabs>
            <w:rPr>
              <w:rFonts w:eastAsiaTheme="minorEastAsia"/>
              <w:noProof/>
              <w:lang w:eastAsia="en-CA"/>
            </w:rPr>
          </w:pPr>
          <w:hyperlink w:anchor="_Toc72494771" w:history="1">
            <w:r w:rsidR="00C270AB" w:rsidRPr="000A7259">
              <w:rPr>
                <w:rStyle w:val="Hyperlink"/>
                <w:rFonts w:ascii="Times New Roman" w:eastAsiaTheme="majorEastAsia" w:hAnsi="Times New Roman" w:cs="Times New Roman"/>
                <w:noProof/>
                <w:lang w:val="en-US"/>
              </w:rPr>
              <w:t>Summary of Case #1</w:t>
            </w:r>
            <w:r w:rsidR="00C270AB">
              <w:rPr>
                <w:noProof/>
                <w:webHidden/>
              </w:rPr>
              <w:tab/>
            </w:r>
            <w:r w:rsidR="00C270AB">
              <w:rPr>
                <w:noProof/>
                <w:webHidden/>
              </w:rPr>
              <w:fldChar w:fldCharType="begin"/>
            </w:r>
            <w:r w:rsidR="00C270AB">
              <w:rPr>
                <w:noProof/>
                <w:webHidden/>
              </w:rPr>
              <w:instrText xml:space="preserve"> PAGEREF _Toc72494771 \h </w:instrText>
            </w:r>
            <w:r w:rsidR="00C270AB">
              <w:rPr>
                <w:noProof/>
                <w:webHidden/>
              </w:rPr>
            </w:r>
            <w:r w:rsidR="00C270AB">
              <w:rPr>
                <w:noProof/>
                <w:webHidden/>
              </w:rPr>
              <w:fldChar w:fldCharType="separate"/>
            </w:r>
            <w:r w:rsidR="00C270AB">
              <w:rPr>
                <w:noProof/>
                <w:webHidden/>
              </w:rPr>
              <w:t>37</w:t>
            </w:r>
            <w:r w:rsidR="00C270AB">
              <w:rPr>
                <w:noProof/>
                <w:webHidden/>
              </w:rPr>
              <w:fldChar w:fldCharType="end"/>
            </w:r>
          </w:hyperlink>
        </w:p>
        <w:p w14:paraId="5AEAA845" w14:textId="73DE460E" w:rsidR="00C270AB" w:rsidRDefault="00E67C9A">
          <w:pPr>
            <w:pStyle w:val="TOC1"/>
            <w:tabs>
              <w:tab w:val="right" w:leader="dot" w:pos="9350"/>
            </w:tabs>
            <w:rPr>
              <w:rFonts w:eastAsiaTheme="minorEastAsia"/>
              <w:noProof/>
              <w:lang w:eastAsia="en-CA"/>
            </w:rPr>
          </w:pPr>
          <w:hyperlink w:anchor="_Toc72494772" w:history="1">
            <w:r w:rsidR="00C270AB" w:rsidRPr="000A7259">
              <w:rPr>
                <w:rStyle w:val="Hyperlink"/>
                <w:rFonts w:ascii="Times New Roman" w:eastAsiaTheme="majorEastAsia" w:hAnsi="Times New Roman" w:cs="Times New Roman"/>
                <w:noProof/>
                <w:lang w:val="en-US"/>
              </w:rPr>
              <w:t>Case Study #2: Migrant Workers in the Farming Industry</w:t>
            </w:r>
            <w:r w:rsidR="00C270AB">
              <w:rPr>
                <w:noProof/>
                <w:webHidden/>
              </w:rPr>
              <w:tab/>
            </w:r>
            <w:r w:rsidR="00C270AB">
              <w:rPr>
                <w:noProof/>
                <w:webHidden/>
              </w:rPr>
              <w:fldChar w:fldCharType="begin"/>
            </w:r>
            <w:r w:rsidR="00C270AB">
              <w:rPr>
                <w:noProof/>
                <w:webHidden/>
              </w:rPr>
              <w:instrText xml:space="preserve"> PAGEREF _Toc72494772 \h </w:instrText>
            </w:r>
            <w:r w:rsidR="00C270AB">
              <w:rPr>
                <w:noProof/>
                <w:webHidden/>
              </w:rPr>
            </w:r>
            <w:r w:rsidR="00C270AB">
              <w:rPr>
                <w:noProof/>
                <w:webHidden/>
              </w:rPr>
              <w:fldChar w:fldCharType="separate"/>
            </w:r>
            <w:r w:rsidR="00C270AB">
              <w:rPr>
                <w:noProof/>
                <w:webHidden/>
              </w:rPr>
              <w:t>37</w:t>
            </w:r>
            <w:r w:rsidR="00C270AB">
              <w:rPr>
                <w:noProof/>
                <w:webHidden/>
              </w:rPr>
              <w:fldChar w:fldCharType="end"/>
            </w:r>
          </w:hyperlink>
        </w:p>
        <w:p w14:paraId="77463B26" w14:textId="7A26B782" w:rsidR="00C270AB" w:rsidRDefault="00E67C9A">
          <w:pPr>
            <w:pStyle w:val="TOC2"/>
            <w:tabs>
              <w:tab w:val="right" w:leader="dot" w:pos="9350"/>
            </w:tabs>
            <w:rPr>
              <w:rFonts w:eastAsiaTheme="minorEastAsia"/>
              <w:noProof/>
              <w:lang w:eastAsia="en-CA"/>
            </w:rPr>
          </w:pPr>
          <w:hyperlink w:anchor="_Toc72494773" w:history="1">
            <w:r w:rsidR="00C270AB" w:rsidRPr="000A7259">
              <w:rPr>
                <w:rStyle w:val="Hyperlink"/>
                <w:rFonts w:ascii="Times New Roman" w:eastAsiaTheme="majorEastAsia" w:hAnsi="Times New Roman" w:cs="Times New Roman"/>
                <w:noProof/>
              </w:rPr>
              <w:t>Working Conditions</w:t>
            </w:r>
            <w:r w:rsidR="00C270AB">
              <w:rPr>
                <w:noProof/>
                <w:webHidden/>
              </w:rPr>
              <w:tab/>
            </w:r>
            <w:r w:rsidR="00C270AB">
              <w:rPr>
                <w:noProof/>
                <w:webHidden/>
              </w:rPr>
              <w:fldChar w:fldCharType="begin"/>
            </w:r>
            <w:r w:rsidR="00C270AB">
              <w:rPr>
                <w:noProof/>
                <w:webHidden/>
              </w:rPr>
              <w:instrText xml:space="preserve"> PAGEREF _Toc72494773 \h </w:instrText>
            </w:r>
            <w:r w:rsidR="00C270AB">
              <w:rPr>
                <w:noProof/>
                <w:webHidden/>
              </w:rPr>
            </w:r>
            <w:r w:rsidR="00C270AB">
              <w:rPr>
                <w:noProof/>
                <w:webHidden/>
              </w:rPr>
              <w:fldChar w:fldCharType="separate"/>
            </w:r>
            <w:r w:rsidR="00C270AB">
              <w:rPr>
                <w:noProof/>
                <w:webHidden/>
              </w:rPr>
              <w:t>38</w:t>
            </w:r>
            <w:r w:rsidR="00C270AB">
              <w:rPr>
                <w:noProof/>
                <w:webHidden/>
              </w:rPr>
              <w:fldChar w:fldCharType="end"/>
            </w:r>
          </w:hyperlink>
        </w:p>
        <w:p w14:paraId="5C582A12" w14:textId="4B2EB3DA" w:rsidR="00C270AB" w:rsidRDefault="00E67C9A">
          <w:pPr>
            <w:pStyle w:val="TOC2"/>
            <w:tabs>
              <w:tab w:val="right" w:leader="dot" w:pos="9350"/>
            </w:tabs>
            <w:rPr>
              <w:rFonts w:eastAsiaTheme="minorEastAsia"/>
              <w:noProof/>
              <w:lang w:eastAsia="en-CA"/>
            </w:rPr>
          </w:pPr>
          <w:hyperlink w:anchor="_Toc72494774" w:history="1">
            <w:r w:rsidR="00C270AB" w:rsidRPr="000A7259">
              <w:rPr>
                <w:rStyle w:val="Hyperlink"/>
                <w:rFonts w:ascii="Times New Roman" w:eastAsiaTheme="majorEastAsia" w:hAnsi="Times New Roman" w:cs="Times New Roman"/>
                <w:noProof/>
              </w:rPr>
              <w:t>Living Conditions</w:t>
            </w:r>
            <w:r w:rsidR="00C270AB">
              <w:rPr>
                <w:noProof/>
                <w:webHidden/>
              </w:rPr>
              <w:tab/>
            </w:r>
            <w:r w:rsidR="00C270AB">
              <w:rPr>
                <w:noProof/>
                <w:webHidden/>
              </w:rPr>
              <w:fldChar w:fldCharType="begin"/>
            </w:r>
            <w:r w:rsidR="00C270AB">
              <w:rPr>
                <w:noProof/>
                <w:webHidden/>
              </w:rPr>
              <w:instrText xml:space="preserve"> PAGEREF _Toc72494774 \h </w:instrText>
            </w:r>
            <w:r w:rsidR="00C270AB">
              <w:rPr>
                <w:noProof/>
                <w:webHidden/>
              </w:rPr>
            </w:r>
            <w:r w:rsidR="00C270AB">
              <w:rPr>
                <w:noProof/>
                <w:webHidden/>
              </w:rPr>
              <w:fldChar w:fldCharType="separate"/>
            </w:r>
            <w:r w:rsidR="00C270AB">
              <w:rPr>
                <w:noProof/>
                <w:webHidden/>
              </w:rPr>
              <w:t>39</w:t>
            </w:r>
            <w:r w:rsidR="00C270AB">
              <w:rPr>
                <w:noProof/>
                <w:webHidden/>
              </w:rPr>
              <w:fldChar w:fldCharType="end"/>
            </w:r>
          </w:hyperlink>
        </w:p>
        <w:p w14:paraId="3D52EBC0" w14:textId="4D6E8CB0" w:rsidR="00C270AB" w:rsidRDefault="00E67C9A">
          <w:pPr>
            <w:pStyle w:val="TOC1"/>
            <w:tabs>
              <w:tab w:val="right" w:leader="dot" w:pos="9350"/>
            </w:tabs>
            <w:rPr>
              <w:rFonts w:eastAsiaTheme="minorEastAsia"/>
              <w:noProof/>
              <w:lang w:eastAsia="en-CA"/>
            </w:rPr>
          </w:pPr>
          <w:hyperlink w:anchor="_Toc72494775" w:history="1">
            <w:r w:rsidR="00C270AB" w:rsidRPr="000A7259">
              <w:rPr>
                <w:rStyle w:val="Hyperlink"/>
                <w:rFonts w:ascii="Times New Roman" w:eastAsiaTheme="majorEastAsia" w:hAnsi="Times New Roman" w:cs="Times New Roman"/>
                <w:noProof/>
                <w:lang w:val="en-US"/>
              </w:rPr>
              <w:t>The Pandemic</w:t>
            </w:r>
            <w:r w:rsidR="00C270AB">
              <w:rPr>
                <w:noProof/>
                <w:webHidden/>
              </w:rPr>
              <w:tab/>
            </w:r>
            <w:r w:rsidR="00C270AB">
              <w:rPr>
                <w:noProof/>
                <w:webHidden/>
              </w:rPr>
              <w:fldChar w:fldCharType="begin"/>
            </w:r>
            <w:r w:rsidR="00C270AB">
              <w:rPr>
                <w:noProof/>
                <w:webHidden/>
              </w:rPr>
              <w:instrText xml:space="preserve"> PAGEREF _Toc72494775 \h </w:instrText>
            </w:r>
            <w:r w:rsidR="00C270AB">
              <w:rPr>
                <w:noProof/>
                <w:webHidden/>
              </w:rPr>
            </w:r>
            <w:r w:rsidR="00C270AB">
              <w:rPr>
                <w:noProof/>
                <w:webHidden/>
              </w:rPr>
              <w:fldChar w:fldCharType="separate"/>
            </w:r>
            <w:r w:rsidR="00C270AB">
              <w:rPr>
                <w:noProof/>
                <w:webHidden/>
              </w:rPr>
              <w:t>42</w:t>
            </w:r>
            <w:r w:rsidR="00C270AB">
              <w:rPr>
                <w:noProof/>
                <w:webHidden/>
              </w:rPr>
              <w:fldChar w:fldCharType="end"/>
            </w:r>
          </w:hyperlink>
        </w:p>
        <w:p w14:paraId="312AFE37" w14:textId="291398F0" w:rsidR="00C270AB" w:rsidRDefault="00E67C9A">
          <w:pPr>
            <w:pStyle w:val="TOC2"/>
            <w:tabs>
              <w:tab w:val="right" w:leader="dot" w:pos="9350"/>
            </w:tabs>
            <w:rPr>
              <w:rFonts w:eastAsiaTheme="minorEastAsia"/>
              <w:noProof/>
              <w:lang w:eastAsia="en-CA"/>
            </w:rPr>
          </w:pPr>
          <w:hyperlink w:anchor="_Toc72494776" w:history="1">
            <w:r w:rsidR="00C270AB" w:rsidRPr="000A7259">
              <w:rPr>
                <w:rStyle w:val="Hyperlink"/>
                <w:rFonts w:ascii="Times New Roman" w:eastAsiaTheme="majorEastAsia" w:hAnsi="Times New Roman" w:cs="Times New Roman"/>
                <w:noProof/>
                <w:lang w:val="en-US"/>
              </w:rPr>
              <w:t>Key Findings from Case Study #2</w:t>
            </w:r>
            <w:r w:rsidR="00C270AB">
              <w:rPr>
                <w:noProof/>
                <w:webHidden/>
              </w:rPr>
              <w:tab/>
            </w:r>
            <w:r w:rsidR="00C270AB">
              <w:rPr>
                <w:noProof/>
                <w:webHidden/>
              </w:rPr>
              <w:fldChar w:fldCharType="begin"/>
            </w:r>
            <w:r w:rsidR="00C270AB">
              <w:rPr>
                <w:noProof/>
                <w:webHidden/>
              </w:rPr>
              <w:instrText xml:space="preserve"> PAGEREF _Toc72494776 \h </w:instrText>
            </w:r>
            <w:r w:rsidR="00C270AB">
              <w:rPr>
                <w:noProof/>
                <w:webHidden/>
              </w:rPr>
            </w:r>
            <w:r w:rsidR="00C270AB">
              <w:rPr>
                <w:noProof/>
                <w:webHidden/>
              </w:rPr>
              <w:fldChar w:fldCharType="separate"/>
            </w:r>
            <w:r w:rsidR="00C270AB">
              <w:rPr>
                <w:noProof/>
                <w:webHidden/>
              </w:rPr>
              <w:t>42</w:t>
            </w:r>
            <w:r w:rsidR="00C270AB">
              <w:rPr>
                <w:noProof/>
                <w:webHidden/>
              </w:rPr>
              <w:fldChar w:fldCharType="end"/>
            </w:r>
          </w:hyperlink>
        </w:p>
        <w:p w14:paraId="5967592C" w14:textId="5A674358" w:rsidR="00C270AB" w:rsidRDefault="00E67C9A">
          <w:pPr>
            <w:pStyle w:val="TOC2"/>
            <w:tabs>
              <w:tab w:val="right" w:leader="dot" w:pos="9350"/>
            </w:tabs>
            <w:rPr>
              <w:rFonts w:eastAsiaTheme="minorEastAsia"/>
              <w:noProof/>
              <w:lang w:eastAsia="en-CA"/>
            </w:rPr>
          </w:pPr>
          <w:hyperlink w:anchor="_Toc72494777" w:history="1">
            <w:r w:rsidR="00C270AB" w:rsidRPr="000A7259">
              <w:rPr>
                <w:rStyle w:val="Hyperlink"/>
                <w:rFonts w:ascii="Times New Roman" w:eastAsiaTheme="majorEastAsia" w:hAnsi="Times New Roman" w:cs="Times New Roman"/>
                <w:noProof/>
              </w:rPr>
              <w:t>Lack of Implementation of Safe living and Working Condition</w:t>
            </w:r>
            <w:r w:rsidR="00C270AB">
              <w:rPr>
                <w:noProof/>
                <w:webHidden/>
              </w:rPr>
              <w:tab/>
            </w:r>
            <w:r w:rsidR="00C270AB">
              <w:rPr>
                <w:noProof/>
                <w:webHidden/>
              </w:rPr>
              <w:fldChar w:fldCharType="begin"/>
            </w:r>
            <w:r w:rsidR="00C270AB">
              <w:rPr>
                <w:noProof/>
                <w:webHidden/>
              </w:rPr>
              <w:instrText xml:space="preserve"> PAGEREF _Toc72494777 \h </w:instrText>
            </w:r>
            <w:r w:rsidR="00C270AB">
              <w:rPr>
                <w:noProof/>
                <w:webHidden/>
              </w:rPr>
            </w:r>
            <w:r w:rsidR="00C270AB">
              <w:rPr>
                <w:noProof/>
                <w:webHidden/>
              </w:rPr>
              <w:fldChar w:fldCharType="separate"/>
            </w:r>
            <w:r w:rsidR="00C270AB">
              <w:rPr>
                <w:noProof/>
                <w:webHidden/>
              </w:rPr>
              <w:t>43</w:t>
            </w:r>
            <w:r w:rsidR="00C270AB">
              <w:rPr>
                <w:noProof/>
                <w:webHidden/>
              </w:rPr>
              <w:fldChar w:fldCharType="end"/>
            </w:r>
          </w:hyperlink>
        </w:p>
        <w:p w14:paraId="6CD4DAFA" w14:textId="06117069" w:rsidR="00C270AB" w:rsidRDefault="00E67C9A">
          <w:pPr>
            <w:pStyle w:val="TOC2"/>
            <w:tabs>
              <w:tab w:val="right" w:leader="dot" w:pos="9350"/>
            </w:tabs>
            <w:rPr>
              <w:rFonts w:eastAsiaTheme="minorEastAsia"/>
              <w:noProof/>
              <w:lang w:eastAsia="en-CA"/>
            </w:rPr>
          </w:pPr>
          <w:hyperlink w:anchor="_Toc72494778" w:history="1">
            <w:r w:rsidR="00C270AB" w:rsidRPr="000A7259">
              <w:rPr>
                <w:rStyle w:val="Hyperlink"/>
                <w:rFonts w:ascii="Times New Roman" w:eastAsiaTheme="majorEastAsia" w:hAnsi="Times New Roman" w:cs="Times New Roman"/>
                <w:noProof/>
              </w:rPr>
              <w:t>Employers’ inaction reveals a preference for economic benefit over migrant’s well-being</w:t>
            </w:r>
            <w:r w:rsidR="00C270AB">
              <w:rPr>
                <w:noProof/>
                <w:webHidden/>
              </w:rPr>
              <w:tab/>
            </w:r>
            <w:r w:rsidR="00C270AB">
              <w:rPr>
                <w:noProof/>
                <w:webHidden/>
              </w:rPr>
              <w:fldChar w:fldCharType="begin"/>
            </w:r>
            <w:r w:rsidR="00C270AB">
              <w:rPr>
                <w:noProof/>
                <w:webHidden/>
              </w:rPr>
              <w:instrText xml:space="preserve"> PAGEREF _Toc72494778 \h </w:instrText>
            </w:r>
            <w:r w:rsidR="00C270AB">
              <w:rPr>
                <w:noProof/>
                <w:webHidden/>
              </w:rPr>
            </w:r>
            <w:r w:rsidR="00C270AB">
              <w:rPr>
                <w:noProof/>
                <w:webHidden/>
              </w:rPr>
              <w:fldChar w:fldCharType="separate"/>
            </w:r>
            <w:r w:rsidR="00C270AB">
              <w:rPr>
                <w:noProof/>
                <w:webHidden/>
              </w:rPr>
              <w:t>44</w:t>
            </w:r>
            <w:r w:rsidR="00C270AB">
              <w:rPr>
                <w:noProof/>
                <w:webHidden/>
              </w:rPr>
              <w:fldChar w:fldCharType="end"/>
            </w:r>
          </w:hyperlink>
        </w:p>
        <w:p w14:paraId="3CE19B89" w14:textId="5E2081C8" w:rsidR="00C270AB" w:rsidRDefault="00E67C9A">
          <w:pPr>
            <w:pStyle w:val="TOC2"/>
            <w:tabs>
              <w:tab w:val="right" w:leader="dot" w:pos="9350"/>
            </w:tabs>
            <w:rPr>
              <w:rFonts w:eastAsiaTheme="minorEastAsia"/>
              <w:noProof/>
              <w:lang w:eastAsia="en-CA"/>
            </w:rPr>
          </w:pPr>
          <w:hyperlink w:anchor="_Toc72494779" w:history="1">
            <w:r w:rsidR="00C270AB" w:rsidRPr="000A7259">
              <w:rPr>
                <w:rStyle w:val="Hyperlink"/>
                <w:rFonts w:ascii="Times New Roman" w:eastAsiaTheme="majorEastAsia" w:hAnsi="Times New Roman" w:cs="Times New Roman"/>
                <w:noProof/>
              </w:rPr>
              <w:t>Migrant workers’ fear of repercussions for speaking up about their marginalization</w:t>
            </w:r>
            <w:r w:rsidR="00C270AB">
              <w:rPr>
                <w:noProof/>
                <w:webHidden/>
              </w:rPr>
              <w:tab/>
            </w:r>
            <w:r w:rsidR="00C270AB">
              <w:rPr>
                <w:noProof/>
                <w:webHidden/>
              </w:rPr>
              <w:fldChar w:fldCharType="begin"/>
            </w:r>
            <w:r w:rsidR="00C270AB">
              <w:rPr>
                <w:noProof/>
                <w:webHidden/>
              </w:rPr>
              <w:instrText xml:space="preserve"> PAGEREF _Toc72494779 \h </w:instrText>
            </w:r>
            <w:r w:rsidR="00C270AB">
              <w:rPr>
                <w:noProof/>
                <w:webHidden/>
              </w:rPr>
            </w:r>
            <w:r w:rsidR="00C270AB">
              <w:rPr>
                <w:noProof/>
                <w:webHidden/>
              </w:rPr>
              <w:fldChar w:fldCharType="separate"/>
            </w:r>
            <w:r w:rsidR="00C270AB">
              <w:rPr>
                <w:noProof/>
                <w:webHidden/>
              </w:rPr>
              <w:t>45</w:t>
            </w:r>
            <w:r w:rsidR="00C270AB">
              <w:rPr>
                <w:noProof/>
                <w:webHidden/>
              </w:rPr>
              <w:fldChar w:fldCharType="end"/>
            </w:r>
          </w:hyperlink>
        </w:p>
        <w:p w14:paraId="3618B435" w14:textId="7ADBA9F6" w:rsidR="00C270AB" w:rsidRDefault="00E67C9A">
          <w:pPr>
            <w:pStyle w:val="TOC1"/>
            <w:tabs>
              <w:tab w:val="right" w:leader="dot" w:pos="9350"/>
            </w:tabs>
            <w:rPr>
              <w:rFonts w:eastAsiaTheme="minorEastAsia"/>
              <w:noProof/>
              <w:lang w:eastAsia="en-CA"/>
            </w:rPr>
          </w:pPr>
          <w:hyperlink w:anchor="_Toc72494780" w:history="1">
            <w:r w:rsidR="00C270AB" w:rsidRPr="000A7259">
              <w:rPr>
                <w:rStyle w:val="Hyperlink"/>
                <w:rFonts w:ascii="Times New Roman" w:eastAsiaTheme="majorEastAsia" w:hAnsi="Times New Roman" w:cs="Times New Roman"/>
                <w:noProof/>
                <w:lang w:val="en-US"/>
              </w:rPr>
              <w:t>Summary of Case #2</w:t>
            </w:r>
            <w:r w:rsidR="00C270AB">
              <w:rPr>
                <w:noProof/>
                <w:webHidden/>
              </w:rPr>
              <w:tab/>
            </w:r>
            <w:r w:rsidR="00C270AB">
              <w:rPr>
                <w:noProof/>
                <w:webHidden/>
              </w:rPr>
              <w:fldChar w:fldCharType="begin"/>
            </w:r>
            <w:r w:rsidR="00C270AB">
              <w:rPr>
                <w:noProof/>
                <w:webHidden/>
              </w:rPr>
              <w:instrText xml:space="preserve"> PAGEREF _Toc72494780 \h </w:instrText>
            </w:r>
            <w:r w:rsidR="00C270AB">
              <w:rPr>
                <w:noProof/>
                <w:webHidden/>
              </w:rPr>
            </w:r>
            <w:r w:rsidR="00C270AB">
              <w:rPr>
                <w:noProof/>
                <w:webHidden/>
              </w:rPr>
              <w:fldChar w:fldCharType="separate"/>
            </w:r>
            <w:r w:rsidR="00C270AB">
              <w:rPr>
                <w:noProof/>
                <w:webHidden/>
              </w:rPr>
              <w:t>47</w:t>
            </w:r>
            <w:r w:rsidR="00C270AB">
              <w:rPr>
                <w:noProof/>
                <w:webHidden/>
              </w:rPr>
              <w:fldChar w:fldCharType="end"/>
            </w:r>
          </w:hyperlink>
        </w:p>
        <w:p w14:paraId="6CC61C22" w14:textId="1A22C59E" w:rsidR="00C270AB" w:rsidRDefault="00E67C9A">
          <w:pPr>
            <w:pStyle w:val="TOC1"/>
            <w:tabs>
              <w:tab w:val="right" w:leader="dot" w:pos="9350"/>
            </w:tabs>
            <w:rPr>
              <w:rFonts w:eastAsiaTheme="minorEastAsia"/>
              <w:noProof/>
              <w:lang w:eastAsia="en-CA"/>
            </w:rPr>
          </w:pPr>
          <w:hyperlink w:anchor="_Toc72494781" w:history="1">
            <w:r w:rsidR="00C270AB" w:rsidRPr="000A7259">
              <w:rPr>
                <w:rStyle w:val="Hyperlink"/>
                <w:rFonts w:ascii="Times New Roman" w:eastAsiaTheme="majorEastAsia" w:hAnsi="Times New Roman" w:cs="Times New Roman"/>
                <w:noProof/>
                <w:lang w:val="en-US"/>
              </w:rPr>
              <w:t>Discussion</w:t>
            </w:r>
            <w:r w:rsidR="00C270AB">
              <w:rPr>
                <w:noProof/>
                <w:webHidden/>
              </w:rPr>
              <w:tab/>
            </w:r>
            <w:r w:rsidR="00C270AB">
              <w:rPr>
                <w:noProof/>
                <w:webHidden/>
              </w:rPr>
              <w:fldChar w:fldCharType="begin"/>
            </w:r>
            <w:r w:rsidR="00C270AB">
              <w:rPr>
                <w:noProof/>
                <w:webHidden/>
              </w:rPr>
              <w:instrText xml:space="preserve"> PAGEREF _Toc72494781 \h </w:instrText>
            </w:r>
            <w:r w:rsidR="00C270AB">
              <w:rPr>
                <w:noProof/>
                <w:webHidden/>
              </w:rPr>
            </w:r>
            <w:r w:rsidR="00C270AB">
              <w:rPr>
                <w:noProof/>
                <w:webHidden/>
              </w:rPr>
              <w:fldChar w:fldCharType="separate"/>
            </w:r>
            <w:r w:rsidR="00C270AB">
              <w:rPr>
                <w:noProof/>
                <w:webHidden/>
              </w:rPr>
              <w:t>47</w:t>
            </w:r>
            <w:r w:rsidR="00C270AB">
              <w:rPr>
                <w:noProof/>
                <w:webHidden/>
              </w:rPr>
              <w:fldChar w:fldCharType="end"/>
            </w:r>
          </w:hyperlink>
        </w:p>
        <w:p w14:paraId="07323E1D" w14:textId="0DF4DB6A" w:rsidR="00C270AB" w:rsidRDefault="00E67C9A">
          <w:pPr>
            <w:pStyle w:val="TOC2"/>
            <w:tabs>
              <w:tab w:val="right" w:leader="dot" w:pos="9350"/>
            </w:tabs>
            <w:rPr>
              <w:rFonts w:eastAsiaTheme="minorEastAsia"/>
              <w:noProof/>
              <w:lang w:eastAsia="en-CA"/>
            </w:rPr>
          </w:pPr>
          <w:hyperlink w:anchor="_Toc72494782" w:history="1">
            <w:r w:rsidR="00C270AB" w:rsidRPr="000A7259">
              <w:rPr>
                <w:rStyle w:val="Hyperlink"/>
                <w:rFonts w:ascii="Times New Roman" w:eastAsiaTheme="majorEastAsia" w:hAnsi="Times New Roman" w:cs="Times New Roman"/>
                <w:noProof/>
              </w:rPr>
              <w:t>The Intersection between Working and Living Condition of Migrant workers</w:t>
            </w:r>
            <w:r w:rsidR="00C270AB">
              <w:rPr>
                <w:noProof/>
                <w:webHidden/>
              </w:rPr>
              <w:tab/>
            </w:r>
            <w:r w:rsidR="00C270AB">
              <w:rPr>
                <w:noProof/>
                <w:webHidden/>
              </w:rPr>
              <w:fldChar w:fldCharType="begin"/>
            </w:r>
            <w:r w:rsidR="00C270AB">
              <w:rPr>
                <w:noProof/>
                <w:webHidden/>
              </w:rPr>
              <w:instrText xml:space="preserve"> PAGEREF _Toc72494782 \h </w:instrText>
            </w:r>
            <w:r w:rsidR="00C270AB">
              <w:rPr>
                <w:noProof/>
                <w:webHidden/>
              </w:rPr>
            </w:r>
            <w:r w:rsidR="00C270AB">
              <w:rPr>
                <w:noProof/>
                <w:webHidden/>
              </w:rPr>
              <w:fldChar w:fldCharType="separate"/>
            </w:r>
            <w:r w:rsidR="00C270AB">
              <w:rPr>
                <w:noProof/>
                <w:webHidden/>
              </w:rPr>
              <w:t>47</w:t>
            </w:r>
            <w:r w:rsidR="00C270AB">
              <w:rPr>
                <w:noProof/>
                <w:webHidden/>
              </w:rPr>
              <w:fldChar w:fldCharType="end"/>
            </w:r>
          </w:hyperlink>
        </w:p>
        <w:p w14:paraId="2D859875" w14:textId="542B7780" w:rsidR="00C270AB" w:rsidRDefault="00E67C9A">
          <w:pPr>
            <w:pStyle w:val="TOC2"/>
            <w:tabs>
              <w:tab w:val="right" w:leader="dot" w:pos="9350"/>
            </w:tabs>
            <w:rPr>
              <w:rFonts w:eastAsiaTheme="minorEastAsia"/>
              <w:noProof/>
              <w:lang w:eastAsia="en-CA"/>
            </w:rPr>
          </w:pPr>
          <w:hyperlink w:anchor="_Toc72494783" w:history="1">
            <w:r w:rsidR="00C270AB" w:rsidRPr="000A7259">
              <w:rPr>
                <w:rStyle w:val="Hyperlink"/>
                <w:rFonts w:ascii="Times New Roman" w:eastAsiaTheme="majorEastAsia" w:hAnsi="Times New Roman" w:cs="Times New Roman"/>
                <w:noProof/>
              </w:rPr>
              <w:t>The Interaction of Migration, Working and Living Conditions</w:t>
            </w:r>
            <w:r w:rsidR="00C270AB">
              <w:rPr>
                <w:noProof/>
                <w:webHidden/>
              </w:rPr>
              <w:tab/>
            </w:r>
            <w:r w:rsidR="00C270AB">
              <w:rPr>
                <w:noProof/>
                <w:webHidden/>
              </w:rPr>
              <w:fldChar w:fldCharType="begin"/>
            </w:r>
            <w:r w:rsidR="00C270AB">
              <w:rPr>
                <w:noProof/>
                <w:webHidden/>
              </w:rPr>
              <w:instrText xml:space="preserve"> PAGEREF _Toc72494783 \h </w:instrText>
            </w:r>
            <w:r w:rsidR="00C270AB">
              <w:rPr>
                <w:noProof/>
                <w:webHidden/>
              </w:rPr>
            </w:r>
            <w:r w:rsidR="00C270AB">
              <w:rPr>
                <w:noProof/>
                <w:webHidden/>
              </w:rPr>
              <w:fldChar w:fldCharType="separate"/>
            </w:r>
            <w:r w:rsidR="00C270AB">
              <w:rPr>
                <w:noProof/>
                <w:webHidden/>
              </w:rPr>
              <w:t>48</w:t>
            </w:r>
            <w:r w:rsidR="00C270AB">
              <w:rPr>
                <w:noProof/>
                <w:webHidden/>
              </w:rPr>
              <w:fldChar w:fldCharType="end"/>
            </w:r>
          </w:hyperlink>
        </w:p>
        <w:p w14:paraId="793683A3" w14:textId="2E77C04D" w:rsidR="00C270AB" w:rsidRDefault="00E67C9A">
          <w:pPr>
            <w:pStyle w:val="TOC2"/>
            <w:tabs>
              <w:tab w:val="right" w:leader="dot" w:pos="9350"/>
            </w:tabs>
            <w:rPr>
              <w:rFonts w:eastAsiaTheme="minorEastAsia"/>
              <w:noProof/>
              <w:lang w:eastAsia="en-CA"/>
            </w:rPr>
          </w:pPr>
          <w:hyperlink w:anchor="_Toc72494784" w:history="1">
            <w:r w:rsidR="00C270AB" w:rsidRPr="000A7259">
              <w:rPr>
                <w:rStyle w:val="Hyperlink"/>
                <w:rFonts w:ascii="Times New Roman" w:eastAsiaTheme="majorEastAsia" w:hAnsi="Times New Roman" w:cs="Times New Roman"/>
                <w:noProof/>
              </w:rPr>
              <w:t>Immigration Status</w:t>
            </w:r>
            <w:r w:rsidR="00C270AB">
              <w:rPr>
                <w:noProof/>
                <w:webHidden/>
              </w:rPr>
              <w:tab/>
            </w:r>
            <w:r w:rsidR="00C270AB">
              <w:rPr>
                <w:noProof/>
                <w:webHidden/>
              </w:rPr>
              <w:fldChar w:fldCharType="begin"/>
            </w:r>
            <w:r w:rsidR="00C270AB">
              <w:rPr>
                <w:noProof/>
                <w:webHidden/>
              </w:rPr>
              <w:instrText xml:space="preserve"> PAGEREF _Toc72494784 \h </w:instrText>
            </w:r>
            <w:r w:rsidR="00C270AB">
              <w:rPr>
                <w:noProof/>
                <w:webHidden/>
              </w:rPr>
            </w:r>
            <w:r w:rsidR="00C270AB">
              <w:rPr>
                <w:noProof/>
                <w:webHidden/>
              </w:rPr>
              <w:fldChar w:fldCharType="separate"/>
            </w:r>
            <w:r w:rsidR="00C270AB">
              <w:rPr>
                <w:noProof/>
                <w:webHidden/>
              </w:rPr>
              <w:t>48</w:t>
            </w:r>
            <w:r w:rsidR="00C270AB">
              <w:rPr>
                <w:noProof/>
                <w:webHidden/>
              </w:rPr>
              <w:fldChar w:fldCharType="end"/>
            </w:r>
          </w:hyperlink>
        </w:p>
        <w:p w14:paraId="3B64FAD4" w14:textId="36D3107C" w:rsidR="00C270AB" w:rsidRDefault="00E67C9A">
          <w:pPr>
            <w:pStyle w:val="TOC2"/>
            <w:tabs>
              <w:tab w:val="right" w:leader="dot" w:pos="9350"/>
            </w:tabs>
            <w:rPr>
              <w:rFonts w:eastAsiaTheme="minorEastAsia"/>
              <w:noProof/>
              <w:lang w:eastAsia="en-CA"/>
            </w:rPr>
          </w:pPr>
          <w:hyperlink w:anchor="_Toc72494785" w:history="1">
            <w:r w:rsidR="00C270AB" w:rsidRPr="000A7259">
              <w:rPr>
                <w:rStyle w:val="Hyperlink"/>
                <w:rFonts w:ascii="Times New Roman" w:eastAsiaTheme="majorEastAsia" w:hAnsi="Times New Roman" w:cs="Times New Roman"/>
                <w:noProof/>
              </w:rPr>
              <w:t>Low Wages</w:t>
            </w:r>
            <w:r w:rsidR="00C270AB">
              <w:rPr>
                <w:noProof/>
                <w:webHidden/>
              </w:rPr>
              <w:tab/>
            </w:r>
            <w:r w:rsidR="00C270AB">
              <w:rPr>
                <w:noProof/>
                <w:webHidden/>
              </w:rPr>
              <w:fldChar w:fldCharType="begin"/>
            </w:r>
            <w:r w:rsidR="00C270AB">
              <w:rPr>
                <w:noProof/>
                <w:webHidden/>
              </w:rPr>
              <w:instrText xml:space="preserve"> PAGEREF _Toc72494785 \h </w:instrText>
            </w:r>
            <w:r w:rsidR="00C270AB">
              <w:rPr>
                <w:noProof/>
                <w:webHidden/>
              </w:rPr>
            </w:r>
            <w:r w:rsidR="00C270AB">
              <w:rPr>
                <w:noProof/>
                <w:webHidden/>
              </w:rPr>
              <w:fldChar w:fldCharType="separate"/>
            </w:r>
            <w:r w:rsidR="00C270AB">
              <w:rPr>
                <w:noProof/>
                <w:webHidden/>
              </w:rPr>
              <w:t>49</w:t>
            </w:r>
            <w:r w:rsidR="00C270AB">
              <w:rPr>
                <w:noProof/>
                <w:webHidden/>
              </w:rPr>
              <w:fldChar w:fldCharType="end"/>
            </w:r>
          </w:hyperlink>
        </w:p>
        <w:p w14:paraId="2BF75F2C" w14:textId="6DBA848A" w:rsidR="00C270AB" w:rsidRDefault="00E67C9A">
          <w:pPr>
            <w:pStyle w:val="TOC2"/>
            <w:tabs>
              <w:tab w:val="right" w:leader="dot" w:pos="9350"/>
            </w:tabs>
            <w:rPr>
              <w:rFonts w:eastAsiaTheme="minorEastAsia"/>
              <w:noProof/>
              <w:lang w:eastAsia="en-CA"/>
            </w:rPr>
          </w:pPr>
          <w:hyperlink w:anchor="_Toc72494786" w:history="1">
            <w:r w:rsidR="00C270AB" w:rsidRPr="000A7259">
              <w:rPr>
                <w:rStyle w:val="Hyperlink"/>
                <w:rFonts w:ascii="Times New Roman" w:eastAsiaTheme="majorEastAsia" w:hAnsi="Times New Roman" w:cs="Times New Roman"/>
                <w:noProof/>
              </w:rPr>
              <w:t>Unionisation</w:t>
            </w:r>
            <w:r w:rsidR="00C270AB">
              <w:rPr>
                <w:noProof/>
                <w:webHidden/>
              </w:rPr>
              <w:tab/>
            </w:r>
            <w:r w:rsidR="00C270AB">
              <w:rPr>
                <w:noProof/>
                <w:webHidden/>
              </w:rPr>
              <w:fldChar w:fldCharType="begin"/>
            </w:r>
            <w:r w:rsidR="00C270AB">
              <w:rPr>
                <w:noProof/>
                <w:webHidden/>
              </w:rPr>
              <w:instrText xml:space="preserve"> PAGEREF _Toc72494786 \h </w:instrText>
            </w:r>
            <w:r w:rsidR="00C270AB">
              <w:rPr>
                <w:noProof/>
                <w:webHidden/>
              </w:rPr>
            </w:r>
            <w:r w:rsidR="00C270AB">
              <w:rPr>
                <w:noProof/>
                <w:webHidden/>
              </w:rPr>
              <w:fldChar w:fldCharType="separate"/>
            </w:r>
            <w:r w:rsidR="00C270AB">
              <w:rPr>
                <w:noProof/>
                <w:webHidden/>
              </w:rPr>
              <w:t>49</w:t>
            </w:r>
            <w:r w:rsidR="00C270AB">
              <w:rPr>
                <w:noProof/>
                <w:webHidden/>
              </w:rPr>
              <w:fldChar w:fldCharType="end"/>
            </w:r>
          </w:hyperlink>
        </w:p>
        <w:p w14:paraId="4C0AF1C0" w14:textId="4CE470DA" w:rsidR="00C270AB" w:rsidRDefault="00E67C9A">
          <w:pPr>
            <w:pStyle w:val="TOC2"/>
            <w:tabs>
              <w:tab w:val="right" w:leader="dot" w:pos="9350"/>
            </w:tabs>
            <w:rPr>
              <w:rFonts w:eastAsiaTheme="minorEastAsia"/>
              <w:noProof/>
              <w:lang w:eastAsia="en-CA"/>
            </w:rPr>
          </w:pPr>
          <w:hyperlink w:anchor="_Toc72494787" w:history="1">
            <w:r w:rsidR="00C270AB" w:rsidRPr="000A7259">
              <w:rPr>
                <w:rStyle w:val="Hyperlink"/>
                <w:rFonts w:ascii="Times New Roman" w:eastAsiaTheme="majorEastAsia" w:hAnsi="Times New Roman" w:cs="Times New Roman"/>
                <w:noProof/>
              </w:rPr>
              <w:t>The Intersection of Masculinity, Migration, Work, and Health</w:t>
            </w:r>
            <w:r w:rsidR="00C270AB">
              <w:rPr>
                <w:noProof/>
                <w:webHidden/>
              </w:rPr>
              <w:tab/>
            </w:r>
            <w:r w:rsidR="00C270AB">
              <w:rPr>
                <w:noProof/>
                <w:webHidden/>
              </w:rPr>
              <w:fldChar w:fldCharType="begin"/>
            </w:r>
            <w:r w:rsidR="00C270AB">
              <w:rPr>
                <w:noProof/>
                <w:webHidden/>
              </w:rPr>
              <w:instrText xml:space="preserve"> PAGEREF _Toc72494787 \h </w:instrText>
            </w:r>
            <w:r w:rsidR="00C270AB">
              <w:rPr>
                <w:noProof/>
                <w:webHidden/>
              </w:rPr>
            </w:r>
            <w:r w:rsidR="00C270AB">
              <w:rPr>
                <w:noProof/>
                <w:webHidden/>
              </w:rPr>
              <w:fldChar w:fldCharType="separate"/>
            </w:r>
            <w:r w:rsidR="00C270AB">
              <w:rPr>
                <w:noProof/>
                <w:webHidden/>
              </w:rPr>
              <w:t>51</w:t>
            </w:r>
            <w:r w:rsidR="00C270AB">
              <w:rPr>
                <w:noProof/>
                <w:webHidden/>
              </w:rPr>
              <w:fldChar w:fldCharType="end"/>
            </w:r>
          </w:hyperlink>
        </w:p>
        <w:p w14:paraId="5AE939A0" w14:textId="55D3E43D" w:rsidR="00C270AB" w:rsidRDefault="00E67C9A">
          <w:pPr>
            <w:pStyle w:val="TOC1"/>
            <w:tabs>
              <w:tab w:val="right" w:leader="dot" w:pos="9350"/>
            </w:tabs>
            <w:rPr>
              <w:rFonts w:eastAsiaTheme="minorEastAsia"/>
              <w:noProof/>
              <w:lang w:eastAsia="en-CA"/>
            </w:rPr>
          </w:pPr>
          <w:hyperlink w:anchor="_Toc72494788" w:history="1">
            <w:r w:rsidR="00C270AB" w:rsidRPr="000A7259">
              <w:rPr>
                <w:rStyle w:val="Hyperlink"/>
                <w:rFonts w:ascii="Times New Roman" w:eastAsiaTheme="majorEastAsia" w:hAnsi="Times New Roman" w:cs="Times New Roman"/>
                <w:noProof/>
                <w:lang w:val="en-US"/>
              </w:rPr>
              <w:t>Remediation and Policy Recommendations</w:t>
            </w:r>
            <w:r w:rsidR="00C270AB">
              <w:rPr>
                <w:noProof/>
                <w:webHidden/>
              </w:rPr>
              <w:tab/>
            </w:r>
            <w:r w:rsidR="00C270AB">
              <w:rPr>
                <w:noProof/>
                <w:webHidden/>
              </w:rPr>
              <w:fldChar w:fldCharType="begin"/>
            </w:r>
            <w:r w:rsidR="00C270AB">
              <w:rPr>
                <w:noProof/>
                <w:webHidden/>
              </w:rPr>
              <w:instrText xml:space="preserve"> PAGEREF _Toc72494788 \h </w:instrText>
            </w:r>
            <w:r w:rsidR="00C270AB">
              <w:rPr>
                <w:noProof/>
                <w:webHidden/>
              </w:rPr>
            </w:r>
            <w:r w:rsidR="00C270AB">
              <w:rPr>
                <w:noProof/>
                <w:webHidden/>
              </w:rPr>
              <w:fldChar w:fldCharType="separate"/>
            </w:r>
            <w:r w:rsidR="00C270AB">
              <w:rPr>
                <w:noProof/>
                <w:webHidden/>
              </w:rPr>
              <w:t>55</w:t>
            </w:r>
            <w:r w:rsidR="00C270AB">
              <w:rPr>
                <w:noProof/>
                <w:webHidden/>
              </w:rPr>
              <w:fldChar w:fldCharType="end"/>
            </w:r>
          </w:hyperlink>
        </w:p>
        <w:p w14:paraId="40549806" w14:textId="24815AE6" w:rsidR="00C270AB" w:rsidRDefault="00E67C9A">
          <w:pPr>
            <w:pStyle w:val="TOC1"/>
            <w:tabs>
              <w:tab w:val="right" w:leader="dot" w:pos="9350"/>
            </w:tabs>
            <w:rPr>
              <w:rFonts w:eastAsiaTheme="minorEastAsia"/>
              <w:noProof/>
              <w:lang w:eastAsia="en-CA"/>
            </w:rPr>
          </w:pPr>
          <w:hyperlink w:anchor="_Toc72494789" w:history="1">
            <w:r w:rsidR="00C270AB" w:rsidRPr="000A7259">
              <w:rPr>
                <w:rStyle w:val="Hyperlink"/>
                <w:rFonts w:ascii="Times New Roman" w:eastAsiaTheme="majorEastAsia" w:hAnsi="Times New Roman" w:cs="Times New Roman"/>
                <w:noProof/>
                <w:lang w:val="en-US"/>
              </w:rPr>
              <w:t>Conclusion</w:t>
            </w:r>
            <w:r w:rsidR="00C270AB">
              <w:rPr>
                <w:noProof/>
                <w:webHidden/>
              </w:rPr>
              <w:tab/>
            </w:r>
            <w:r w:rsidR="00C270AB">
              <w:rPr>
                <w:noProof/>
                <w:webHidden/>
              </w:rPr>
              <w:fldChar w:fldCharType="begin"/>
            </w:r>
            <w:r w:rsidR="00C270AB">
              <w:rPr>
                <w:noProof/>
                <w:webHidden/>
              </w:rPr>
              <w:instrText xml:space="preserve"> PAGEREF _Toc72494789 \h </w:instrText>
            </w:r>
            <w:r w:rsidR="00C270AB">
              <w:rPr>
                <w:noProof/>
                <w:webHidden/>
              </w:rPr>
            </w:r>
            <w:r w:rsidR="00C270AB">
              <w:rPr>
                <w:noProof/>
                <w:webHidden/>
              </w:rPr>
              <w:fldChar w:fldCharType="separate"/>
            </w:r>
            <w:r w:rsidR="00C270AB">
              <w:rPr>
                <w:noProof/>
                <w:webHidden/>
              </w:rPr>
              <w:t>56</w:t>
            </w:r>
            <w:r w:rsidR="00C270AB">
              <w:rPr>
                <w:noProof/>
                <w:webHidden/>
              </w:rPr>
              <w:fldChar w:fldCharType="end"/>
            </w:r>
          </w:hyperlink>
        </w:p>
        <w:p w14:paraId="08590369" w14:textId="4C8E36D1" w:rsidR="00C270AB" w:rsidRDefault="00E67C9A">
          <w:pPr>
            <w:pStyle w:val="TOC1"/>
            <w:tabs>
              <w:tab w:val="right" w:leader="dot" w:pos="9350"/>
            </w:tabs>
            <w:rPr>
              <w:rFonts w:eastAsiaTheme="minorEastAsia"/>
              <w:noProof/>
              <w:lang w:eastAsia="en-CA"/>
            </w:rPr>
          </w:pPr>
          <w:hyperlink w:anchor="_Toc72494790" w:history="1">
            <w:r w:rsidR="00C270AB" w:rsidRPr="000A7259">
              <w:rPr>
                <w:rStyle w:val="Hyperlink"/>
                <w:rFonts w:ascii="Times New Roman" w:eastAsiaTheme="majorEastAsia" w:hAnsi="Times New Roman" w:cs="Times New Roman"/>
                <w:noProof/>
                <w:lang w:val="en-US"/>
              </w:rPr>
              <w:t>Appendix - Acronyms</w:t>
            </w:r>
            <w:r w:rsidR="00C270AB">
              <w:rPr>
                <w:noProof/>
                <w:webHidden/>
              </w:rPr>
              <w:tab/>
            </w:r>
            <w:r w:rsidR="00C270AB">
              <w:rPr>
                <w:noProof/>
                <w:webHidden/>
              </w:rPr>
              <w:fldChar w:fldCharType="begin"/>
            </w:r>
            <w:r w:rsidR="00C270AB">
              <w:rPr>
                <w:noProof/>
                <w:webHidden/>
              </w:rPr>
              <w:instrText xml:space="preserve"> PAGEREF _Toc72494790 \h </w:instrText>
            </w:r>
            <w:r w:rsidR="00C270AB">
              <w:rPr>
                <w:noProof/>
                <w:webHidden/>
              </w:rPr>
            </w:r>
            <w:r w:rsidR="00C270AB">
              <w:rPr>
                <w:noProof/>
                <w:webHidden/>
              </w:rPr>
              <w:fldChar w:fldCharType="separate"/>
            </w:r>
            <w:r w:rsidR="00C270AB">
              <w:rPr>
                <w:noProof/>
                <w:webHidden/>
              </w:rPr>
              <w:t>59</w:t>
            </w:r>
            <w:r w:rsidR="00C270AB">
              <w:rPr>
                <w:noProof/>
                <w:webHidden/>
              </w:rPr>
              <w:fldChar w:fldCharType="end"/>
            </w:r>
          </w:hyperlink>
        </w:p>
        <w:p w14:paraId="59E495D4" w14:textId="6C96F071" w:rsidR="00C270AB" w:rsidRDefault="00E67C9A">
          <w:pPr>
            <w:pStyle w:val="TOC1"/>
            <w:tabs>
              <w:tab w:val="right" w:leader="dot" w:pos="9350"/>
            </w:tabs>
            <w:rPr>
              <w:rFonts w:eastAsiaTheme="minorEastAsia"/>
              <w:noProof/>
              <w:lang w:eastAsia="en-CA"/>
            </w:rPr>
          </w:pPr>
          <w:hyperlink w:anchor="_Toc72494791" w:history="1">
            <w:r w:rsidR="00C270AB" w:rsidRPr="000A7259">
              <w:rPr>
                <w:rStyle w:val="Hyperlink"/>
                <w:rFonts w:ascii="Times New Roman" w:eastAsiaTheme="majorEastAsia" w:hAnsi="Times New Roman" w:cs="Times New Roman"/>
                <w:noProof/>
                <w:lang w:val="en-US"/>
              </w:rPr>
              <w:t>Bibliography</w:t>
            </w:r>
            <w:r w:rsidR="00C270AB">
              <w:rPr>
                <w:noProof/>
                <w:webHidden/>
              </w:rPr>
              <w:tab/>
            </w:r>
            <w:r w:rsidR="00C270AB">
              <w:rPr>
                <w:noProof/>
                <w:webHidden/>
              </w:rPr>
              <w:fldChar w:fldCharType="begin"/>
            </w:r>
            <w:r w:rsidR="00C270AB">
              <w:rPr>
                <w:noProof/>
                <w:webHidden/>
              </w:rPr>
              <w:instrText xml:space="preserve"> PAGEREF _Toc72494791 \h </w:instrText>
            </w:r>
            <w:r w:rsidR="00C270AB">
              <w:rPr>
                <w:noProof/>
                <w:webHidden/>
              </w:rPr>
            </w:r>
            <w:r w:rsidR="00C270AB">
              <w:rPr>
                <w:noProof/>
                <w:webHidden/>
              </w:rPr>
              <w:fldChar w:fldCharType="separate"/>
            </w:r>
            <w:r w:rsidR="00C270AB">
              <w:rPr>
                <w:noProof/>
                <w:webHidden/>
              </w:rPr>
              <w:t>60</w:t>
            </w:r>
            <w:r w:rsidR="00C270AB">
              <w:rPr>
                <w:noProof/>
                <w:webHidden/>
              </w:rPr>
              <w:fldChar w:fldCharType="end"/>
            </w:r>
          </w:hyperlink>
        </w:p>
        <w:p w14:paraId="4F6FCD6A" w14:textId="3154D92E" w:rsidR="00D542A1" w:rsidRPr="00D542A1" w:rsidRDefault="00D542A1" w:rsidP="00BE37E2">
          <w:pPr>
            <w:jc w:val="both"/>
            <w:rPr>
              <w:rFonts w:ascii="Times New Roman" w:hAnsi="Times New Roman" w:cs="Times New Roman"/>
              <w:sz w:val="24"/>
              <w:szCs w:val="24"/>
            </w:rPr>
          </w:pPr>
          <w:r w:rsidRPr="00D542A1">
            <w:rPr>
              <w:rFonts w:ascii="Times New Roman" w:hAnsi="Times New Roman" w:cs="Times New Roman"/>
              <w:b/>
              <w:bCs/>
              <w:noProof/>
              <w:sz w:val="24"/>
              <w:szCs w:val="24"/>
            </w:rPr>
            <w:fldChar w:fldCharType="end"/>
          </w:r>
        </w:p>
      </w:sdtContent>
    </w:sdt>
    <w:p w14:paraId="0F28410A" w14:textId="77777777" w:rsidR="00D542A1" w:rsidRPr="00D542A1" w:rsidRDefault="00D542A1" w:rsidP="00BE37E2">
      <w:pPr>
        <w:spacing w:line="276" w:lineRule="auto"/>
        <w:jc w:val="both"/>
        <w:rPr>
          <w:rFonts w:ascii="Times New Roman" w:hAnsi="Times New Roman" w:cs="Times New Roman"/>
          <w:b/>
          <w:bCs/>
          <w:sz w:val="24"/>
          <w:szCs w:val="24"/>
        </w:rPr>
      </w:pPr>
    </w:p>
    <w:p w14:paraId="1653D4D5" w14:textId="77777777" w:rsidR="00D542A1" w:rsidRPr="00D542A1" w:rsidRDefault="00D542A1" w:rsidP="00BE37E2">
      <w:pPr>
        <w:spacing w:line="480" w:lineRule="auto"/>
        <w:jc w:val="both"/>
        <w:rPr>
          <w:rFonts w:ascii="Times New Roman" w:hAnsi="Times New Roman" w:cs="Times New Roman"/>
          <w:b/>
          <w:bCs/>
          <w:sz w:val="24"/>
          <w:szCs w:val="24"/>
        </w:rPr>
      </w:pPr>
    </w:p>
    <w:p w14:paraId="2918ABB3" w14:textId="77777777" w:rsidR="00D542A1" w:rsidRPr="00D542A1" w:rsidRDefault="00D542A1" w:rsidP="00BE37E2">
      <w:pPr>
        <w:spacing w:line="480" w:lineRule="auto"/>
        <w:jc w:val="both"/>
        <w:rPr>
          <w:rFonts w:ascii="Times New Roman" w:hAnsi="Times New Roman" w:cs="Times New Roman"/>
          <w:b/>
          <w:bCs/>
          <w:sz w:val="24"/>
          <w:szCs w:val="24"/>
        </w:rPr>
      </w:pPr>
    </w:p>
    <w:p w14:paraId="327FADF9" w14:textId="77777777" w:rsidR="00D542A1" w:rsidRPr="00D542A1" w:rsidRDefault="00D542A1" w:rsidP="00BE37E2">
      <w:pPr>
        <w:spacing w:line="480" w:lineRule="auto"/>
        <w:jc w:val="both"/>
        <w:rPr>
          <w:rFonts w:ascii="Times New Roman" w:hAnsi="Times New Roman" w:cs="Times New Roman"/>
          <w:b/>
          <w:bCs/>
          <w:sz w:val="24"/>
          <w:szCs w:val="24"/>
        </w:rPr>
      </w:pPr>
    </w:p>
    <w:p w14:paraId="6741E8EB" w14:textId="77777777" w:rsidR="00D542A1" w:rsidRPr="00D542A1" w:rsidRDefault="00D542A1" w:rsidP="00BE37E2">
      <w:pPr>
        <w:spacing w:line="480" w:lineRule="auto"/>
        <w:jc w:val="both"/>
        <w:rPr>
          <w:rFonts w:ascii="Times New Roman" w:hAnsi="Times New Roman" w:cs="Times New Roman"/>
          <w:b/>
          <w:bCs/>
          <w:sz w:val="24"/>
          <w:szCs w:val="24"/>
        </w:rPr>
      </w:pPr>
    </w:p>
    <w:p w14:paraId="669179CD" w14:textId="76A8B525" w:rsidR="00D542A1" w:rsidRDefault="00D542A1" w:rsidP="00BE37E2">
      <w:pPr>
        <w:spacing w:line="480" w:lineRule="auto"/>
        <w:jc w:val="both"/>
        <w:rPr>
          <w:rFonts w:ascii="Times New Roman" w:hAnsi="Times New Roman" w:cs="Times New Roman"/>
          <w:b/>
          <w:bCs/>
          <w:sz w:val="24"/>
          <w:szCs w:val="24"/>
        </w:rPr>
      </w:pPr>
    </w:p>
    <w:p w14:paraId="413A4886" w14:textId="73FD1A43" w:rsidR="00225FB1" w:rsidRDefault="00225FB1" w:rsidP="00BE37E2">
      <w:pPr>
        <w:spacing w:line="480" w:lineRule="auto"/>
        <w:jc w:val="both"/>
        <w:rPr>
          <w:rFonts w:ascii="Times New Roman" w:hAnsi="Times New Roman" w:cs="Times New Roman"/>
          <w:b/>
          <w:bCs/>
          <w:sz w:val="24"/>
          <w:szCs w:val="24"/>
        </w:rPr>
      </w:pPr>
    </w:p>
    <w:p w14:paraId="4FE57785" w14:textId="31271AD6" w:rsidR="00225FB1" w:rsidRDefault="00225FB1" w:rsidP="00BE37E2">
      <w:pPr>
        <w:spacing w:line="480" w:lineRule="auto"/>
        <w:jc w:val="both"/>
        <w:rPr>
          <w:rFonts w:ascii="Times New Roman" w:hAnsi="Times New Roman" w:cs="Times New Roman"/>
          <w:b/>
          <w:bCs/>
          <w:sz w:val="24"/>
          <w:szCs w:val="24"/>
        </w:rPr>
      </w:pPr>
    </w:p>
    <w:p w14:paraId="443D3E56" w14:textId="77777777" w:rsidR="00225FB1" w:rsidRPr="00D542A1" w:rsidRDefault="00225FB1" w:rsidP="00BE37E2">
      <w:pPr>
        <w:spacing w:line="480" w:lineRule="auto"/>
        <w:jc w:val="both"/>
        <w:rPr>
          <w:rFonts w:ascii="Times New Roman" w:hAnsi="Times New Roman" w:cs="Times New Roman"/>
          <w:b/>
          <w:bCs/>
          <w:sz w:val="24"/>
          <w:szCs w:val="24"/>
        </w:rPr>
      </w:pPr>
    </w:p>
    <w:p w14:paraId="75FAA608" w14:textId="3587C8AE" w:rsidR="00D542A1" w:rsidRDefault="00D542A1" w:rsidP="00BE37E2">
      <w:pPr>
        <w:spacing w:line="480" w:lineRule="auto"/>
        <w:jc w:val="both"/>
        <w:rPr>
          <w:rFonts w:ascii="Times New Roman" w:hAnsi="Times New Roman" w:cs="Times New Roman"/>
          <w:b/>
          <w:bCs/>
          <w:sz w:val="24"/>
          <w:szCs w:val="24"/>
        </w:rPr>
      </w:pPr>
    </w:p>
    <w:p w14:paraId="352A89E3" w14:textId="77777777" w:rsidR="00E8410B" w:rsidRPr="00D542A1" w:rsidRDefault="00E8410B" w:rsidP="00BE37E2">
      <w:pPr>
        <w:spacing w:line="480" w:lineRule="auto"/>
        <w:jc w:val="both"/>
        <w:rPr>
          <w:rFonts w:ascii="Times New Roman" w:hAnsi="Times New Roman" w:cs="Times New Roman"/>
          <w:b/>
          <w:bCs/>
          <w:sz w:val="24"/>
          <w:szCs w:val="24"/>
        </w:rPr>
      </w:pPr>
    </w:p>
    <w:p w14:paraId="6CF0D34B" w14:textId="77777777" w:rsidR="00D542A1" w:rsidRPr="00D542A1" w:rsidRDefault="00D542A1" w:rsidP="00BE37E2">
      <w:pPr>
        <w:jc w:val="both"/>
        <w:rPr>
          <w:rFonts w:ascii="Times New Roman" w:hAnsi="Times New Roman" w:cs="Times New Roman"/>
          <w:sz w:val="24"/>
          <w:szCs w:val="24"/>
          <w:lang w:val="en-US"/>
        </w:rPr>
      </w:pPr>
    </w:p>
    <w:p w14:paraId="6DE6E44C"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5" w:name="_Toc72494751"/>
      <w:r w:rsidRPr="00D542A1">
        <w:rPr>
          <w:rFonts w:ascii="Times New Roman" w:eastAsiaTheme="majorEastAsia" w:hAnsi="Times New Roman" w:cs="Times New Roman"/>
          <w:color w:val="2F5496" w:themeColor="accent1" w:themeShade="BF"/>
          <w:sz w:val="24"/>
          <w:szCs w:val="24"/>
          <w:lang w:val="en-US"/>
        </w:rPr>
        <w:lastRenderedPageBreak/>
        <w:t>Introduction</w:t>
      </w:r>
      <w:bookmarkEnd w:id="5"/>
    </w:p>
    <w:p w14:paraId="4DD121C8" w14:textId="77777777" w:rsidR="00D542A1" w:rsidRPr="00D542A1" w:rsidRDefault="00D542A1" w:rsidP="00BE37E2">
      <w:pPr>
        <w:spacing w:line="480" w:lineRule="auto"/>
        <w:jc w:val="both"/>
        <w:rPr>
          <w:rFonts w:ascii="Times New Roman" w:hAnsi="Times New Roman" w:cs="Times New Roman"/>
          <w:sz w:val="24"/>
          <w:szCs w:val="24"/>
          <w:lang w:val="en-US"/>
        </w:rPr>
      </w:pPr>
    </w:p>
    <w:p w14:paraId="6B09DE54" w14:textId="77777777" w:rsidR="00D542A1" w:rsidRPr="00D542A1" w:rsidRDefault="00D542A1" w:rsidP="00BE37E2">
      <w:pPr>
        <w:spacing w:line="480" w:lineRule="auto"/>
        <w:ind w:firstLine="709"/>
        <w:jc w:val="both"/>
        <w:rPr>
          <w:rFonts w:ascii="Times New Roman" w:hAnsi="Times New Roman" w:cs="Times New Roman"/>
          <w:sz w:val="24"/>
          <w:szCs w:val="24"/>
        </w:rPr>
      </w:pPr>
      <w:bookmarkStart w:id="6" w:name="_Hlk72368013"/>
      <w:r w:rsidRPr="00D542A1">
        <w:rPr>
          <w:rFonts w:ascii="Times New Roman" w:hAnsi="Times New Roman" w:cs="Times New Roman"/>
          <w:sz w:val="24"/>
          <w:szCs w:val="24"/>
        </w:rPr>
        <w:t xml:space="preserve">Immigration is the life force of the Canadian workforce and has contributed immensely to the shaping of Canadian demography and its identity as a country </w:t>
      </w:r>
      <w:bookmarkEnd w:id="6"/>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{"citationID":"3AggmORr","properties":{"formattedCitation":"(Boswell et al., 2019; B. D. Gushulak et al., 2011; Hire Immigrants Ottawa, n.d.)","plainCitation":"(Boswell et al., 2019; B. D. Gushulak et al., 2011; Hire Immigrants Ottawa, n.d.)","dontUpdate":true,"noteIndex":0},"citationItems":[{"id":871,"uris":["http://zotero.org/users/5481489/items/954GYTVE"],"uri":["http://zotero.org/users/5481489/items/954GYTVE"],"itemData":{"id":871,"type":"article-journal","language":"en","page":"65","source":"Zotero","title":"Our Immigration Saga: Canada@150","author":[{"family":"Boswell","given":"Randy"},{"family":"Macdonald","given":"Monica"},{"family":"Jedwab","given":"Jack"},{"family":"Weinfeld","given":"Morton"},{"family":"Ziniak","given":"Madeline"},{"family":"Garner","given":"Linton"},{"family":"Siemiatycki","given":"Myer"},{"family":"Go","given":"Avvy"},{"family":"Nipp","given":"Dora"},{"family":"Stanley","given":"Timothy J"},{"family":"Schwinghamer","given":"Steve"},{"family":"Ghosh","given":"Ratna"},{"family":"Armony","given":"Victor"},{"family":"Rohani","given":"Farid"}],"issued":{"date-parts":[["2019"]]}}},{"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id":951,"uris":["http://zotero.org/users/5481489/items/JCCGDAW6"],"uri":["http://zotero.org/users/5481489/items/JCCGDAW6"],"itemData":{"id":951,"type":"post-weblog","abstract":"The short answer is that hiring immigrants and other diverse talent in our city is simply good business. Immigrants are a growing and highly skilled and diverse segment of Ottawa’s population. Businesses that mirror the city’s diversity are better positioned to succeed. Employers in Ottawa who have hired immigrants overwhelmingly say it has brought value ... Read More","container-title":"Hire Immigrants Ottawa","language":"en-US","title":"Why Hire Immigrants?","URL":"http://www.hireimmigrantsottawa.ca/for-employers/why-hire-immigrants/","author":[{"family":"Hire Immigrants Ottawa","given":""}],"accessed":{"date-parts":[["2021",3,2]]}}}],"schema":"https://github.com/citation-style-language/schema/raw/master/csl-citation.json"}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(Boswell et al., 2019; Gushulak et al., 2011; Hire Immigrants Ottawa, n.d.)</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recent years, Canada’s “friendly immigration and refugee policy”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{"citationID":"KUbK1Pmz","properties":{"formattedCitation":"(Ahmed et al., 2016, p. 1)","plainCitation":"(Ahmed et al., 2016, p. 1)","noteIndex":0},"citationItems":[{"id":890,"uris":["http://zotero.org/users/5481489/items/CPPTN4LB"],"uri":["http://zotero.org/users/5481489/items/CPPTN4LB"],"itemData":{"id":890,"type":"article-journal","abstract":"To summarize information obtained from original research about barriers to access of primary healthcare by Canadian immigrants’ and to identify research gaps. Electronic databases of primary research articles and grey literature were searched without restricting the time period. The preferred reporting items for systematic reviews and meta-analyses statement was followed for literature selection. Articles were selected based on three criteria: (a) the study population was Canadian legal immigrant(s), (b) the research was about the barriers to accessing primary healthcare in Canada, and (c) the article was written in English. Relevant information from the articles was extracted into tabular format and classified for thematic analysis. Identified barriers were grouped into five themes: cultural, communication, socio-economic status, healthcare system structure and immigrant knowledge. The barriers to accessing primary healthcare in each of these categories can provide insight and subsequent direction for changes needed to improve immigrant care and mitigate their deterioration in health status. The demographic and ethno-cultural distributions of the study populations across the provinces highlight the need to expand research to encompass more varied immigrant groups across more regions of Canada, including more research on male immigrants and immigrant seniors, and to increase research related to health care providers’ perspectives on the barriers.","container-title":"Journal of Immigrant and Minority Health","DOI":"10.1007/s10903-015-0276-z","ISSN":"1557-1920","issue":"6","journalAbbreviation":"J Immigrant Minority Health","language":"en","page":"1522-1540","source":"Springer Link","title":"Barriers to Access of Primary Healthcare by Immigrant Populations in Canada: A Literature Review","title-short":"Barriers to Access of Primary Healthcare by Immigrant Populations in Canada","volume":"18","author":[{"family":"Ahmed","given":"Salim"},{"family":"Shommu","given":"Nusrat S."},{"family":"Rumana","given":"Nahid"},{"family":"Barron","given":"Gary R. S."},{"family":"Wicklum","given":"Sonja"},{"family":"Turin","given":"Tanvir C."}],"issued":{"date-parts":[["2016",12,1]]}},"locator":"1"}],"schema":"https://github.com/citation-style-language/schema/raw/master/csl-citation.json"}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(Ahmed et al., 2016,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has increased the influx of immigrants from different parts of the world seeking better life choices. Despite Canada’s quest to invite and welcome immigrants, there is a stringent policy in place to ensure immigrants’ health is at its peak before they qualify for admittance into the country</w:t>
      </w:r>
      <w:bookmarkStart w:id="7" w:name="_Hlk64248397"/>
      <w:r w:rsidRPr="00D542A1">
        <w:rPr>
          <w:rFonts w:ascii="Times New Roman" w:hAnsi="Times New Roman" w:cs="Times New Roman"/>
          <w:sz w:val="24"/>
          <w:szCs w:val="24"/>
        </w:rPr>
        <w:t xml:space="preserv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{"citationID":"If3VgHTR","properties":{"formattedCitation":"(B. D. Gushulak et al., 2011; Kalich et al., 2016a)","plainCitation":"(B. D. Gushulak et al., 2011; Kalich et al., 2016a)","dontUpdate":true,"noteIndex":0},"citationItems":[{"id":330,"uris":["http://zotero.org/users/5481489/items/J9PFT2R3"],"uri":["http://zotero.org/users/5481489/items/J9PFT2R3"],"itemData":{"id":330,"type":"article-journal","abstract":"Background: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id":887,"uris":["http://zotero.org/users/5481489/items/LZBJLHTH"],"uri":["http://zotero.org/users/5481489/items/LZBJLHTH"],"itemData":{"id":887,"type":"article-journal","abstract":"Canadian population-based surveys report comparable access to health care services between immigrant and non-immigrant populations, yet other research reports immigrant-speciﬁc access barriers. A scoping review was conducted to explore research regarding Canadian immigrants’ unique experiences in accessing health care, and was guided by the research question: ‘‘What is currently known about the barriers that adult immigrants face when accessing Canadian health care services?’’ The ﬁndings of this study suggest that there are unmet health care access needs speciﬁc to immigrants to Canada. In reviewing research of immigrants’ health care experiences, the most common access barriers were found to be language barriers, barriers to information, and cultural differences. These ﬁndings, in addition to low cultural competency reported by interviewed health care workers in the reviewed articles, indicate inequities in access to Canadian health care services for immigrant populations. Suggestions for future research and programming are discussed.","container-title":"Journal of Immigrant and Minority Health","DOI":"10.1007/s10903-015-0237-6","ISSN":"1557-1912, 1557-1920","issue":"3","journalAbbreviation":"J Immigrant Minority Health","language":"en","page":"697-709","source":"DOI.org (Crossref)","title":"A Scoping Review of Immigrant Experience of Health Care Access Barriers in Canada","volume":"18","author":[{"family":"Kalich","given":"Angela"},{"family":"Heinemann","given":"Lyn"},{"family":"Ghahari","given":"Setareh"}],"issued":{"date-parts":[["2016",6]]}}}],"schema":"https://github.com/citation-style-language/schema/raw/master/csl-citation.json"}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(Gushulak et al., 2011; Kalich et al., 2016a)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Within </w:t>
      </w:r>
      <w:bookmarkStart w:id="8" w:name="_Hlk72368060"/>
      <w:r w:rsidRPr="00D542A1">
        <w:rPr>
          <w:rFonts w:ascii="Times New Roman" w:hAnsi="Times New Roman" w:cs="Times New Roman"/>
          <w:sz w:val="24"/>
          <w:szCs w:val="24"/>
        </w:rPr>
        <w:t xml:space="preserve">the Immigration and Refugee Protection Act (S.C. </w:t>
      </w:r>
      <w:bookmarkStart w:id="9" w:name="_Hlk72368124"/>
      <w:r w:rsidRPr="00D542A1">
        <w:rPr>
          <w:rFonts w:ascii="Times New Roman" w:hAnsi="Times New Roman" w:cs="Times New Roman"/>
          <w:sz w:val="24"/>
          <w:szCs w:val="24"/>
        </w:rPr>
        <w:t>2001, c. 27), paragraph A16(2)(b</w:t>
      </w:r>
      <w:bookmarkEnd w:id="9"/>
      <w:r w:rsidRPr="00D542A1">
        <w:rPr>
          <w:rFonts w:ascii="Times New Roman" w:hAnsi="Times New Roman" w:cs="Times New Roman"/>
          <w:sz w:val="24"/>
          <w:szCs w:val="24"/>
        </w:rPr>
        <w:t xml:space="preserve">), immigrants are required to be in excellent health in order to qualify for admittance into the country </w:t>
      </w:r>
      <w:bookmarkEnd w:id="8"/>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{"citationID":"iu1OCaNP","properties":{"formattedCitation":"(Immigration, 2014)","plainCitation":"(Immigration, 2014)","noteIndex":0},"citationItems":[{"id":768,"uris":["http://zotero.org/users/5481489/items/6MCMKRL5"],"uri":["http://zotero.org/users/5481489/items/6MCMKRL5"],"itemData":{"id":768,"type":"webpage","abstract":"Foreign workers: Assessing medical requirements","container-title":"aem","genre":"program descriptions","language":"eng","note":"Last Modified: 2014-09-17","title":"Foreign workers: Assessing medical requirements","title-short":"Foreign workers","URL":"https://www.canada.ca/en/immigration-refugees-citizenship/corporate/publications-manuals/operational-bulletins-manuals/temporary-residents/foreign-workers/eligibility/assessing-medical-requirements.html","author":[{"family":"Immigration","given":"Refugees and Citizenship Canada"}],"accessed":{"date-parts":[["2021",2,1]]},"issued":{"date-parts":[["2014",5,28]]}}}],"schema":"https://github.com/citation-style-language/schema/raw/master/csl-citation.json"}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(Immigration,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10" w:name="_Hlk72368689"/>
      <w:r w:rsidRPr="00D542A1">
        <w:rPr>
          <w:rFonts w:ascii="Times New Roman" w:hAnsi="Times New Roman" w:cs="Times New Roman"/>
          <w:sz w:val="24"/>
          <w:szCs w:val="24"/>
        </w:rPr>
        <w:t>The implementation of this policy has led to a health advantage for immigrants, relative to the Canadian born population, known as the “healthy immigrant effect</w:t>
      </w:r>
      <w:bookmarkEnd w:id="10"/>
      <w:r w:rsidRPr="00D542A1">
        <w:rPr>
          <w:rFonts w:ascii="Times New Roman" w:hAnsi="Times New Roman" w:cs="Times New Roman"/>
          <w:sz w:val="24"/>
          <w:szCs w:val="24"/>
        </w:rPr>
        <w:t xml:space="preserv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{"citationID":"3s8LFXCE","properties":{"formattedCitation":"(Ahmed et al., 2016; B. D. Gushulak et al., 2011)","plainCitation":"(Ahmed et al., 2016; B. D. Gushulak et al., 2011)","dontUpdate":true,"noteIndex":0},"citationItems":[{"id":890,"uris":["http://zotero.org/users/5481489/items/CPPTN4LB"],"uri":["http://zotero.org/users/5481489/items/CPPTN4LB"],"itemData":{"id":890,"type":"article-journal","abstract":"To summarize information obtained from original research about barriers to access of primary healthcare by Canadian immigrants’ and to identify research gaps. Electronic databases of primary research articles and grey literature were searched without restricting the time period. The preferred reporting items for systematic reviews and meta-analyses statement was followed for literature selection. Articles were selected based on three criteria: (a) the study population was Canadian legal immigrant(s), (b) the research was about the barriers to accessing primary healthcare in Canada, and (c) the article was written in English. Relevant information from the articles was extracted into tabular format and classified for thematic analysis. Identified barriers were grouped into five themes: cultural, communication, socio-economic status, healthcare system structure and immigrant knowledge. The barriers to accessing primary healthcare in each of these categories can provide insight and subsequent direction for changes needed to improve immigrant care and mitigate their deterioration in health status. The demographic and ethno-cultural distributions of the study populations across the provinces highlight the need to expand research to encompass more varied immigrant groups across more regions of Canada, including more research on male immigrants and immigrant seniors, and to increase research related to health care providers’ perspectives on the barriers.","container-title":"Journal of Immigrant and Minority Health","DOI":"10.1007/s10903-015-0276-z","ISSN":"1557-1920","issue":"6","journalAbbreviation":"J Immigrant Minority Health","language":"en","page":"1522-1540","source":"Springer Link","title":"Barriers to Access of Primary Healthcare by Immigrant Populations in Canada: A Literature Review","title-short":"Barriers to Access of Primary Healthcare by Immigrant Populations in Canada","volume":"18","author":[{"family":"Ahmed","given":"Salim"},{"family":"Shommu","given":"Nusrat S."},{"family":"Rumana","given":"Nahid"},{"family":"Barron","given":"Gary R. S."},{"family":"Wicklum","given":"Sonja"},{"family":"Turin","given":"Tanvir C."}],"issued":{"date-parts":[["2016",12,1]]}}},{"id":330,"uris":["http://zotero.org/users/5481489/items/J9PFT2R3"],"uri":["http://zotero.org/users/5481489/items/J9PFT2R3"],"itemData":{"id":330,"type":"article-journal","abstract":"Background: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(Ahmed et al., 2016; Gushulak et al., 2011)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74A33333" w14:textId="1B3547BB" w:rsidR="00D542A1" w:rsidRPr="00D542A1" w:rsidRDefault="00D542A1" w:rsidP="00BE37E2">
      <w:pPr>
        <w:spacing w:after="0" w:line="480" w:lineRule="auto"/>
        <w:ind w:firstLine="709"/>
        <w:jc w:val="both"/>
        <w:rPr>
          <w:rFonts w:ascii="Times New Roman" w:hAnsi="Times New Roman" w:cs="Times New Roman"/>
          <w:sz w:val="24"/>
          <w:szCs w:val="24"/>
        </w:rPr>
      </w:pPr>
      <w:bookmarkStart w:id="11" w:name="_Hlk72368778"/>
      <w:r w:rsidRPr="00D542A1">
        <w:rPr>
          <w:rFonts w:ascii="Times New Roman" w:hAnsi="Times New Roman" w:cs="Times New Roman"/>
          <w:sz w:val="24"/>
          <w:szCs w:val="24"/>
        </w:rPr>
        <w:t xml:space="preserve">Notwithstanding the health advantage, studies have shown that it diminishes over time, especially for temporary migrant workers who are at an increased risk of experiencing “decline in health status and poorer health outcomes” </w:t>
      </w:r>
      <w:bookmarkEnd w:id="11"/>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{"citationID":"NsfYGyGs","properties":{"formattedCitation":"(B. D. Gushulak et al., 2011, p. 955)","plainCitation":"(B. D. Gushulak et al., 2011, p. 955)","dontUpdate":true,"noteIndex":0},"citationItems":[{"id":330,"uris":["http://zotero.org/users/5481489/items/J9PFT2R3"],"uri":["http://zotero.org/users/5481489/items/J9PFT2R3"],"itemData":{"id":330,"type":"article-journal","abstract":"Background: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Hatcher"},{"family":"Torres","given":"Sara"},{"family":"DesMeules","given":"Marie"}],"issued":{"date-parts":[["2011",9,6]]}},"locator":"955"}],"schema":"https://github.com/citation-style-language/schema/raw/master/csl-citation.json"}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(Gushulak et al., 2011, p. 955)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12" w:name="_Hlk72368882"/>
      <w:r w:rsidRPr="00D542A1">
        <w:rPr>
          <w:rFonts w:ascii="Times New Roman" w:hAnsi="Times New Roman" w:cs="Times New Roman"/>
          <w:sz w:val="24"/>
          <w:szCs w:val="24"/>
        </w:rPr>
        <w:t>This paper will focus on migrant workers who came to work in Canada temporarily. Migrant worker refers to any foreign national who migrates to and is working in Canada under the Temporary Foreign Worker Program (TFWP) or the Seasonal Agricultural Worker Program (SAWP).</w:t>
      </w:r>
      <w:bookmarkEnd w:id="12"/>
      <w:r w:rsidRPr="00D542A1">
        <w:rPr>
          <w:rFonts w:ascii="Times New Roman" w:hAnsi="Times New Roman" w:cs="Times New Roman"/>
          <w:sz w:val="24"/>
          <w:szCs w:val="24"/>
        </w:rPr>
        <w:t xml:space="preserve"> </w:t>
      </w:r>
      <w:bookmarkStart w:id="13" w:name="_Hlk69576905"/>
      <w:r w:rsidRPr="00D542A1">
        <w:rPr>
          <w:rFonts w:ascii="Times New Roman" w:hAnsi="Times New Roman" w:cs="Times New Roman"/>
          <w:sz w:val="24"/>
          <w:szCs w:val="24"/>
        </w:rPr>
        <w:t xml:space="preserve">Although their stay is for a relatively short period, these categories of migrants still must go through the </w:t>
      </w:r>
      <w:bookmarkEnd w:id="13"/>
      <w:r w:rsidRPr="00D542A1">
        <w:rPr>
          <w:rFonts w:ascii="Times New Roman" w:hAnsi="Times New Roman" w:cs="Times New Roman"/>
          <w:sz w:val="24"/>
          <w:szCs w:val="24"/>
        </w:rPr>
        <w:t>same medical process to be deemed admissible to Canada. Although they come to Canada healthy, research shows that</w:t>
      </w:r>
      <w:r w:rsidR="00B665A0">
        <w:rPr>
          <w:rFonts w:ascii="Times New Roman" w:hAnsi="Times New Roman" w:cs="Times New Roman"/>
          <w:sz w:val="24"/>
          <w:szCs w:val="24"/>
        </w:rPr>
        <w:t xml:space="preserve"> </w:t>
      </w:r>
      <w:r w:rsidRPr="00D542A1">
        <w:rPr>
          <w:rFonts w:ascii="Times New Roman" w:hAnsi="Times New Roman" w:cs="Times New Roman"/>
          <w:sz w:val="24"/>
          <w:szCs w:val="24"/>
        </w:rPr>
        <w:t xml:space="preserve">their health deteriorates quickly over the years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{"citationID":"xP8KSNR1","properties":{"formattedCitation":"(Immigration, 2014)","plainCitation":"(Immigration, 2014)","noteIndex":0},"citationItems":[{"id":768,"uris":["http://zotero.org/users/5481489/items/6MCMKRL5"],"uri":["http://zotero.org/users/5481489/items/6MCMKRL5"],"itemData":{"id":768,"type":"webpage","abstract":"Foreign workers: Assessing medical requirements","container-title":"aem","genre":"program descriptions","language":"eng","note":"Last Modified: 2014-09-17","title":"Foreign workers: Assessing medical requirements","title-short":"Foreign workers","URL":"https://www.canada.ca/en/immigration-refugees-citizenship/corporate/publications-manuals/operational-bulletins-manuals/temporary-residents/foreign-workers/eligibility/assessing-medical-requirements.html","author":[{"family":"Immigration","given":"Refugees and Citizenship Canada"}],"accessed":{"date-parts":[["2021",2,1]]},"issued":{"date-parts":[["2014",5,28]]}}}],"schema":"https://github.com/citation-style-language/schema/raw/master/csl-citation.json"}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(Immigration,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14" w:name="_Hlk72368937"/>
      <w:r w:rsidRPr="00D542A1">
        <w:rPr>
          <w:rFonts w:ascii="Times New Roman" w:hAnsi="Times New Roman" w:cs="Times New Roman"/>
          <w:sz w:val="24"/>
          <w:szCs w:val="24"/>
        </w:rPr>
        <w:t xml:space="preserve">The decline of migrants’ </w:t>
      </w:r>
      <w:r w:rsidRPr="00D542A1">
        <w:rPr>
          <w:rFonts w:ascii="Times New Roman" w:hAnsi="Times New Roman" w:cs="Times New Roman"/>
          <w:sz w:val="24"/>
          <w:szCs w:val="24"/>
        </w:rPr>
        <w:lastRenderedPageBreak/>
        <w:t xml:space="preserve">health has never been more obvious and rapid than during the COVID -19 pandemic when </w:t>
      </w:r>
      <w:bookmarkEnd w:id="7"/>
      <w:r w:rsidRPr="00D542A1">
        <w:rPr>
          <w:rFonts w:ascii="Times New Roman" w:hAnsi="Times New Roman" w:cs="Times New Roman"/>
          <w:sz w:val="24"/>
          <w:szCs w:val="24"/>
        </w:rPr>
        <w:t>early reports from the US and Canada, showed that migrants were more vulnerable to the virus than non-migrants. And specifically in Canada, male immigrants working in farms and meat packing plants were more vulnerable than non migrants</w:t>
      </w:r>
      <w:bookmarkEnd w:id="14"/>
      <w:r w:rsidRPr="00D542A1">
        <w:rPr>
          <w:rFonts w:ascii="Times New Roman" w:hAnsi="Times New Roman" w:cs="Times New Roman"/>
          <w:sz w:val="24"/>
          <w:szCs w:val="24"/>
        </w:rPr>
        <w:t xml:space="preserv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{"citationID":"SYZFv3vP","properties":{"formattedCitation":"(Dryden, 2020c; Foote, 2020)","plainCitation":"(Dryden, 2020c; Foote, 2020)","noteIndex":0},"citationItems":[{"id":50,"uris":["http://zotero.org/users/5481489/items/S6RHJTKT"],"uri":["http://zotero.org/users/5481489/items/S6RHJTKT"],"itemData":{"id":50,"type":"webpage","abstract":"An Alberta meat-packing plant hit by the largest single-site COVID-19 outbreak in Canada plans to reopen within days, after shutting down for two weeks when hundreds of workers fell ill with the virus and one woman died.","container-title":"CBC","language":"en","title":"Alberta meat-processing plant tied to Canada's largest COVID-19 outbreak to reopen within days | CBC News","URL":"https://www.cbc.ca/news/canada/calgary/cargill-high-river-jon-nash-meat-packing-plant-covid-19-1.5549774","author":[{"family":"Dryden","given":"Joel"}],"accessed":{"date-parts":[["2020",12,5]]},"issued":{"date-parts":[["2020",4,29]]}}},{"id":45,"uris":["http://zotero.org/users/5481489/items/KL79I6T2"],"uri":["http://zotero.org/users/5481489/items/KL79I6T2"],"itemData":{"id":45,"type":"post-weblog","abstract":"Another major COVID-19 outbreak in the largest meat processing facility in Europe has prompted stakeholders to urge the EU Commission to take swift measures to protect workers  in the sector and stem the spread of the virus.","container-title":"www.euractiv.com","language":"en-GB","note":"section: Agrifood","title":"Working conditions in meat processing plants make them hotbed for COVID-19","URL":"https://www.euractiv.com/section/agriculture-food/news/working-conditions-in-meat-processing-plants-make-them-hotbed-for-covid-19/","author":[{"family":"Foote","given":"Natasha"}],"accessed":{"date-parts":[["2020",12,5]]},"issued":{"date-parts":[["2020",6,26]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2020c; Foote,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33F020F1" w14:textId="22C3FB62"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 this paper I explore the intersections of migration, work, and masculinity as three of the key social determinants of health. While most previous research has focused on migrant women, and children excluding migrant men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{"citationID":"KATEpiJ5","properties":{"formattedCitation":"(Kalich et al., 2016b; Pocock et al., 2016)","plainCitation":"(Kalich et al., 2016b; Pocock et al., 2016)","noteIndex":0},"citationItems":[{"id":910,"uris":["http://zotero.org/users/5481489/items/JUEC8XFR"],"uri":["http://zotero.org/users/5481489/items/JUEC8XFR"],"itemData":{"id":910,"type":"article-journal","abstract":"Canadian population-based surveys report comparable access to health care services between immigrant and non-immigrant populations, yet other research reports immigrant-speciﬁc access barriers. A scoping review was conducted to explore research regarding Canadian immigrants’ unique experiences in accessing health care, and was guided by the research question: ‘‘What is currently known about the barriers that adult immigrants face when accessing Canadian health care services?’’ The ﬁndings of this study suggest that there are unmet health care access needs speciﬁc to immigrants to Canada. In reviewing research of immigrants’ health care experiences, the most common access barriers were found to be language barriers, barriers to information, and cultural differences. These ﬁndings, in addition to low cultural competency reported by interviewed health care workers in the reviewed articles, indicate inequities in access to Canadian health care services for immigrant populations. Suggestions for future research and programming are discussed.","container-title":"Journal of Immigrant and Minority Health","DOI":"10.1007/s10903-015-0237-6","ISSN":"1557-1912, 1557-1920","issue":"3","journalAbbreviation":"J Immigrant Minority Health","language":"en","page":"697-709","source":"DOI.org (Crossref)","title":"A Scoping Review of Immigrant Experience of Health Care Access Barriers in Canada","volume":"18","author":[{"family":"Kalich","given":"Angela"},{"family":"Heinemann","given":"Lyn"},{"family":"Ghahari","given":"Setareh"}],"issued":{"date-parts":[["2016",6]]}}},{"id":100,"uris":["http://zotero.org/users/5481489/items/HJTP3ZCF"],"uri":["http://zotero.org/users/5481489/items/HJTP3ZCF"],"itemData":{"id":100,"type":"article-journal","abstract":"Background\nMen comprise nearly two-thirds of trafficked and forced labourers in common low-skilled labour sectors including fishing, agriculture and factory work. Yet, most evidence on human trafficking has focused on women and girls trafficked for sex work, with scant research on trafficked men and boys.\nMethods\nWe analyse survey data from the largest systematic consecutive sample of trafficked people collected to date to describe the prevalence of violence, occupational health risks and injuries and associated factors. Participants were labour-trafficked men and boys using post-trafficking support services in Thailand, Cambodia and Vietnam.\nFindings\nData are presented on 446 males aged 10–58. Men and boys were mainly trafficked for fishing (61.7%), manufacturing (19.1%) and begging (5.2%). Fishermen worked extensive hours (mean 18.8 hours/day, SD 5.9) and factory workers worked on average 11.9 hours/day (SD 2.9). 35.5% of male survivors had been injured while trafficked; 29.4% received no personal protective equipment (e.g. gloves). The most commonly reported injuries among all males were deep cuts (61.8%) and skin injuries (36.7%), injuries for which fewer than one-quarter reported receiving medical care. Six fishermen lost body parts, none of whom received medical care. Most males (80.5%) had no or very few rest breaks. One-third (37.8%) experienced severe violence. Work-related injuries were associated with severe violence (AOR 3.44, CI:1.63–7.26), being in the fishing sector, (AOR 4.12, CI:2.39–7.09) and threats (AOR 2.77, CI:1.62–4.75). Experiencing any violence was associated with threats (AOR 26.86, CI:14.0–51.23), being in the fishing sector (AOR 18.53, CI:8.74–39.28) and fluency in language of destination country (AOR 0.39, CI:0.20–0.75).\nConclusion\nThis study highlights the abuse and extreme occupational hazards suffered by trafficked men and boys. Occupational health and safety interventions are urgently needed to protect male migrant labourers working in high-risk sectors, particularly fishing.","container-title":"PLoS One; San Francisco","DOI":"http://dx.doi.org.proxy.bib.uottawa.ca/10.1371/journal.pone.0168500","issue":"12","language":"English","note":"number-of-pages: e0168500\npublisher-place: San Francisco, United States, San Francisco\npublisher: Public Library of Science\nsection: Research Article","page":"e0168500","source":"ProQuest","title":"Labour Trafficking among Men and Boys in the Greater Mekong Subregion: Exploitation, Violence, Occupational Health Risks and Injuries","title-short":"Labour Trafficking among Men and Boys in the Greater Mekong Subregion","volume":"11","author":[{"family":"Pocock","given":"Nicola S."},{"family":"Kiss","given":"Ligia"},{"family":"Oram","given":"Sian"},{"family":"Zimmerman","given":"Cathy"}],"issued":{"date-parts":[["2016",12]]}}}],"schema":"https://github.com/citation-style-language/schema/raw/master/csl-citation.json"}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(Kalich et al., 2016; Pocock et al.,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pandemic has shined a spotlight on the vulnerabilities migrant men have faced for years that led to their greater vulnerability to COVID –19. This paper is structured into two sections: (1) a review of scholarly literature, that includes an exploration of the social determinants of health, healthy immigrant effect, theories of intersectionality and masculinity, to aid in understanding why male migrant health deteriorates so rapidly after migration; and (2) an application of these concepts in two case studies of Canadian migrant men, farm workers, and workers in meatpacking plants. Based on my analysis of the evidence, </w:t>
      </w:r>
      <w:bookmarkStart w:id="15" w:name="_Hlk72369012"/>
      <w:r w:rsidRPr="00D542A1">
        <w:rPr>
          <w:rFonts w:ascii="Times New Roman" w:hAnsi="Times New Roman" w:cs="Times New Roman"/>
          <w:sz w:val="24"/>
          <w:szCs w:val="24"/>
        </w:rPr>
        <w:t>I argue that the pandemic did not create vulnerabilities for migrant men, but rather amplify and expose the pre-existing inequalities that were hidden in plain sight or deliberately ignored all along.</w:t>
      </w:r>
    </w:p>
    <w:p w14:paraId="1E2C894E"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16" w:name="_Toc72494752"/>
      <w:bookmarkEnd w:id="15"/>
      <w:r w:rsidRPr="00D542A1">
        <w:rPr>
          <w:rFonts w:ascii="Times New Roman" w:eastAsiaTheme="majorEastAsia" w:hAnsi="Times New Roman" w:cs="Times New Roman"/>
          <w:color w:val="2F5496" w:themeColor="accent1" w:themeShade="BF"/>
          <w:sz w:val="24"/>
          <w:szCs w:val="24"/>
          <w:lang w:val="en-US"/>
        </w:rPr>
        <w:t>Background</w:t>
      </w:r>
      <w:bookmarkEnd w:id="16"/>
    </w:p>
    <w:p w14:paraId="2D9C4151"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17" w:name="_Toc72494753"/>
      <w:r w:rsidRPr="00D542A1">
        <w:rPr>
          <w:rFonts w:ascii="Times New Roman" w:eastAsiaTheme="majorEastAsia" w:hAnsi="Times New Roman" w:cs="Times New Roman"/>
          <w:color w:val="2F5496" w:themeColor="accent1" w:themeShade="BF"/>
          <w:sz w:val="24"/>
          <w:szCs w:val="24"/>
          <w:lang w:val="en-US"/>
        </w:rPr>
        <w:t>The Pandemic Context</w:t>
      </w:r>
      <w:bookmarkEnd w:id="17"/>
    </w:p>
    <w:p w14:paraId="5E827AF1" w14:textId="77777777" w:rsidR="00D542A1" w:rsidRPr="00D542A1" w:rsidRDefault="00D542A1" w:rsidP="00BE37E2">
      <w:pPr>
        <w:jc w:val="both"/>
        <w:rPr>
          <w:rFonts w:ascii="Times New Roman" w:hAnsi="Times New Roman" w:cs="Times New Roman"/>
          <w:sz w:val="24"/>
          <w:szCs w:val="24"/>
          <w:lang w:val="en-US"/>
        </w:rPr>
      </w:pPr>
    </w:p>
    <w:p w14:paraId="4EB36A6F"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In December 2019, a global threat emerged with the new strain of the coronavirus, Severe Acute Respiratory Syndrome Coronavirus 2 (SARS-CoV-2) traced to Wuhan, China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{"citationID":"kAKlpnHJ","properties":{"formattedCitation":"(Fu et al., 2020)","plainCitation":"(Fu et al., 2020)","noteIndex":0},"citationItems":[{"id":745,"uris":["http://zotero.org/users/5481489/items/4RVRKLHU"],"uri":["http://zotero.org/users/5481489/items/4RVRKLHU"],"itemData":{"id":745,"type":"article-journal","abstract":"&lt;h2&gt;Summary&lt;/h2&gt;&lt;h3&gt;Objective&lt;/h3&gt;&lt;p&gt;To better inform efforts to treat and control the current outbreak with a comprehensive characterization of COVID-19.&lt;/p&gt;&lt;h3&gt;Methods&lt;/h3&gt;&lt;p&gt;We searched PubMed, EMBASE, Web of Science, and CNKI (Chinese Database) for studies published as of March 2, 2020, and we searched references of identified articles. Studies were reviewed for methodological quality. A random-effects model was used to pool results. Heterogeneity was assessed using &lt;i&gt;I&lt;sup&gt;2&lt;/sup&gt;&lt;/i&gt;. Publication bias was assessed using Egger's test.&lt;/p&gt;&lt;h3&gt;Results&lt;/h3&gt;&lt;p&gt;43 studies involving 3600 patients were included. Among COVID-19 patients, fever (83.3% [95% CI 78.4–87.7]), cough (60.3% [54.2–66.3]), and fatigue (38.0% [29.8–46.5]) were the most common clinical symptoms. The most common laboratory abnormalities were elevated C-reactive protein (68.6% [58.2–78.2]), decreased lymphocyte count (57.4% [44.8–69.5]) and increased lactate dehydrogenase (51.6% [31.4–71.6]). Ground-glass opacities (80.0% [67.3–90.4]) and bilateral pneumonia (73.2% [63.4–82.1]) were the most frequently reported findings on computed tomography. The overall estimated proportion of severe cases and case-fatality rate (CFR) was 25.6% (17.4–34.9) and 3.6% (1.1–7.2), respectively. CFR and laboratory abnormalities were higher in severe cases, patients from Wuhan, and older patients, but CFR did not differ by gender.&lt;/p&gt;&lt;h3&gt;Conclusions&lt;/h3&gt;&lt;p&gt;The majority of COVID-19 cases are symptomatic with a moderate CFR. Patients living in Wuhan, older patients, and those with medical comorbidities tend to have more severe clinical symptoms and higher CFR.&lt;/p&gt;","container-title":"Journal of Infection","DOI":"10.1016/j.jinf.2020.03.041","ISSN":"0163-4453, 1532-2742","issue":"6","journalAbbreviation":"Journal of Infection","language":"English","note":"publisher: Elsevier\nPMID: 32283155","page":"656-665","source":"www.journalofinfection.com","title":"Clinical characteristics of coronavirus disease 2019 (COVID-19) in China: A systematic review and meta-analysis","title-short":"Clinical characteristics of coronavirus disease 2019 (COVID-19) in China","volume":"80","author":[{"family":"Fu","given":"Leiwen"},{"family":"Wang","given":"Bingyi"},{"family":"Yuan","given":"Tanwei"},{"family":"Chen","given":"Xiaoting"},{"family":"Ao","given":"Yunlong"},{"family":"Fitzpatrick","given":"Thomas"},{"family":"Li","given":"Peiyang"},{"family":"Zhou","given":"Yiguo"},{"family":"Lin","given":"Yi-fan"},{"family":"Duan","given":"Qibin"},{"family":"Luo","given":"Ganfeng"},{"family":"Fan","given":"Song"},{"family":"Lu","given":"Yong"},{"family":"Feng","given":"Anping"},{"family":"Zhan","given":"Yuewei"},{"family":"Liang","given":"Bowen"},{"family":"Cai","given":"Weiping"},{"family":"Zhang","given":"Lin"},{"family":"Du","given":"Xiangjun"},{"family":"Li","given":"Linghua"},{"family":"Shu","given":"Yuelong"},{"family":"Zou","given":"Huachun"}],"issued":{"date-parts":[["2020",6,1]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(Fu et al.,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novel coronavirus, also known as COVID-19, spread like wildfire around the globe and was officially declared a pandemic by the World Health Organisation (WHO) on March 11, 2020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{"citationID":"FZ98oO0f","properties":{"formattedCitation":"(Cucinotta &amp; Vanelli, 2020)","plainCitation":"(Cucinotta &amp; Vanelli, 2020)","noteIndex":0},"citationItems":[{"id":749,"uris":["http://zotero.org/users/5481489/items/S74XQECL"],"uri":["http://zotero.org/users/5481489/items/S74XQECL"],"itemData":{"id":749,"type":"article-journal","abstract":"The World Health Organization (WHO) on March 11, 2020, has declared the novel coronavirus (COVID-19) outbreak a global pandemic (1). At a news briefing , WHO Director-General, Dr. Tedros Adhanom Ghebreyesus, noted that over the past 2 weeks, the number of cases outside China increased 13-fold and the number of countries with cases increased threefold. Further increases are expected. He said that the WHO is \"deeply concerned both by the alarming levels of spread and severity and by the alarming levels of inaction,\" and he called on countries to take action now to contain the virus. \"We should double down,\" he said. \"We should be more aggressive.\" [...].","container-title":"Acta Bio-Medica: Atenei Parmensis","DOI":"10.23750/abm.v91i1.9397","ISSN":"2531-6745","issue":"1","journalAbbreviation":"Acta Biomed","language":"eng","note":"PMID: 32191675\nPMCID: PMC7569573","page":"157-160","source":"PubMed","title":"WHO Declares COVID-19 a Pandemic","volume":"91","author":[{"family":"Cucinotta","given":"Domenico"},{"family":"Vanelli","given":"Maurizio"}],"issued":{"date-parts":[["2020",3,19]]}}}],"schema":"https://github.com/citation-style-language/schema/raw/master/csl-citation.json"}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(Cucinotta &amp; Vanelli,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the first wave of the COVID -19 pandemic, the Centers for Disease </w:t>
      </w:r>
      <w:r w:rsidRPr="00D542A1">
        <w:rPr>
          <w:rFonts w:ascii="Times New Roman" w:hAnsi="Times New Roman" w:cs="Times New Roman"/>
          <w:sz w:val="24"/>
          <w:szCs w:val="24"/>
        </w:rPr>
        <w:lastRenderedPageBreak/>
        <w:t xml:space="preserve">Control and Prevention (CDC) released a preliminary report on the pandemic showing that the rate of infection was significantly higher in non-white than white communities and that men were more severely affected than women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{"citationID":"1JrzDqdz","properties":{"formattedCitation":"(Wortham, 2020)","plainCitation":"(Wortham, 2020)","noteIndex":0},"citationItems":[{"id":234,"uris":["http://zotero.org/users/5481489/items/B9ZK2BM8"],"uri":["http://zotero.org/users/5481489/items/B9ZK2BM8"],"itemData":{"id":234,"type":"article-journal","abstract":"During January 1, 2020–May 18, 2020, approximately 1.3 million cases of coronavirus disease 2019 (COVID-19) and 83,000 COVID-19–associated deaths were reported in the United States (1).","container-title":"MMWR. Morbidity and Mortality Weekly Report","DOI":"10.15585/mmwr.mm6928e1","ISSN":"0149-21951545-861X","journalAbbreviation":"MMWR Morb Mortal Wkly Rep","language":"en-us","source":"www.cdc.gov","title":"Characteristics of Persons Who Died with COVID-19 — United States, February 12–May 18, 2020","URL":"https://www.cdc.gov/mmwr/volumes/69/wr/mm6928e1.htm","volume":"69","author":[{"family":"Wortham","given":"Jonathan M."}],"accessed":{"date-parts":[["2020",9,29]]},"issued":{"date-parts":[["2020"]]}}}],"schema":"https://github.com/citation-style-language/schema/raw/master/csl-citation.json"}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(Wortham,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Specifically, according to an analysis of about 40,000 cases in China, the fatality rate was 2.8% in men compared with 1.7% for women; a similar trend was also noticed in Italy, another hot zone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{"citationID":"Ry0uRr9S","properties":{"formattedCitation":"(Kelly, 2020)","plainCitation":"(Kelly, 2020)","noteIndex":0},"citationItems":[{"id":776,"uris":["http://zotero.org/users/5481489/items/FP3KWF2F"],"uri":["http://zotero.org/users/5481489/items/FP3KWF2F"],"itemData":{"id":776,"type":"webpage","abstract":"Men appear to be more likely to die from COVID-19 than women. Scientists have theories — women may have better immune systems, or sex hormones may play a role in the body's response to infection.","container-title":"NPR.org","language":"en","title":"Scientists Want To Know Why More Men Than Women Are Apparently Dying Of COVID-19","URL":"https://www.npr.org/2020/04/08/830205897/scientists-want-to-know-why-more-men-than-women-are-apparently-dying-of-covid-19","author":[{"family":"Kelly","given":"Mary Louise"}],"accessed":{"date-parts":[["2021",2,2]]},"issued":{"date-parts":[["2020"]]}}}],"schema":"https://github.com/citation-style-language/schema/raw/master/csl-citation.json"}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(Kelly,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406F9F7"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Following the declaration of COVID -19 as a pandemic, a new era was birthed in global affairs redefining the global economy, migration, travelling and ways of living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{"citationID":"6t9IfaTJ","properties":{"formattedCitation":"(Cucinotta &amp; Vanelli, 2020)","plainCitation":"(Cucinotta &amp; Vanelli, 2020)","noteIndex":0},"citationItems":[{"id":749,"uris":["http://zotero.org/users/5481489/items/S74XQECL"],"uri":["http://zotero.org/users/5481489/items/S74XQECL"],"itemData":{"id":749,"type":"article-journal","abstract":"The World Health Organization (WHO) on March 11, 2020, has declared the novel coronavirus (COVID-19) outbreak a global pandemic (1). At a news briefing , WHO Director-General, Dr. Tedros Adhanom Ghebreyesus, noted that over the past 2 weeks, the number of cases outside China increased 13-fold and the number of countries with cases increased threefold. Further increases are expected. He said that the WHO is \"deeply concerned both by the alarming levels of spread and severity and by the alarming levels of inaction,\" and he called on countries to take action now to contain the virus. \"We should double down,\" he said. \"We should be more aggressive.\" [...].","container-title":"Acta Bio-Medica: Atenei Parmensis","DOI":"10.23750/abm.v91i1.9397","ISSN":"2531-6745","issue":"1","journalAbbreviation":"Acta Biomed","language":"eng","note":"PMID: 32191675\nPMCID: PMC7569573","page":"157-160","source":"PubMed","title":"WHO Declares COVID-19 a Pandemic","volume":"91","author":[{"family":"Cucinotta","given":"Domenico"},{"family":"Vanelli","given":"Maurizio"}],"issued":{"date-parts":[["2020",3,19]]}}}],"schema":"https://github.com/citation-style-language/schema/raw/master/csl-citation.json"}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(Cucinotta &amp; Vanelli,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Travelling and migration processing stalled and, in some cases, came to a standstill because countries shut down their borders to curtail the spread of the virus and deaths globally. The effect of the shutdown was hard on some migrant receiving countries like the US and Canada, in particular, who depend on migrants for their agricultural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{"citationID":"EqrkgTAO","properties":{"formattedCitation":"(Foster et al., 2015)","plainCitation":"(Foster et al., 2015)","noteIndex":0},"citationItems":[{"id":63,"uris":["http://zotero.org/users/5481489/items/T9LDVICY"],"uri":["http://zotero.org/users/5481489/items/T9LDVICY"],"itemData":{"id":63,"type":"article-journal","abstract":"This study examines how five unions in the Canadian province of Alberta responded to a sudden influx of temporary foreign workers (TFWs), as part of Canadian employers? increased use of migrant workers in the mid-2000s. The authors find three types of response to the new TFW members: resistive, facilitative and active. Furthermore, these responses were dynamic and changing over time. The different responses are best explained not by the unions? institutional context, but by internal factors shaping each union?s response. Drawing upon the concept of referential unionisms, the study explores how unions? self-identity shapes their responses to new challenges such as the influx of migrant workers.","container-title":"Work, Employment and Society","DOI":"10.1177/0950017014559964","ISSN":"0950-0170","issue":"3","journalAbbreviation":"Work, Employment and Society","note":"publisher: SAGE Publications Ltd","page":"409-426","source":"SAGE Journals","title":"The dynamics of union responses to migrant workers in Canada","volume":"29","author":[{"family":"Foster","given":"Jason"},{"family":"Taylor","given":"Alison"},{"family":"Khan","given":"Candy"}],"issued":{"date-parts":[["2015",6,1]]}}}],"schema":"https://github.com/citation-style-language/schema/raw/master/csl-citation.json"}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(Foster et al., 2015)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and health care sectors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{"citationID":"jEfOvBJh","properties":{"formattedCitation":"(Bourgeault et al., 2016)","plainCitation":"(Bourgeault et al., 2016)","noteIndex":0},"citationItems":[{"id":95,"uris":["http://zotero.org/users/5481489/items/8P2V2W3A"],"uri":["http://zotero.org/users/5481489/items/8P2V2W3A"],"itemData":{"id":95,"type":"article-journal","language":"en","page":"18","source":"Zotero","title":"Professions and the migration of expert labour: towards an intersectional analysis of transnational mobility patterns and integration pathways of health professionals","author":[{"family":"Bourgeault","given":"Ivy Lynn"},{"family":"Wrede","given":"Sirpa"},{"family":"Benoit","given":"Cecilia"},{"family":"Neiterman","given":"Elena"}],"issued":{"date-parts":[["2016"]]}}}],"schema":"https://github.com/citation-style-language/schema/raw/master/csl-citation.json"}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(Bourgeault et al.,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Canada’s dependence on migration for economic and population growth, is so widespread that it earned the term “a nation of immigrants”,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{"citationID":"OjlxvWW1","properties":{"formattedCitation":"(Boswell et al., 2019, p. 13)","plainCitation":"(Boswell et al., 2019, p. 13)","noteIndex":0},"citationItems":[{"id":871,"uris":["http://zotero.org/users/5481489/items/954GYTVE"],"uri":["http://zotero.org/users/5481489/items/954GYTVE"],"itemData":{"id":871,"type":"article-journal","language":"en","page":"65","source":"Zotero","title":"Our Immigration Saga: Canada@150","author":[{"family":"Boswell","given":"Randy"},{"family":"Macdonald","given":"Monica"},{"family":"Jedwab","given":"Jack"},{"family":"Weinfeld","given":"Morton"},{"family":"Ziniak","given":"Madeline"},{"family":"Garner","given":"Linton"},{"family":"Siemiatycki","given":"Myer"},{"family":"Go","given":"Avvy"},{"family":"Nipp","given":"Dora"},{"family":"Stanley","given":"Timothy J"},{"family":"Schwinghamer","given":"Steve"},{"family":"Ghosh","given":"Ratna"},{"family":"Armony","given":"Victor"},{"family":"Rohani","given":"Farid"}],"issued":{"date-parts":[["2019"]]}},"locator":"13"}],"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(Boswell et al., 2019, p. 13)</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Canada, the migration streams specific to the agricultural sectors are the Temporary Foreign Workers Program (TFWP) and the Seasonal Agricultural Workers Program (SAWP)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{"citationID":"vUfDuRER","properties":{"formattedCitation":"(Hennebry, 2010; Perry, 2018)","plainCitation":"(Hennebry, 2010; Perry, 2018)","noteIndex":0},"citationItems":[{"id":743,"uris":["http://zotero.org/users/5481489/items/KM5JV5U2"],"uri":["http://zotero.org/users/5481489/items/KM5JV5U2"],"itemData":{"id":743,"type":"article-journal","abstract":"Canadian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2AB06A2C"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18" w:name="_Toc72494754"/>
      <w:r w:rsidRPr="00D542A1">
        <w:rPr>
          <w:rFonts w:ascii="Times New Roman" w:eastAsiaTheme="majorEastAsia" w:hAnsi="Times New Roman" w:cs="Times New Roman"/>
          <w:color w:val="2F5496" w:themeColor="accent1" w:themeShade="BF"/>
          <w:sz w:val="24"/>
          <w:szCs w:val="24"/>
        </w:rPr>
        <w:t>Seasonal Agricultural Workers Program (SAWP)</w:t>
      </w:r>
      <w:bookmarkEnd w:id="18"/>
    </w:p>
    <w:p w14:paraId="4CE5F3F9" w14:textId="77777777" w:rsidR="00D542A1" w:rsidRPr="00D542A1" w:rsidRDefault="00D542A1" w:rsidP="00BE37E2">
      <w:pPr>
        <w:jc w:val="both"/>
        <w:rPr>
          <w:rFonts w:ascii="Times New Roman" w:hAnsi="Times New Roman" w:cs="Times New Roman"/>
          <w:sz w:val="24"/>
          <w:szCs w:val="24"/>
        </w:rPr>
      </w:pPr>
    </w:p>
    <w:p w14:paraId="2CCD7711" w14:textId="0979F7FC"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 The Seasonal Agricultural Workers Program (SAWP) was established in 1966 as a way of bringing (largely) Jamaican workers to Canada to help make up for a shortage of apple pickers. The SAWP is now open only to workers from many countries, including Mexico, Jamaica, Barbados, Trinidad, and Tobago and the nine countries of the Organization of Eastern Caribbean States. Under the SAWP, workers can get work permits of up to eight months, and employers can request to have specific workers return to work for them in subsequent years, prior to approval by </w:t>
      </w:r>
      <w:r w:rsidRPr="00D542A1">
        <w:rPr>
          <w:rFonts w:ascii="Times New Roman" w:hAnsi="Times New Roman" w:cs="Times New Roman"/>
          <w:sz w:val="24"/>
          <w:szCs w:val="24"/>
        </w:rPr>
        <w:lastRenderedPageBreak/>
        <w:t xml:space="preserve">the home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{"citationID":"RaxiwC8i","properties":{"formattedCitation":"(Budworth et al., 2017; Perry, 2018)","plainCitation":"(Budworth et al., 2017; Perry, 2018)","noteIndex":0},"citationItems":[{"id":1125,"uris":["http://zotero.org/users/5481489/items/YGNNRWRA"],"uri":["http://zotero.org/users/5481489/items/YGNNRWRA"],"itemData":{"id":1125,"type":"article","title":"Report on the Seasonal Agricultural  Worker Program","author":[{"family":"Budworth","given":"Marie-Hélène"},{"family":"Rose","given":"Andrew"},{"family":"Mann","given":"Sara"}],"issued":{"date-parts":[["2017"]]}}},{"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(Budworth et al., 2017;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Binford (2019) explained the technicality of the migrant’s contract stating that the </w:t>
      </w:r>
    </w:p>
    <w:p w14:paraId="615D9852" w14:textId="77777777" w:rsidR="00D542A1" w:rsidRPr="00D542A1" w:rsidRDefault="00D542A1" w:rsidP="00BE37E2">
      <w:pPr>
        <w:spacing w:line="240" w:lineRule="auto"/>
        <w:ind w:left="851" w:right="1280"/>
        <w:jc w:val="both"/>
        <w:rPr>
          <w:rFonts w:ascii="Times New Roman" w:hAnsi="Times New Roman" w:cs="Times New Roman"/>
          <w:sz w:val="24"/>
          <w:szCs w:val="24"/>
        </w:rPr>
      </w:pPr>
      <w:r w:rsidRPr="00D542A1">
        <w:rPr>
          <w:rFonts w:ascii="Times New Roman" w:hAnsi="Times New Roman" w:cs="Times New Roman"/>
          <w:sz w:val="24"/>
          <w:szCs w:val="24"/>
        </w:rPr>
        <w:t xml:space="preserve">contract’s timing and length depend on the needs of the employer, but it must be at least 6 weeks long and cannot exceed 8 months. When it ends, workers are required to leave Canada, though they can return the following year. Some workers with years of experience and 6- to 8-month contracts have spent more time in Canada over the last 20 years than they have in their home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{"citationID":"B4cOjc5d","properties":{"formattedCitation":"(2019, p. 349)","plainCitation":"(2019, p. 349)","dontUpdate":true,"noteIndex":0},"citationItems":[{"id":1305,"uris":["http://zotero.org/users/5481489/items/BDUIA38A"],"uri":["http://zotero.org/users/5481489/items/BDUIA38A"],"itemData":{"id":1305,"type":"article-journal","abstract":"This article assesses Temporary Foreign Worker Programs (TFWPs) through the prism of Canada’s Seasonal Agriculture Worker Program (SAWP), often represented as a model because of the many rights granted workers and the multiple forms of protection put in place to protect those rights. A careful study of the extant anthropological and sociological literatures, including the author’s work, reveal the immense power that growers wield over temporary foreign workers from Mexico and various English-speaking Caribbean nations. Two consequences of this power have been rises in productivity and the expansion of the SAWP, to the point that it dominates key sectors of Canadian agriculture. Workers are either prevented from joining unions or punished, via blacklisting in some cases, for forming local bargaining units. The author suggests that all such programs be dismantled. At the least, the question of the future of TFWPs merits open and frank discussion.","container-title":"Dialectical Anthropology","DOI":"http://dx.doi.org.proxy.bib.uottawa.ca/10.1007/s10624-019-09553-6","ISSN":"03044092","issue":"4","language":"English","note":"number-of-pages: 347-366\npublisher-place: Amsterdam, Netherlands\npublisher: Springer Nature B.V.","page":"347-366","source":"ProQuest","title":"Assessing temporary foreign worker programs through the prism of Canada’s Seasonal Agricultural Worker Program: can they be reformed or should they be eliminated?","title-short":"Assessing temporary foreign worker programs through the prism of Canada’s Seasonal Agricultural Worker Program","volume":"43","author":[{"family":"Binford","given":"Arthur Leigh"}],"issued":{"date-parts":[["2019"]]}},"locator":"349","suppress-author":true}],"schema":"https://github.com/citation-style-language/schema/raw/master/csl-citation.json"}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349)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EA97720" w14:textId="77777777" w:rsidR="00D542A1" w:rsidRPr="00D542A1" w:rsidRDefault="00D542A1" w:rsidP="00BE37E2">
      <w:pPr>
        <w:spacing w:line="480" w:lineRule="auto"/>
        <w:ind w:right="1280"/>
        <w:jc w:val="both"/>
        <w:rPr>
          <w:rFonts w:ascii="Times New Roman" w:hAnsi="Times New Roman" w:cs="Times New Roman"/>
          <w:sz w:val="24"/>
          <w:szCs w:val="24"/>
        </w:rPr>
      </w:pPr>
      <w:r w:rsidRPr="00D542A1">
        <w:rPr>
          <w:rFonts w:ascii="Times New Roman" w:hAnsi="Times New Roman" w:cs="Times New Roman"/>
          <w:sz w:val="24"/>
          <w:szCs w:val="24"/>
        </w:rPr>
        <w:t xml:space="preserve">Majority of the migrant workers are coming from Mexico and work in farms in Ontario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{"citationID":"vi4FfE23","properties":{"formattedCitation":"(Basok, 2002; Perry, 2018)","plainCitation":"(Basok, 2002; Perry, 2018)","noteIndex":0},"citationItems":[{"id":1214,"uris":["http://zotero.org/users/5481489/items/UXRVD2EM"],"uri":["http://zotero.org/users/5481489/items/UXRVD2EM"],"itemData":{"id":1214,"type":"chapter","abstract":"As discussed in chapter 2 , demands for agricultural wage labour have been rising since the 1940s. At the same time, Canadian growers have experienced significant problems trying to recruit farm help among domestic workers. But the biggest problem that has plagued Canadian food growers has been a failure to retain hired help (see chapter 3). Many factors contribute to the high turnover rate among farm workers. Among them are relationships with the employer, the method of recruitment, the presence of a signed contract, and the origin of the workers. But the most significant factors affecting turnover are working conditions","archive":"JSTOR","collection-title":"Transmigrant Mexican Harvesters in Canada","container-title":"Tortillas and Tomatoes","ISBN":"978-0-7735-2338-8","page":"58-68","publisher":"McGill-Queen's University Press","title":"Vulnerable Labour in a Vulnerable Sector","URL":"http://www.jstor.org/stable/j.ctt8174r.7","author":[{"family":"Basok","given":"Tanya"}],"accessed":{"date-parts":[["2021",4,1]]},"issued":{"date-parts":[["2002"]]}}},{"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(Basok, 2002;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264BF1B3"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19" w:name="_Toc72494755"/>
      <w:r w:rsidRPr="00D542A1">
        <w:rPr>
          <w:rFonts w:ascii="Times New Roman" w:eastAsiaTheme="majorEastAsia" w:hAnsi="Times New Roman" w:cs="Times New Roman"/>
          <w:color w:val="2F5496" w:themeColor="accent1" w:themeShade="BF"/>
          <w:sz w:val="24"/>
          <w:szCs w:val="24"/>
        </w:rPr>
        <w:t>Temporary Foreign Workers Program</w:t>
      </w:r>
      <w:bookmarkEnd w:id="19"/>
    </w:p>
    <w:p w14:paraId="4A842928" w14:textId="77777777" w:rsidR="00D542A1" w:rsidRPr="00D542A1" w:rsidRDefault="00D542A1" w:rsidP="00BE37E2">
      <w:pPr>
        <w:jc w:val="both"/>
        <w:rPr>
          <w:rFonts w:ascii="Times New Roman" w:hAnsi="Times New Roman" w:cs="Times New Roman"/>
          <w:sz w:val="24"/>
          <w:szCs w:val="24"/>
        </w:rPr>
      </w:pPr>
    </w:p>
    <w:p w14:paraId="4B2BC829"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Temporary Foreign Workers Program (TFWP) was established in 2002 as a pilot project to bring various classifications of low-skilled temporary workers into Canada. In January 2011, the federal government created an "agricultural stream" within this broader program to streamline applications from the agricultural sector. The TFWP program gives employers much more latitude than SAWP in hiring agricultural workers from abroad without limiting their options to specific countries. Under the TFWP, employers can bring workers in for up to 24 months and rehire after the expiration of contract through the program for another 24 months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{"citationID":"YTngh9v9","properties":{"formattedCitation":"(Basok, 2002; Gesualdi-Fecteau, 2014; Gesualdi-Fecteau et al., 2017)","plainCitation":"(Basok, 2002; Gesualdi-Fecteau, 2014; Gesualdi-Fecteau et al., 2017)","noteIndex":0},"citationItems":[{"id":1214,"uris":["http://zotero.org/users/5481489/items/UXRVD2EM"],"uri":["http://zotero.org/users/5481489/items/UXRVD2EM"],"itemData":{"id":1214,"type":"chapter","abstract":"As discussed in chapter 2 , demands for agricultural wage labour have been rising since the 1940s. At the same time, Canadian growers have experienced significant problems trying to recruit farm help among domestic workers. But the biggest problem that has plagued Canadian food growers has been a failure to retain hired help (see chapter 3). Many factors contribute to the high turnover rate among farm workers. Among them are relationships with the employer, the method of recruitment, the presence of a signed contract, and the origin of the workers. But the most significant factors affecting turnover are working conditions","archive":"JSTOR","collection-title":"Transmigrant Mexican Harvesters in Canada","container-title":"Tortillas and Tomatoes","ISBN":"978-0-7735-2338-8","page":"58-68","publisher":"McGill-Queen's University Press","title":"Vulnerable Labour in a Vulnerable Sector","URL":"http://www.jstor.org/stable/j.ctt8174r.7","author":[{"family":"Basok","given":"Tanya"}],"accessed":{"date-parts":[["2021",4,1]]},"issued":{"date-parts":[["2002"]]}}},{"id":1300,"uris":["http://zotero.org/users/5481489/items/M7VA3HGJ"],"uri":["http://zotero.org/users/5481489/items/M7VA3HGJ"],"itemData":{"id":1300,"type":"article-journal","abstract":"For the past two decades, the number of immigrants admitted to Canada has remained relatively stable while the number of workers admitted with a temporary work permit has steadily increased. This phenomenon is explained by a shift of the Canadian public policies that foresees the management of labour migration. Given their foreignness, the conditions through which temporary foreign workers are employed, are a result of the 'dialogue' between labour law and the rules issued by immigration law. Different tensions stem from the coexistence of these two regulatory sets which do not ensure the same functions, are not aimed at the same purpose and are not developed nor implemented by the same actors. This paper will expose the results of a field study conducted between 2012 and 2013. Our research allowed us to better understand the context in which Guatemalan seasonal agricultural workers hired via the agricultural stream of the Canadian temporary foreign workers program are recruited. This research also sheds light on the complex and highly ramified transnational network that allow these workers to be hired by employers in Canada and which exercises a definite influence on the parties to the employment contract.","container-title":"International Journal of Migration and Border Studies","DOI":"10.1504/IJMBS.2014.068967","journalAbbreviation":"International Journal of Migration and Border Studies","page":"291","source":"ResearchGate","title":"The recruitment of Guatemalan agricultural workers by Canadian employers: mapping the web of a transnational network","title-short":"The recruitment of Guatemalan agricultural workers by Canadian employers","volume":"1","author":[{"family":"Gesualdi-Fecteau","given":"Dalia"}],"issued":{"date-parts":[["2014",1,1]]}}},{"id":69,"uris":["http://zotero.org/users/5481489/items/V4L9MSZZ"],"uri":["http://zotero.org/users/5481489/items/V4L9MSZZ"],"itemData":{"id":69,"type":"article-journal","abstract":"For the past two decades, the number of immigrants admitted to Canada has remained relatively stable while the number of workers admitted with a temporary work permit has steadily increased. This phenomenon is explained by a shift in Canadian public policies that direct the management of labour migration. Recent research has shed light on the complex and highly ramified transnational network that allows the recruitment of temporary foreign workers. Agricultural Guatemalan workers are hired through the Temporary Foreign Worker Program and the recruitment process is controlled by private recruitment intermediaries. Some abusive recruitment practices have been consistently reported. This article seeks to present the results of an empirical study documenting the recruitment by Quebec employers of Guatemalan agricultural workers and will discuss the normative framework regulating the recruitment of Guatemalan temporary foreign workers.","container-title":"Revue québécoise de droit international","DOI":"10.7202/1064679ar","ISSN":"0828-9999, 2561-6994","issue":"2","journalAbbreviation":"Revue québécoise de droit international","language":"en","page":"95","source":"DOI.org (Crossref)","title":"A STORY OF DEBT AND BROKEN PROMISES? THE recruitment of guatemalan MIGRANT workers IN QUEBEC","title-short":"A STORY OF DEBT AND BROKEN PROMISES?","volume":"30","author":[{"family":"Gesualdi-Fecteau","given":"Dalia"},{"family":"Thibault","given":"Andréanne"},{"family":"Schivone","given":"Nan"},{"family":"Dufour","given":"Caroline"},{"family":"Gouin","given":"Sarah"},{"family":"Monjean","given":"Nina"},{"family":"Moses","given":"Éloïse"}],"issued":{"date-parts":[["2017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(Basok, 2002; Gesualdi-Fecteau, 2014; Gesualdi-Fecteau et al.,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69AAA48F"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two streams of work permits are issued by Citizenship and Immigration Canada and are tied to one specific employer, which means workers are effectively barred from working for anyone else, even in off-periods when their main employer has no work for them. While these programs have some similarities and serve the same purposes, there are some key differences between them. The first is the level of involvement of countries supplying workers. Under the SAWP the source countries are responsible for recruiting the workers and are signatories to the </w:t>
      </w:r>
      <w:r w:rsidRPr="00D542A1">
        <w:rPr>
          <w:rFonts w:ascii="Times New Roman" w:hAnsi="Times New Roman" w:cs="Times New Roman"/>
          <w:sz w:val="24"/>
          <w:szCs w:val="24"/>
        </w:rPr>
        <w:lastRenderedPageBreak/>
        <w:t xml:space="preserve">workers' employment contracts. As such, the supplying country is expected to act as a contact point and advocate for workers through their consulate in Canada and to ensure that the conditions of their contracts are upheld. On the other hand, the TFWP has no formal role for the migrant worker's home country under this program. Unlike SAWP, employers under TFWP generally rely on private recruiters, not government officials, to find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{"citationID":"6bQpNDdM","properties":{"formattedCitation":"(Basok, 2002; Perry, 2018; Stastna, 2012)","plainCitation":"(Basok, 2002; Perry, 2018; Stastna, 2012)","noteIndex":0},"citationItems":[{"id":1214,"uris":["http://zotero.org/users/5481489/items/UXRVD2EM"],"uri":["http://zotero.org/users/5481489/items/UXRVD2EM"],"itemData":{"id":1214,"type":"chapter","abstract":"As discussed in chapter 2 , demands for agricultural wage labour have been rising since the 1940s. At the same time, Canadian growers have experienced significant problems trying to recruit farm help among domestic workers. But the biggest problem that has plagued Canadian food growers has been a failure to retain hired help (see chapter 3). Many factors contribute to the high turnover rate among farm workers. Among them are relationships with the employer, the method of recruitment, the presence of a signed contract, and the origin of the workers. But the most significant factors affecting turnover are working conditions","archive":"JSTOR","collection-title":"Transmigrant Mexican Harvesters in Canada","container-title":"Tortillas and Tomatoes","ISBN":"978-0-7735-2338-8","page":"58-68","publisher":"McGill-Queen's University Press","title":"Vulnerable Labour in a Vulnerable Sector","URL":"http://www.jstor.org/stable/j.ctt8174r.7","author":[{"family":"Basok","given":"Tanya"}],"accessed":{"date-parts":[["2021",4,1]]},"issued":{"date-parts":[["2002"]]}}},{"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Adam"}],"issued":{"date-parts":[["2018",11]]}}},{"id":1298,"uris":["http://zotero.org/users/5481489/items/9VRCYU6C"],"uri":["http://zotero.org/users/5481489/items/9VRCYU6C"],"itemData":{"id":1298,"type":"webpage","abstract":"The fatal crash of a van carrying migrant farm workers in southern Ontario has raised questions about the kind of workplace protections Canada offers to such workers.","container-title":"CBC","language":"en","title":"Canada's migrant farm worker system - what works and what's lacking | CBC News","URL":"https://www.cbc.ca/news/canada/canada-s-migrant-farm-worker-system-what-works-and-what-s-lacking-1.1142489","author":[{"family":"Stastna","given":"Kazi"}],"accessed":{"date-parts":[["2021",4,24]]},"issued":{"date-parts":[["2012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(Basok, 2002; Perry, 2018; Stastna, 2012)</w:t>
      </w:r>
      <w:r w:rsidRPr="00D542A1">
        <w:rPr>
          <w:rFonts w:ascii="Times New Roman" w:hAnsi="Times New Roman" w:cs="Times New Roman"/>
          <w:sz w:val="24"/>
          <w:szCs w:val="24"/>
        </w:rPr>
        <w:fldChar w:fldCharType="end"/>
      </w:r>
    </w:p>
    <w:p w14:paraId="5277EFB8" w14:textId="3C77A04B"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The second difference is the existence of standard employment contracts. Workers in the SAWP have a standard employment contract that has been negotiated between the source countries, employers, and the Canadian government. In contrast, the TFW program has no standard employment contract. Instead, each employer draws up an agreement with the worker on</w:t>
      </w:r>
      <w:r w:rsidR="002F6DC0">
        <w:rPr>
          <w:rFonts w:ascii="Times New Roman" w:hAnsi="Times New Roman" w:cs="Times New Roman"/>
          <w:sz w:val="24"/>
          <w:szCs w:val="24"/>
        </w:rPr>
        <w:t xml:space="preserve"> an</w:t>
      </w:r>
      <w:r w:rsidRPr="00D542A1">
        <w:rPr>
          <w:rFonts w:ascii="Times New Roman" w:hAnsi="Times New Roman" w:cs="Times New Roman"/>
          <w:sz w:val="24"/>
          <w:szCs w:val="24"/>
        </w:rPr>
        <w:t xml:space="preserve"> individual level. Aside from the agreements being subject to approval by Human Resources and Social Development Canada (HRSDC), the government has no other part in the welfare of the participants under the contract and has little role in regulating the contents or in ensuring compliance of the contracts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{"citationID":"EZXIW00i","properties":{"formattedCitation":"(Binford, 2019; Otero, 2019; Stastna, 2012)","plainCitation":"(Binford, 2019; Otero, 2019; Stastna, 2012)","noteIndex":0},"citationItems":[{"id":1305,"uris":["http://zotero.org/users/5481489/items/BDUIA38A"],"uri":["http://zotero.org/users/5481489/items/BDUIA38A"],"itemData":{"id":1305,"type":"article-journal","abstract":"This article assesses Temporary Foreign Worker Programs (TFWPs) through the prism of Canada’s Seasonal Agriculture Worker Program (SAWP), often represented as a model because of the many rights granted workers and the multiple forms of protection put in place to protect those rights. A careful study of the extant anthropological and sociological literatures, including the author’s work, reveal the immense power that growers wield over temporary foreign workers from Mexico and various English-speaking Caribbean nations. Two consequences of this power have been rises in productivity and the expansion of the SAWP, to the point that it dominates key sectors of Canadian agriculture. Workers are either prevented from joining unions or punished, via blacklisting in some cases, for forming local bargaining units. The author suggests that all such programs be dismantled. At the least, the question of the future of TFWPs merits open and frank discussion.","container-title":"Dialectical Anthropology","DOI":"http://dx.doi.org.proxy.bib.uottawa.ca/10.1007/s10624-019-09553-6","ISSN":"03044092","issue":"4","language":"English","note":"number-of-pages: 347-366\npublisher-place: Amsterdam, Netherlands\npublisher: Springer Nature B.V.","page":"347-366","source":"ProQuest","title":"Assessing temporary foreign worker programs through the prism of Canada’s Seasonal Agricultural Worker Program: can they be reformed or should they be eliminated?","title-short":"Assessing temporary foreign worker programs through the prism of Canada’s Seasonal Agricultural Worker Program","volume":"43","author":[{"family":"Binford","given":"Arthur Leigh"}],"issued":{"date-parts":[["2019"]]}}},{"id":1295,"uris":["http://zotero.org/users/5481489/items/B85XXLFQ"],"uri":["http://zotero.org/users/5481489/items/B85XXLFQ"],"itemData":{"id":1295,"type":"article-journal","abstract":"In this commentary of Leigh Binford’s article, proposing the elimination of Canada’s Seasonal Agricultural Workers Program (SAWP), I will first offer a brief overview of why advanced capitalist countries like Canada must rely on migrant or immigrant workers to sustain economic growth. I will then sum up Binford’s main arguments and analysis. Finally, I will address the question of elimination and replacement of the SAWP based on what is happening on the ground in Canada in 2019. Essentially, what migrant workers’ support groups are demanding is not elimination but a radical reform of all temporary foreign worker programs (TFWP): Granting permanent residency upon arrival. No longer “migrant” workers but new “immigrants,” they would be placed on a truly level playing field with the rest of the labor force.","container-title":"Dialectical Anthropology","DOI":"http://dx.doi.org.proxy.bib.uottawa.ca/10.1007/s10624-019-09555-4","ISSN":"03044092","issue":"4","language":"English","note":"number-of-pages: 375-379\npublisher-place: Amsterdam, Netherlands\npublisher: Springer Nature B.V.","page":"375-379","source":"ProQuest","title":"Migration or immigration? Commentary on Leigh Binford’s article","title-short":"Migration or immigration?","volume":"43","author":[{"family":"Otero","given":"Gerardo"}],"issued":{"date-parts":[["2019",12]]}}},{"id":1298,"uris":["http://zotero.org/users/5481489/items/9VRCYU6C"],"uri":["http://zotero.org/users/5481489/items/9VRCYU6C"],"itemData":{"id":1298,"type":"webpage","abstract":"The fatal crash of a van carrying migrant farm workers in southern Ontario has raised questions about the kind of workplace protections Canada offers to such workers.","container-title":"CBC","language":"en","title":"Canada's migrant farm worker system - what works and what's lacking | CBC News","URL":"https://www.cbc.ca/news/canada/canada-s-migrant-farm-worker-system-what-works-and-what-s-lacking-1.1142489","author":[{"family":"Stastna","given":"Kazi"}],"accessed":{"date-parts":[["2021",4,24]]},"issued":{"date-parts":[["2012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(Binford, 2019; Otero, 2019; Stastna, 2012)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5E3443A7"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20" w:name="_Toc72494756"/>
      <w:r w:rsidRPr="00D542A1">
        <w:rPr>
          <w:rFonts w:ascii="Times New Roman" w:eastAsiaTheme="majorEastAsia" w:hAnsi="Times New Roman" w:cs="Times New Roman"/>
          <w:color w:val="2F5496" w:themeColor="accent1" w:themeShade="BF"/>
          <w:sz w:val="24"/>
          <w:szCs w:val="24"/>
          <w:lang w:val="en-US"/>
        </w:rPr>
        <w:t>Migrants – The cornerstone of Agricultural sectors in Canada</w:t>
      </w:r>
      <w:bookmarkEnd w:id="20"/>
    </w:p>
    <w:p w14:paraId="16144765" w14:textId="77777777" w:rsidR="00D542A1" w:rsidRPr="00D542A1" w:rsidRDefault="00D542A1" w:rsidP="00BE37E2">
      <w:pPr>
        <w:ind w:firstLine="720"/>
        <w:jc w:val="both"/>
        <w:rPr>
          <w:rFonts w:ascii="Times New Roman" w:hAnsi="Times New Roman" w:cs="Times New Roman"/>
          <w:sz w:val="24"/>
          <w:szCs w:val="24"/>
          <w:lang w:val="en-US"/>
        </w:rPr>
      </w:pPr>
    </w:p>
    <w:p w14:paraId="2303AC7C" w14:textId="7310508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 </w:t>
      </w:r>
      <w:bookmarkStart w:id="21" w:name="_Hlk72369228"/>
      <w:r w:rsidRPr="00D542A1">
        <w:rPr>
          <w:rFonts w:ascii="Times New Roman" w:hAnsi="Times New Roman" w:cs="Times New Roman"/>
          <w:sz w:val="24"/>
          <w:szCs w:val="24"/>
        </w:rPr>
        <w:t xml:space="preserve">The agricultural sector is heavily reliant on migrant workers through the TFWP and SAWP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{"citationID":"mEM6NiHA","properties":{"formattedCitation":"(Perry, 2018)","plainCitation":"(Perry, 2018)","noteIndex":0},"citationItems":[{"id":70,"uris":["http://zotero.org/users/5481489/items/B8NV9AJ8"],"uri":["http://zotero.org/users/5481489/items/B8NV9AJ8"],"itemData":{"id":70,"type":"article-journal","abstract":"This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as the success of the agriculture sector in Canada depends on these migrant workers to fill labour gaps for seasonal farmers </w:t>
      </w:r>
      <w:bookmarkEnd w:id="21"/>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{"citationID":"DYtGHuoS","properties":{"formattedCitation":"(Budworth et al., 2017)","plainCitation":"(Budworth et al., 2017)","noteIndex":0},"citationItems":[{"id":1125,"uris":["http://zotero.org/users/5481489/items/YGNNRWRA"],"uri":["http://zotero.org/users/5481489/items/YGNNRWRA"],"itemData":{"id":1125,"type":"article","title":"Report on the Seasonal Agricultural  Worker Program","author":[{"family":"Budworth","given":"Marie-Hélène"},{"family":"Rose","given":"Andrew"},{"family":"Mann","given":"Sara"}],"issued":{"date-parts":[["2017"]]}}}],"schema":"https://github.com/citation-style-language/schema/raw/master/csl-citation.json"}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(Budworth et al.,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According to </w:t>
      </w:r>
      <w:proofErr w:type="spellStart"/>
      <w:r w:rsidRPr="00D542A1">
        <w:rPr>
          <w:rFonts w:ascii="Times New Roman" w:hAnsi="Times New Roman" w:cs="Times New Roman"/>
          <w:sz w:val="24"/>
          <w:szCs w:val="24"/>
        </w:rPr>
        <w:t>Budworth</w:t>
      </w:r>
      <w:proofErr w:type="spellEnd"/>
      <w:r w:rsidRPr="00D542A1">
        <w:rPr>
          <w:rFonts w:ascii="Times New Roman" w:hAnsi="Times New Roman" w:cs="Times New Roman"/>
          <w:sz w:val="24"/>
          <w:szCs w:val="24"/>
        </w:rPr>
        <w:t xml:space="preserve"> et al., (2017), some of the challenges the agriculture sector has had to deal with include, “seasonal work to support harvesting during peak time periods; a shortage of domestic labour; an inability to recruit and retain labour due in part to a declining rural workforce; uncompetitive wages; and demanding working conditions”</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{"citationID":"jHzc2zJw","properties":{"formattedCitation":"(2017, p. 2)","plainCitation":"(2017, p. 2)","dontUpdate":true,"noteIndex":0},"citationItems":[{"id":1125,"uris":["http://zotero.org/users/5481489/items/YGNNRWRA"],"uri":["http://zotero.org/users/5481489/items/YGNNRWRA"],"itemData":{"id":1125,"type":"article","title":"Report on the Seasonal Agricultural  Worker Program","author":[{"family":"Budworth","given":"Marie-Hélène"},{"family":"Rose","given":"Andrew"},{"family":"Mann","given":"Sara"}],"issued":{"date-parts":[["2017"]]}},"locator":"2","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Recently, it was reported that Canada has over 60,000 temporary </w:t>
      </w:r>
      <w:r w:rsidRPr="00D542A1">
        <w:rPr>
          <w:rFonts w:ascii="Times New Roman" w:hAnsi="Times New Roman" w:cs="Times New Roman"/>
          <w:sz w:val="24"/>
          <w:szCs w:val="24"/>
        </w:rPr>
        <w:lastRenderedPageBreak/>
        <w:t>foreign workers in the agriculture and agri-food sector</w:t>
      </w:r>
      <w:r w:rsidR="00B03910">
        <w:rPr>
          <w:rFonts w:ascii="Times New Roman" w:hAnsi="Times New Roman" w:cs="Times New Roman"/>
          <w:sz w:val="24"/>
          <w:szCs w:val="24"/>
        </w:rPr>
        <w:t>, and they</w:t>
      </w:r>
      <w:r w:rsidRPr="00D542A1">
        <w:rPr>
          <w:rFonts w:ascii="Times New Roman" w:hAnsi="Times New Roman" w:cs="Times New Roman"/>
          <w:sz w:val="24"/>
          <w:szCs w:val="24"/>
        </w:rPr>
        <w:t xml:space="preserve"> are</w:t>
      </w:r>
      <w:r w:rsidR="00B03910">
        <w:rPr>
          <w:rFonts w:ascii="Times New Roman" w:hAnsi="Times New Roman" w:cs="Times New Roman"/>
          <w:sz w:val="24"/>
          <w:szCs w:val="24"/>
        </w:rPr>
        <w:t xml:space="preserve"> the</w:t>
      </w:r>
      <w:r w:rsidRPr="00D542A1">
        <w:rPr>
          <w:rFonts w:ascii="Times New Roman" w:hAnsi="Times New Roman" w:cs="Times New Roman"/>
          <w:sz w:val="24"/>
          <w:szCs w:val="24"/>
        </w:rPr>
        <w:t xml:space="preserve"> key to Canada food security and rural economy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{"citationID":"HVdaSjFo","properties":{"formattedCitation":"(RealAgriculture, 2020)","plainCitation":"(RealAgriculture, 2020)","noteIndex":0},"citationItems":[{"id":1147,"uris":["http://zotero.org/users/5481489/items/ULRHP5LQ"],"uri":["http://zotero.org/users/5481489/items/ULRHP5LQ"],"itemData":{"id":1147,"type":"post-weblog","abstract":"Update, as of 11pm EDT Friday, March 20: The Canadian government confirmed late Friday that it will be exempting seasonal agricultural workers from the travel restrictions put in place to help prevent the spread of COVID-19. \"The participation of temporary foreign workers on our farms and our food businesses is absolutely necessary,\" says Minister of Agriculture Marie-Claude Bibeau, in a statement shared with RealAgriculture. \"It is nothing less than an issue of food security. We are making sure that our food supply chain is not compromised by the closure of our borders, as we now need thousands of workers on the farms for the planting season as well as the processing of foods from the land and sea.\" In addition...","container-title":"RealAgriculture.com","language":"en-US","title":"Canadian government confirms temporary foreign workers will be exempt from travel restrictions","title-short":"Realagriculture","URL":"https://www.realagriculture.com/2020/03/temporary-foreign-workers-will-be-allowed-in-to-canada-but-details-still-unclear/","author":[{"family":"RealAgriculture","given":""}],"accessed":{"date-parts":[["2021",3,26]]},"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(RealAgriculture,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In acknowledgement of the key role of migrant workers in the Canadian economy, the Minister of Agriculture, Marie-Claude Bibeau noted that</w:t>
      </w:r>
    </w:p>
    <w:p w14:paraId="5EFCCCC3" w14:textId="77777777" w:rsidR="00D542A1" w:rsidRPr="00D542A1" w:rsidRDefault="00D542A1" w:rsidP="00BE37E2">
      <w:pPr>
        <w:spacing w:line="240"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 xml:space="preserve">the participation of temporary foreign workers on our farms and our food businesses is absolutely necessary, it is nothing less than an issue of food security. We are making sure that our food supply chain is not compromised by the closure of our borders, as we now need thousands of workers on the farms for the planting season as well as the processing of foods from the land and sea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{"citationID":"rU7eQPle","properties":{"formattedCitation":"(RealAgriculture, 2020, p. 1)","plainCitation":"(RealAgriculture, 2020, p. 1)","noteIndex":0},"citationItems":[{"id":1147,"uris":["http://zotero.org/users/5481489/items/ULRHP5LQ"],"uri":["http://zotero.org/users/5481489/items/ULRHP5LQ"],"itemData":{"id":1147,"type":"post-weblog","abstract":"Update, as of 11pm EDT Friday, March 20: The Canadian government confirmed late Friday that it will be exempting seasonal agricultural workers from the travel restrictions put in place to help prevent the spread of COVID-19. \"The participation of temporary foreign workers on our farms and our food businesses is absolutely necessary,\" says Minister of Agriculture Marie-Claude Bibeau, in a statement shared with RealAgriculture. \"It is nothing less than an issue of food security. We are making sure that our food supply chain is not compromised by the closure of our borders, as we now need thousands of workers on the farms for the planting season as well as the processing of foods from the land and sea.\" In addition...","container-title":"RealAgriculture.com","language":"en-US","title":"Canadian government confirms temporary foreign workers will be exempt from travel restrictions","title-short":"Realagriculture","URL":"https://www.realagriculture.com/2020/03/temporary-foreign-workers-will-be-allowed-in-to-canada-but-details-still-unclear/","author":[{"family":"RealAgriculture","given":""}],"accessed":{"date-parts":[["2021",3,26]]},"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(RealAgriculture,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23484C21" w14:textId="5C19E94F" w:rsidR="00D542A1" w:rsidRPr="00D542A1" w:rsidRDefault="00D542A1" w:rsidP="00BE37E2">
      <w:pPr>
        <w:spacing w:line="480" w:lineRule="auto"/>
        <w:ind w:firstLine="720"/>
        <w:jc w:val="both"/>
        <w:rPr>
          <w:rFonts w:ascii="Times New Roman" w:hAnsi="Times New Roman" w:cs="Times New Roman"/>
          <w:sz w:val="24"/>
          <w:szCs w:val="24"/>
        </w:rPr>
      </w:pPr>
      <w:bookmarkStart w:id="22" w:name="_Hlk72369590"/>
      <w:r w:rsidRPr="00D542A1">
        <w:rPr>
          <w:rFonts w:ascii="Times New Roman" w:hAnsi="Times New Roman" w:cs="Times New Roman"/>
          <w:sz w:val="24"/>
          <w:szCs w:val="24"/>
        </w:rPr>
        <w:t xml:space="preserve">Though majority of the migrants are from low-income countries like Mexico, India, Guatemala, Jamaica, Philippines and Korea </w:t>
      </w:r>
      <w:bookmarkEnd w:id="22"/>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{"citationID":"tiOgqWl1","properties":{"formattedCitation":"(Varrella, 2021)","plainCitation":"(Varrella, 2021)","noteIndex":0},"citationItems":[{"id":1154,"uris":["http://zotero.org/users/5481489/items/LMP95BKB"],"uri":["http://zotero.org/users/5481489/items/LMP95BKB"],"itemData":{"id":1154,"type":"webpage","abstract":"This statistic shows the top ten origin countries of Temporary Foreign Worker Program (TFWP) permit holders in Canada in 2019.","container-title":"Statista","language":"en","title":"Top 10 origin countries of TFWP permit holders Canada 2019","URL":"https://www.statista.com/statistics/555058/top-10-origin-countries-of-tfwp-permit-holders-canada/","author":[{"family":"Varrella","given":"Simona"}],"accessed":{"date-parts":[["2021",3,26]]},"issued":{"date-parts":[["2021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(Varrella,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23" w:name="_Hlk72369515"/>
      <w:r w:rsidRPr="00D542A1">
        <w:rPr>
          <w:rFonts w:ascii="Times New Roman" w:hAnsi="Times New Roman" w:cs="Times New Roman"/>
          <w:sz w:val="24"/>
          <w:szCs w:val="24"/>
        </w:rPr>
        <w:t xml:space="preserve">Migrants from Mexico account for the highest proportion of temporary foreign labour in Canada and quite a substantial number come from the Philippines as illustrated by recent statistics from Statista in Figure 1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{"citationID":"fTmEtoOH","properties":{"formattedCitation":"(Varrella, 2021)","plainCitation":"(Varrella, 2021)","noteIndex":0},"citationItems":[{"id":1154,"uris":["http://zotero.org/users/5481489/items/LMP95BKB"],"uri":["http://zotero.org/users/5481489/items/LMP95BKB"],"itemData":{"id":1154,"type":"webpage","abstract":"This statistic shows the top ten origin countries of Temporary Foreign Worker Program (TFWP) permit holders in Canada in 2019.","container-title":"Statista","language":"en","title":"Top 10 origin countries of TFWP permit holders Canada 2019","URL":"https://www.statista.com/statistics/555058/top-10-origin-countries-of-tfwp-permit-holders-canada/","author":[{"family":"Varrella","given":"Simona"}],"accessed":{"date-parts":[["2021",3,26]]},"issued":{"date-parts":[["2021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(Varrella,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Migrant workers from Mexico supply a majority of Canadian farm labour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{"citationID":"nQXMAHod","properties":{"formattedCitation":"(Budworth et al., 2017; Perry, 2018)","plainCitation":"(Budworth et al., 2017; Perry, 2018)","noteIndex":0},"citationItems":[{"id":1125,"uris":["http://zotero.org/users/5481489/items/YGNNRWRA"],"uri":["http://zotero.org/users/5481489/items/YGNNRWRA"],"itemData":{"id":1125,"type":"article","title":"Report on the Seasonal Agricultural  Worker Program","author":[{"family":"Budworth","given":"Marie-Hélène"},{"family":"Rose","given":"Andrew"},{"family":"Mann","given":"Sara"}],"issued":{"date-parts":[["2017"]]}}},{"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(Budworth et al., 2017;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whereas workers from the Philippines predominantly work at the meatpacking plants in the case</w:t>
      </w:r>
      <w:r w:rsidR="00B03910">
        <w:rPr>
          <w:rFonts w:ascii="Times New Roman" w:hAnsi="Times New Roman" w:cs="Times New Roman"/>
          <w:sz w:val="24"/>
          <w:szCs w:val="24"/>
        </w:rPr>
        <w:t>s</w:t>
      </w:r>
      <w:r w:rsidRPr="00D542A1">
        <w:rPr>
          <w:rFonts w:ascii="Times New Roman" w:hAnsi="Times New Roman" w:cs="Times New Roman"/>
          <w:sz w:val="24"/>
          <w:szCs w:val="24"/>
        </w:rPr>
        <w:t xml:space="preserve"> selected for this study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{"citationID":"Eyn9gxUG","properties":{"formattedCitation":"(Dryden, 2020b, 2020a)","plainCitation":"(Dryden, 2020b, 2020a)","noteIndex":0},"citationItems":[{"id":1113,"uris":["http://zotero.org/users/5481489/items/W54HYEKY"],"uri":["http://zotero.org/users/5481489/items/W54HYEKY"],"itemData":{"id":1113,"type":"webpage","abstract":"How did numbers connected to the Cargill meat plant outbreak increase so drastically over a period of days? That's the obvious question posed after Dr. Deena Hinshaw, Alberta's chief medical officer of health, announced new numbers Friday.","container-title":"CBC","language":"en","title":"What led to Alberta's biggest outbreak? Cargill meat plant's hundreds of COVID-19 cases | CBC News","title-short":"What led to Alberta's biggest outbreak?","URL":"https://www.cbc.ca/news/canada/calgary/cargill-alberta-covid-19-deena-hinshaw-1.5537377","author":[{"family":"Dryden","given":"Joel"}],"accessed":{"date-parts":[["2021",3,23]]},"issued":{"date-parts":[["2020"]]}}},{"id":1172,"uris":["http://zotero.org/users/5481489/items/DUH8N5EV"],"uri":["http://zotero.org/users/5481489/items/DUH8N5EV"],"itemData":{"id":1172,"type":"webpage","abstract":"The COVID-19 outbreak at the Cargill meat plant in High River, Alta., is the largest linked to a single site in Canada, and the predominately Filipino employees at the plant say they're being unfairly blamed for the outbreak, which is up to 558 cases in workers and 798 cases overall.","container-title":"CBC","language":"en","title":"Filipino workers at meatpacking plant feel unfairly blamed for Canada's biggest COVID-19 outbreak | CBC News","URL":"https://www.cbc.ca/news/canada/calgary/cargill-high-river-jbs-brooks-deena-hinshaw-1.5545113","author":[{"family":"Dryden","given":"Joel"}],"accessed":{"date-parts":[["2021",3,30]]},"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2020b,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bookmarkEnd w:id="23"/>
    <w:p w14:paraId="279D480F" w14:textId="77777777" w:rsidR="00D542A1" w:rsidRPr="00D542A1" w:rsidRDefault="00D542A1" w:rsidP="00BE37E2">
      <w:pPr>
        <w:spacing w:line="480" w:lineRule="auto"/>
        <w:ind w:firstLine="720"/>
        <w:jc w:val="both"/>
        <w:rPr>
          <w:rFonts w:ascii="Times New Roman" w:hAnsi="Times New Roman" w:cs="Times New Roman"/>
          <w:sz w:val="24"/>
          <w:szCs w:val="24"/>
        </w:rPr>
      </w:pPr>
    </w:p>
    <w:p w14:paraId="57E23885" w14:textId="77777777"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r w:rsidRPr="00D542A1">
        <w:rPr>
          <w:rFonts w:ascii="Times New Roman" w:hAnsi="Times New Roman" w:cs="Times New Roman"/>
          <w:i/>
          <w:iCs/>
          <w:color w:val="44546A" w:themeColor="text2"/>
          <w:sz w:val="24"/>
          <w:szCs w:val="24"/>
        </w:rPr>
        <w:lastRenderedPageBreak/>
        <w:t xml:space="preserve"> Figure </w:t>
      </w:r>
      <w:r w:rsidRPr="00D542A1">
        <w:rPr>
          <w:rFonts w:ascii="Times New Roman" w:hAnsi="Times New Roman" w:cs="Times New Roman"/>
          <w:i/>
          <w:iCs/>
          <w:color w:val="44546A" w:themeColor="text2"/>
          <w:sz w:val="24"/>
          <w:szCs w:val="24"/>
        </w:rPr>
        <w:fldChar w:fldCharType="begin"/>
      </w:r>
      <w:r w:rsidRPr="00D542A1">
        <w:rPr>
          <w:rFonts w:ascii="Times New Roman" w:hAnsi="Times New Roman" w:cs="Times New Roman"/>
          <w:i/>
          <w:iCs/>
          <w:color w:val="44546A" w:themeColor="text2"/>
          <w:sz w:val="24"/>
          <w:szCs w:val="24"/>
        </w:rPr>
        <w:instrText xml:space="preserve"> SEQ Table \* ARABIC </w:instrText>
      </w:r>
      <w:r w:rsidRPr="00D542A1">
        <w:rPr>
          <w:rFonts w:ascii="Times New Roman" w:hAnsi="Times New Roman" w:cs="Times New Roman"/>
          <w:i/>
          <w:iCs/>
          <w:color w:val="44546A" w:themeColor="text2"/>
          <w:sz w:val="24"/>
          <w:szCs w:val="24"/>
        </w:rPr>
        <w:fldChar w:fldCharType="separate"/>
      </w:r>
      <w:r w:rsidRPr="00D542A1">
        <w:rPr>
          <w:rFonts w:ascii="Times New Roman" w:hAnsi="Times New Roman" w:cs="Times New Roman"/>
          <w:i/>
          <w:iCs/>
          <w:noProof/>
          <w:color w:val="44546A" w:themeColor="text2"/>
          <w:sz w:val="24"/>
          <w:szCs w:val="24"/>
        </w:rPr>
        <w:t>1</w:t>
      </w:r>
      <w:r w:rsidRPr="00D542A1">
        <w:rPr>
          <w:rFonts w:ascii="Times New Roman" w:hAnsi="Times New Roman" w:cs="Times New Roman"/>
          <w:i/>
          <w:iCs/>
          <w:color w:val="44546A" w:themeColor="text2"/>
          <w:sz w:val="24"/>
          <w:szCs w:val="24"/>
        </w:rPr>
        <w:fldChar w:fldCharType="end"/>
      </w:r>
      <w:r w:rsidRPr="00D542A1">
        <w:rPr>
          <w:rFonts w:ascii="Times New Roman" w:hAnsi="Times New Roman" w:cs="Times New Roman"/>
          <w:i/>
          <w:iCs/>
          <w:color w:val="44546A" w:themeColor="text2"/>
          <w:sz w:val="24"/>
          <w:szCs w:val="24"/>
        </w:rPr>
        <w:t>: Top Ten Origin Countries of Temporary Workers Program in Canada 2019</w:t>
      </w:r>
      <w:r w:rsidRPr="00D542A1">
        <w:rPr>
          <w:rFonts w:ascii="Times New Roman" w:hAnsi="Times New Roman" w:cs="Times New Roman"/>
          <w:i/>
          <w:iCs/>
          <w:noProof/>
          <w:color w:val="44546A" w:themeColor="text2"/>
          <w:sz w:val="24"/>
          <w:szCs w:val="24"/>
          <w:lang w:val="en-US"/>
        </w:rPr>
        <w:drawing>
          <wp:anchor distT="0" distB="0" distL="114300" distR="114300" simplePos="0" relativeHeight="251660288" behindDoc="1" locked="0" layoutInCell="1" allowOverlap="1" wp14:anchorId="2BA55F64" wp14:editId="02495008">
            <wp:simplePos x="0" y="0"/>
            <wp:positionH relativeFrom="column">
              <wp:posOffset>-340754</wp:posOffset>
            </wp:positionH>
            <wp:positionV relativeFrom="paragraph">
              <wp:posOffset>404463</wp:posOffset>
            </wp:positionV>
            <wp:extent cx="6667500" cy="413893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667500" cy="4138930"/>
                    </a:xfrm>
                    <a:prstGeom prst="rect">
                      <a:avLst/>
                    </a:prstGeom>
                  </pic:spPr>
                </pic:pic>
              </a:graphicData>
            </a:graphic>
            <wp14:sizeRelH relativeFrom="margin">
              <wp14:pctWidth>0</wp14:pctWidth>
            </wp14:sizeRelH>
            <wp14:sizeRelV relativeFrom="margin">
              <wp14:pctHeight>0</wp14:pctHeight>
            </wp14:sizeRelV>
          </wp:anchor>
        </w:drawing>
      </w:r>
    </w:p>
    <w:p w14:paraId="1C9F34B0" w14:textId="77777777"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p>
    <w:p w14:paraId="22B50CC5" w14:textId="77777777"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The data from Statistics Canada further highlights the proportion of women involved in the migrant labour force for Canadian agriculture between 2016 to 2019. Comparatively, the data shown in table 2 illustrates male migrants consistently overrepresented in the agricultural sector from 2016 -2019.</w:t>
      </w:r>
    </w:p>
    <w:p w14:paraId="16B7AA53" w14:textId="77777777" w:rsidR="00D542A1" w:rsidRPr="00D542A1" w:rsidRDefault="00D542A1" w:rsidP="00BE37E2">
      <w:pPr>
        <w:spacing w:after="0" w:line="240" w:lineRule="auto"/>
        <w:jc w:val="both"/>
        <w:rPr>
          <w:rFonts w:ascii="Times New Roman" w:eastAsia="Calibri" w:hAnsi="Times New Roman" w:cs="Times New Roman"/>
          <w:color w:val="000000"/>
          <w:sz w:val="24"/>
          <w:szCs w:val="24"/>
          <w:lang w:eastAsia="en-CA"/>
        </w:rPr>
      </w:pPr>
      <w:r w:rsidRPr="00D542A1">
        <w:rPr>
          <w:rFonts w:ascii="Times New Roman" w:eastAsia="Calibri" w:hAnsi="Times New Roman" w:cs="Times New Roman"/>
          <w:color w:val="000000"/>
          <w:sz w:val="24"/>
          <w:szCs w:val="24"/>
          <w:lang w:eastAsia="en-CA"/>
        </w:rPr>
        <w:br w:type="page"/>
      </w:r>
    </w:p>
    <w:p w14:paraId="1F0DF3F1" w14:textId="77777777" w:rsidR="00D542A1" w:rsidRPr="00D542A1" w:rsidRDefault="00D542A1" w:rsidP="00BE37E2">
      <w:pPr>
        <w:spacing w:after="0" w:line="240" w:lineRule="auto"/>
        <w:jc w:val="both"/>
        <w:rPr>
          <w:rFonts w:ascii="Times New Roman" w:hAnsi="Times New Roman" w:cs="Times New Roman"/>
          <w:i/>
          <w:iCs/>
          <w:color w:val="44546A" w:themeColor="text2"/>
          <w:sz w:val="24"/>
          <w:szCs w:val="24"/>
        </w:rPr>
      </w:pPr>
      <w:r w:rsidRPr="00D542A1">
        <w:rPr>
          <w:rFonts w:ascii="Times New Roman" w:hAnsi="Times New Roman" w:cs="Times New Roman"/>
          <w:sz w:val="24"/>
          <w:szCs w:val="24"/>
        </w:rPr>
        <w:lastRenderedPageBreak/>
        <w:t xml:space="preserve">Table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SEQ Table \* ARABIC </w:instrText>
      </w:r>
      <w:r w:rsidRPr="00D542A1">
        <w:rPr>
          <w:rFonts w:ascii="Times New Roman" w:hAnsi="Times New Roman" w:cs="Times New Roman"/>
          <w:sz w:val="24"/>
          <w:szCs w:val="24"/>
        </w:rPr>
        <w:fldChar w:fldCharType="separate"/>
      </w:r>
      <w:r w:rsidRPr="00D542A1">
        <w:rPr>
          <w:rFonts w:ascii="Times New Roman" w:hAnsi="Times New Roman" w:cs="Times New Roman"/>
          <w:noProof/>
          <w:sz w:val="24"/>
          <w:szCs w:val="24"/>
        </w:rPr>
        <w:t>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r w:rsidRPr="00D542A1">
        <w:rPr>
          <w:rFonts w:ascii="Times New Roman" w:hAnsi="Times New Roman" w:cs="Times New Roman"/>
          <w:i/>
          <w:iCs/>
          <w:color w:val="44546A" w:themeColor="text2"/>
          <w:sz w:val="24"/>
          <w:szCs w:val="24"/>
        </w:rPr>
        <w:t xml:space="preserve">Employees in Canada’s Agriculture Sector by Gender, 2016 to 2019 </w:t>
      </w:r>
    </w:p>
    <w:p w14:paraId="75542A75" w14:textId="77777777" w:rsidR="00D542A1" w:rsidRPr="00D542A1" w:rsidRDefault="00D542A1" w:rsidP="00BE37E2">
      <w:pPr>
        <w:spacing w:after="0" w:line="240" w:lineRule="auto"/>
        <w:jc w:val="both"/>
        <w:rPr>
          <w:rFonts w:ascii="Times New Roman" w:eastAsia="Calibri" w:hAnsi="Times New Roman" w:cs="Times New Roman"/>
          <w:color w:val="000000"/>
          <w:sz w:val="24"/>
          <w:szCs w:val="24"/>
          <w:lang w:eastAsia="en-CA"/>
        </w:rPr>
      </w:pPr>
    </w:p>
    <w:tbl>
      <w:tblPr>
        <w:tblStyle w:val="TableGrid"/>
        <w:tblW w:w="8285" w:type="dxa"/>
        <w:tblInd w:w="669" w:type="dxa"/>
        <w:tblCellMar>
          <w:top w:w="61" w:type="dxa"/>
          <w:left w:w="107" w:type="dxa"/>
          <w:right w:w="115" w:type="dxa"/>
        </w:tblCellMar>
        <w:tblLook w:val="04A0" w:firstRow="1" w:lastRow="0" w:firstColumn="1" w:lastColumn="0" w:noHBand="0" w:noVBand="1"/>
      </w:tblPr>
      <w:tblGrid>
        <w:gridCol w:w="784"/>
        <w:gridCol w:w="1598"/>
        <w:gridCol w:w="1575"/>
        <w:gridCol w:w="1575"/>
        <w:gridCol w:w="1390"/>
        <w:gridCol w:w="1363"/>
      </w:tblGrid>
      <w:tr w:rsidR="00D542A1" w:rsidRPr="00D542A1" w14:paraId="30D07A24" w14:textId="77777777" w:rsidTr="005D7832">
        <w:trPr>
          <w:trHeight w:val="311"/>
        </w:trPr>
        <w:tc>
          <w:tcPr>
            <w:tcW w:w="784" w:type="dxa"/>
            <w:tcBorders>
              <w:top w:val="single" w:sz="4" w:space="0" w:color="FFFFFF"/>
              <w:left w:val="single" w:sz="4" w:space="0" w:color="FFFFFF"/>
              <w:bottom w:val="single" w:sz="4" w:space="0" w:color="FFFFFF"/>
              <w:right w:val="nil"/>
            </w:tcBorders>
            <w:shd w:val="clear" w:color="auto" w:fill="4F81BD"/>
          </w:tcPr>
          <w:p w14:paraId="38EDB667"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 xml:space="preserve">Year </w:t>
            </w:r>
          </w:p>
        </w:tc>
        <w:tc>
          <w:tcPr>
            <w:tcW w:w="1598" w:type="dxa"/>
            <w:tcBorders>
              <w:top w:val="single" w:sz="4" w:space="0" w:color="FFFFFF"/>
              <w:left w:val="nil"/>
              <w:bottom w:val="single" w:sz="4" w:space="0" w:color="FFFFFF"/>
              <w:right w:val="nil"/>
            </w:tcBorders>
            <w:shd w:val="clear" w:color="auto" w:fill="4F81BD"/>
          </w:tcPr>
          <w:p w14:paraId="127B567A"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Women</w:t>
            </w:r>
          </w:p>
        </w:tc>
        <w:tc>
          <w:tcPr>
            <w:tcW w:w="1575" w:type="dxa"/>
            <w:tcBorders>
              <w:top w:val="single" w:sz="4" w:space="0" w:color="FFFFFF"/>
              <w:left w:val="nil"/>
              <w:bottom w:val="single" w:sz="4" w:space="0" w:color="FFFFFF"/>
              <w:right w:val="nil"/>
            </w:tcBorders>
            <w:shd w:val="clear" w:color="auto" w:fill="4F81BD"/>
          </w:tcPr>
          <w:p w14:paraId="20B13D9F"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Women (%)</w:t>
            </w:r>
          </w:p>
        </w:tc>
        <w:tc>
          <w:tcPr>
            <w:tcW w:w="1575" w:type="dxa"/>
            <w:tcBorders>
              <w:top w:val="single" w:sz="4" w:space="0" w:color="FFFFFF"/>
              <w:left w:val="nil"/>
              <w:bottom w:val="single" w:sz="4" w:space="0" w:color="FFFFFF"/>
              <w:right w:val="nil"/>
            </w:tcBorders>
            <w:shd w:val="clear" w:color="auto" w:fill="4F81BD"/>
          </w:tcPr>
          <w:p w14:paraId="4A95B22F"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Men</w:t>
            </w:r>
          </w:p>
        </w:tc>
        <w:tc>
          <w:tcPr>
            <w:tcW w:w="1390" w:type="dxa"/>
            <w:tcBorders>
              <w:top w:val="single" w:sz="4" w:space="0" w:color="FFFFFF"/>
              <w:left w:val="nil"/>
              <w:bottom w:val="single" w:sz="4" w:space="0" w:color="FFFFFF"/>
              <w:right w:val="nil"/>
            </w:tcBorders>
            <w:shd w:val="clear" w:color="auto" w:fill="4F81BD"/>
          </w:tcPr>
          <w:p w14:paraId="6BE1A278"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Men (%)</w:t>
            </w:r>
          </w:p>
        </w:tc>
        <w:tc>
          <w:tcPr>
            <w:tcW w:w="1363" w:type="dxa"/>
            <w:tcBorders>
              <w:top w:val="single" w:sz="4" w:space="0" w:color="FFFFFF"/>
              <w:left w:val="nil"/>
              <w:bottom w:val="single" w:sz="4" w:space="0" w:color="FFFFFF"/>
              <w:right w:val="single" w:sz="4" w:space="0" w:color="FFFFFF"/>
            </w:tcBorders>
            <w:shd w:val="clear" w:color="auto" w:fill="4F81BD"/>
          </w:tcPr>
          <w:p w14:paraId="4A22B6ED"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Total</w:t>
            </w:r>
          </w:p>
        </w:tc>
      </w:tr>
      <w:tr w:rsidR="00D542A1" w:rsidRPr="00D542A1" w14:paraId="0FD131F1" w14:textId="77777777" w:rsidTr="005D7832">
        <w:trPr>
          <w:trHeight w:val="332"/>
        </w:trPr>
        <w:tc>
          <w:tcPr>
            <w:tcW w:w="784" w:type="dxa"/>
            <w:tcBorders>
              <w:top w:val="single" w:sz="4" w:space="0" w:color="FFFFFF"/>
              <w:left w:val="single" w:sz="4" w:space="0" w:color="FFFFFF"/>
              <w:bottom w:val="single" w:sz="4" w:space="0" w:color="FFFFFF"/>
              <w:right w:val="single" w:sz="4" w:space="0" w:color="FFFFFF"/>
            </w:tcBorders>
            <w:shd w:val="clear" w:color="auto" w:fill="4F81BD"/>
          </w:tcPr>
          <w:p w14:paraId="48EA7AF7"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 xml:space="preserve">2016 </w:t>
            </w:r>
          </w:p>
        </w:tc>
        <w:tc>
          <w:tcPr>
            <w:tcW w:w="1598" w:type="dxa"/>
            <w:tcBorders>
              <w:top w:val="single" w:sz="4" w:space="0" w:color="FFFFFF"/>
              <w:left w:val="single" w:sz="4" w:space="0" w:color="FFFFFF"/>
              <w:bottom w:val="single" w:sz="4" w:space="0" w:color="FFFFFF"/>
              <w:right w:val="single" w:sz="4" w:space="0" w:color="FFFFFF"/>
            </w:tcBorders>
            <w:shd w:val="clear" w:color="auto" w:fill="B8CCE4"/>
          </w:tcPr>
          <w:p w14:paraId="667C1EEF" w14:textId="77777777" w:rsidR="00D542A1" w:rsidRPr="00D542A1" w:rsidRDefault="00D542A1" w:rsidP="00BE37E2">
            <w:pPr>
              <w:tabs>
                <w:tab w:val="decimal" w:pos="112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86,800 </w:t>
            </w:r>
          </w:p>
        </w:tc>
        <w:tc>
          <w:tcPr>
            <w:tcW w:w="1575" w:type="dxa"/>
            <w:tcBorders>
              <w:top w:val="single" w:sz="4" w:space="0" w:color="FFFFFF"/>
              <w:left w:val="single" w:sz="4" w:space="0" w:color="FFFFFF"/>
              <w:bottom w:val="single" w:sz="4" w:space="0" w:color="FFFFFF"/>
              <w:right w:val="single" w:sz="4" w:space="0" w:color="FFFFFF"/>
            </w:tcBorders>
            <w:shd w:val="clear" w:color="auto" w:fill="B8CCE4"/>
          </w:tcPr>
          <w:p w14:paraId="42BBA26C" w14:textId="77777777" w:rsidR="00D542A1" w:rsidRPr="00D542A1" w:rsidRDefault="00D542A1" w:rsidP="00BE37E2">
            <w:pPr>
              <w:tabs>
                <w:tab w:val="decimal" w:pos="660"/>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30.0 </w:t>
            </w:r>
          </w:p>
        </w:tc>
        <w:tc>
          <w:tcPr>
            <w:tcW w:w="1575" w:type="dxa"/>
            <w:tcBorders>
              <w:top w:val="single" w:sz="4" w:space="0" w:color="FFFFFF"/>
              <w:left w:val="single" w:sz="4" w:space="0" w:color="FFFFFF"/>
              <w:bottom w:val="single" w:sz="4" w:space="0" w:color="FFFFFF"/>
              <w:right w:val="single" w:sz="4" w:space="0" w:color="FFFFFF"/>
            </w:tcBorders>
            <w:shd w:val="clear" w:color="auto" w:fill="B8CCE4"/>
          </w:tcPr>
          <w:p w14:paraId="3352DCC8" w14:textId="77777777" w:rsidR="00D542A1" w:rsidRPr="00D542A1" w:rsidRDefault="00D542A1" w:rsidP="00BE37E2">
            <w:pPr>
              <w:tabs>
                <w:tab w:val="decimal" w:pos="107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202,400 </w:t>
            </w:r>
          </w:p>
        </w:tc>
        <w:tc>
          <w:tcPr>
            <w:tcW w:w="1390" w:type="dxa"/>
            <w:tcBorders>
              <w:top w:val="single" w:sz="4" w:space="0" w:color="FFFFFF"/>
              <w:left w:val="single" w:sz="4" w:space="0" w:color="FFFFFF"/>
              <w:bottom w:val="single" w:sz="4" w:space="0" w:color="FFFFFF"/>
              <w:right w:val="single" w:sz="4" w:space="0" w:color="FFFFFF"/>
            </w:tcBorders>
            <w:shd w:val="clear" w:color="auto" w:fill="B8CCE4"/>
          </w:tcPr>
          <w:p w14:paraId="0CECAC71" w14:textId="77777777" w:rsidR="00D542A1" w:rsidRPr="00D542A1" w:rsidRDefault="00D542A1" w:rsidP="00BE37E2">
            <w:pPr>
              <w:tabs>
                <w:tab w:val="decimal" w:pos="62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70.0 </w:t>
            </w:r>
          </w:p>
        </w:tc>
        <w:tc>
          <w:tcPr>
            <w:tcW w:w="1363" w:type="dxa"/>
            <w:tcBorders>
              <w:top w:val="single" w:sz="4" w:space="0" w:color="FFFFFF"/>
              <w:left w:val="single" w:sz="4" w:space="0" w:color="FFFFFF"/>
              <w:bottom w:val="single" w:sz="4" w:space="0" w:color="FFFFFF"/>
              <w:right w:val="single" w:sz="4" w:space="0" w:color="FFFFFF"/>
            </w:tcBorders>
            <w:shd w:val="clear" w:color="auto" w:fill="B8CCE4"/>
          </w:tcPr>
          <w:p w14:paraId="6EA01EF9" w14:textId="77777777" w:rsidR="00D542A1" w:rsidRPr="00D542A1" w:rsidRDefault="00D542A1" w:rsidP="00BE37E2">
            <w:pPr>
              <w:tabs>
                <w:tab w:val="decimal" w:pos="94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289,200 </w:t>
            </w:r>
          </w:p>
        </w:tc>
      </w:tr>
      <w:tr w:rsidR="00D542A1" w:rsidRPr="00D542A1" w14:paraId="229C421E" w14:textId="77777777" w:rsidTr="005D7832">
        <w:trPr>
          <w:trHeight w:val="331"/>
        </w:trPr>
        <w:tc>
          <w:tcPr>
            <w:tcW w:w="784" w:type="dxa"/>
            <w:tcBorders>
              <w:top w:val="single" w:sz="4" w:space="0" w:color="FFFFFF"/>
              <w:left w:val="single" w:sz="4" w:space="0" w:color="FFFFFF"/>
              <w:bottom w:val="single" w:sz="4" w:space="0" w:color="FFFFFF"/>
              <w:right w:val="single" w:sz="4" w:space="0" w:color="FFFFFF"/>
            </w:tcBorders>
            <w:shd w:val="clear" w:color="auto" w:fill="4F81BD"/>
          </w:tcPr>
          <w:p w14:paraId="6775AB36"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 xml:space="preserve">2017 </w:t>
            </w:r>
          </w:p>
        </w:tc>
        <w:tc>
          <w:tcPr>
            <w:tcW w:w="1598" w:type="dxa"/>
            <w:tcBorders>
              <w:top w:val="single" w:sz="4" w:space="0" w:color="FFFFFF"/>
              <w:left w:val="single" w:sz="4" w:space="0" w:color="FFFFFF"/>
              <w:bottom w:val="single" w:sz="4" w:space="0" w:color="FFFFFF"/>
              <w:right w:val="single" w:sz="4" w:space="0" w:color="FFFFFF"/>
            </w:tcBorders>
            <w:shd w:val="clear" w:color="auto" w:fill="DBE5F1"/>
          </w:tcPr>
          <w:p w14:paraId="28362D75" w14:textId="77777777" w:rsidR="00D542A1" w:rsidRPr="00D542A1" w:rsidRDefault="00D542A1" w:rsidP="00BE37E2">
            <w:pPr>
              <w:tabs>
                <w:tab w:val="decimal" w:pos="112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84,700 </w:t>
            </w:r>
          </w:p>
        </w:tc>
        <w:tc>
          <w:tcPr>
            <w:tcW w:w="1575" w:type="dxa"/>
            <w:tcBorders>
              <w:top w:val="single" w:sz="4" w:space="0" w:color="FFFFFF"/>
              <w:left w:val="single" w:sz="4" w:space="0" w:color="FFFFFF"/>
              <w:bottom w:val="single" w:sz="4" w:space="0" w:color="FFFFFF"/>
              <w:right w:val="single" w:sz="4" w:space="0" w:color="FFFFFF"/>
            </w:tcBorders>
            <w:shd w:val="clear" w:color="auto" w:fill="DBE5F1"/>
          </w:tcPr>
          <w:p w14:paraId="417A9820" w14:textId="77777777" w:rsidR="00D542A1" w:rsidRPr="00D542A1" w:rsidRDefault="00D542A1" w:rsidP="00BE37E2">
            <w:pPr>
              <w:tabs>
                <w:tab w:val="decimal" w:pos="660"/>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30.3 </w:t>
            </w:r>
          </w:p>
        </w:tc>
        <w:tc>
          <w:tcPr>
            <w:tcW w:w="1575" w:type="dxa"/>
            <w:tcBorders>
              <w:top w:val="single" w:sz="4" w:space="0" w:color="FFFFFF"/>
              <w:left w:val="single" w:sz="4" w:space="0" w:color="FFFFFF"/>
              <w:bottom w:val="single" w:sz="4" w:space="0" w:color="FFFFFF"/>
              <w:right w:val="single" w:sz="4" w:space="0" w:color="FFFFFF"/>
            </w:tcBorders>
            <w:shd w:val="clear" w:color="auto" w:fill="DBE5F1"/>
          </w:tcPr>
          <w:p w14:paraId="172AED6D" w14:textId="77777777" w:rsidR="00D542A1" w:rsidRPr="00D542A1" w:rsidRDefault="00D542A1" w:rsidP="00BE37E2">
            <w:pPr>
              <w:tabs>
                <w:tab w:val="decimal" w:pos="107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194,800 </w:t>
            </w:r>
          </w:p>
        </w:tc>
        <w:tc>
          <w:tcPr>
            <w:tcW w:w="1390" w:type="dxa"/>
            <w:tcBorders>
              <w:top w:val="single" w:sz="4" w:space="0" w:color="FFFFFF"/>
              <w:left w:val="single" w:sz="4" w:space="0" w:color="FFFFFF"/>
              <w:bottom w:val="single" w:sz="4" w:space="0" w:color="FFFFFF"/>
              <w:right w:val="single" w:sz="4" w:space="0" w:color="FFFFFF"/>
            </w:tcBorders>
            <w:shd w:val="clear" w:color="auto" w:fill="DBE5F1"/>
          </w:tcPr>
          <w:p w14:paraId="64E3345B" w14:textId="77777777" w:rsidR="00D542A1" w:rsidRPr="00D542A1" w:rsidRDefault="00D542A1" w:rsidP="00BE37E2">
            <w:pPr>
              <w:tabs>
                <w:tab w:val="decimal" w:pos="62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69.7 </w:t>
            </w:r>
          </w:p>
        </w:tc>
        <w:tc>
          <w:tcPr>
            <w:tcW w:w="1363" w:type="dxa"/>
            <w:tcBorders>
              <w:top w:val="single" w:sz="4" w:space="0" w:color="FFFFFF"/>
              <w:left w:val="single" w:sz="4" w:space="0" w:color="FFFFFF"/>
              <w:bottom w:val="single" w:sz="4" w:space="0" w:color="FFFFFF"/>
              <w:right w:val="single" w:sz="4" w:space="0" w:color="FFFFFF"/>
            </w:tcBorders>
            <w:shd w:val="clear" w:color="auto" w:fill="DBE5F1"/>
          </w:tcPr>
          <w:p w14:paraId="7B5C6504" w14:textId="77777777" w:rsidR="00D542A1" w:rsidRPr="00D542A1" w:rsidRDefault="00D542A1" w:rsidP="00BE37E2">
            <w:pPr>
              <w:tabs>
                <w:tab w:val="decimal" w:pos="94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279,500 </w:t>
            </w:r>
          </w:p>
        </w:tc>
      </w:tr>
      <w:tr w:rsidR="00D542A1" w:rsidRPr="00D542A1" w14:paraId="1272B7E4" w14:textId="77777777" w:rsidTr="005D7832">
        <w:trPr>
          <w:trHeight w:val="331"/>
        </w:trPr>
        <w:tc>
          <w:tcPr>
            <w:tcW w:w="784" w:type="dxa"/>
            <w:tcBorders>
              <w:top w:val="single" w:sz="4" w:space="0" w:color="FFFFFF"/>
              <w:left w:val="single" w:sz="4" w:space="0" w:color="FFFFFF"/>
              <w:bottom w:val="single" w:sz="4" w:space="0" w:color="FFFFFF"/>
              <w:right w:val="single" w:sz="4" w:space="0" w:color="FFFFFF"/>
            </w:tcBorders>
            <w:shd w:val="clear" w:color="auto" w:fill="4F81BD"/>
          </w:tcPr>
          <w:p w14:paraId="5FA12F85"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 xml:space="preserve">2018 </w:t>
            </w:r>
          </w:p>
        </w:tc>
        <w:tc>
          <w:tcPr>
            <w:tcW w:w="1598" w:type="dxa"/>
            <w:tcBorders>
              <w:top w:val="single" w:sz="4" w:space="0" w:color="FFFFFF"/>
              <w:left w:val="single" w:sz="4" w:space="0" w:color="FFFFFF"/>
              <w:bottom w:val="single" w:sz="4" w:space="0" w:color="FFFFFF"/>
              <w:right w:val="single" w:sz="4" w:space="0" w:color="FFFFFF"/>
            </w:tcBorders>
            <w:shd w:val="clear" w:color="auto" w:fill="B8CCE4"/>
          </w:tcPr>
          <w:p w14:paraId="45A8EB1D" w14:textId="77777777" w:rsidR="00D542A1" w:rsidRPr="00D542A1" w:rsidRDefault="00D542A1" w:rsidP="00BE37E2">
            <w:pPr>
              <w:tabs>
                <w:tab w:val="decimal" w:pos="112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83,700 </w:t>
            </w:r>
          </w:p>
        </w:tc>
        <w:tc>
          <w:tcPr>
            <w:tcW w:w="1575" w:type="dxa"/>
            <w:tcBorders>
              <w:top w:val="single" w:sz="4" w:space="0" w:color="FFFFFF"/>
              <w:left w:val="single" w:sz="4" w:space="0" w:color="FFFFFF"/>
              <w:bottom w:val="single" w:sz="4" w:space="0" w:color="FFFFFF"/>
              <w:right w:val="single" w:sz="4" w:space="0" w:color="FFFFFF"/>
            </w:tcBorders>
            <w:shd w:val="clear" w:color="auto" w:fill="B8CCE4"/>
          </w:tcPr>
          <w:p w14:paraId="7C50A3A7" w14:textId="77777777" w:rsidR="00D542A1" w:rsidRPr="00D542A1" w:rsidRDefault="00D542A1" w:rsidP="00BE37E2">
            <w:pPr>
              <w:tabs>
                <w:tab w:val="decimal" w:pos="660"/>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30.2 </w:t>
            </w:r>
          </w:p>
        </w:tc>
        <w:tc>
          <w:tcPr>
            <w:tcW w:w="1575" w:type="dxa"/>
            <w:tcBorders>
              <w:top w:val="single" w:sz="4" w:space="0" w:color="FFFFFF"/>
              <w:left w:val="single" w:sz="4" w:space="0" w:color="FFFFFF"/>
              <w:bottom w:val="single" w:sz="4" w:space="0" w:color="FFFFFF"/>
              <w:right w:val="single" w:sz="4" w:space="0" w:color="FFFFFF"/>
            </w:tcBorders>
            <w:shd w:val="clear" w:color="auto" w:fill="B8CCE4"/>
          </w:tcPr>
          <w:p w14:paraId="3CA341FE" w14:textId="77777777" w:rsidR="00D542A1" w:rsidRPr="00D542A1" w:rsidRDefault="00D542A1" w:rsidP="00BE37E2">
            <w:pPr>
              <w:tabs>
                <w:tab w:val="decimal" w:pos="107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193,500 </w:t>
            </w:r>
          </w:p>
        </w:tc>
        <w:tc>
          <w:tcPr>
            <w:tcW w:w="1390" w:type="dxa"/>
            <w:tcBorders>
              <w:top w:val="single" w:sz="4" w:space="0" w:color="FFFFFF"/>
              <w:left w:val="single" w:sz="4" w:space="0" w:color="FFFFFF"/>
              <w:bottom w:val="single" w:sz="4" w:space="0" w:color="FFFFFF"/>
              <w:right w:val="single" w:sz="4" w:space="0" w:color="FFFFFF"/>
            </w:tcBorders>
            <w:shd w:val="clear" w:color="auto" w:fill="B8CCE4"/>
          </w:tcPr>
          <w:p w14:paraId="5E277EB8" w14:textId="77777777" w:rsidR="00D542A1" w:rsidRPr="00D542A1" w:rsidRDefault="00D542A1" w:rsidP="00BE37E2">
            <w:pPr>
              <w:tabs>
                <w:tab w:val="decimal" w:pos="62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69.8 </w:t>
            </w:r>
          </w:p>
        </w:tc>
        <w:tc>
          <w:tcPr>
            <w:tcW w:w="1363" w:type="dxa"/>
            <w:tcBorders>
              <w:top w:val="single" w:sz="4" w:space="0" w:color="FFFFFF"/>
              <w:left w:val="single" w:sz="4" w:space="0" w:color="FFFFFF"/>
              <w:bottom w:val="single" w:sz="4" w:space="0" w:color="FFFFFF"/>
              <w:right w:val="single" w:sz="4" w:space="0" w:color="FFFFFF"/>
            </w:tcBorders>
            <w:shd w:val="clear" w:color="auto" w:fill="B8CCE4"/>
          </w:tcPr>
          <w:p w14:paraId="2C3543B1" w14:textId="77777777" w:rsidR="00D542A1" w:rsidRPr="00D542A1" w:rsidRDefault="00D542A1" w:rsidP="00BE37E2">
            <w:pPr>
              <w:tabs>
                <w:tab w:val="decimal" w:pos="94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277,200 </w:t>
            </w:r>
          </w:p>
        </w:tc>
      </w:tr>
      <w:tr w:rsidR="00D542A1" w:rsidRPr="00D542A1" w14:paraId="087A1098" w14:textId="77777777" w:rsidTr="005D7832">
        <w:trPr>
          <w:trHeight w:val="326"/>
        </w:trPr>
        <w:tc>
          <w:tcPr>
            <w:tcW w:w="784" w:type="dxa"/>
            <w:tcBorders>
              <w:top w:val="single" w:sz="4" w:space="0" w:color="FFFFFF"/>
              <w:left w:val="single" w:sz="4" w:space="0" w:color="FFFFFF"/>
              <w:bottom w:val="nil"/>
              <w:right w:val="single" w:sz="4" w:space="0" w:color="FFFFFF"/>
            </w:tcBorders>
            <w:shd w:val="clear" w:color="auto" w:fill="4F81BD"/>
          </w:tcPr>
          <w:p w14:paraId="56057075" w14:textId="77777777" w:rsidR="00D542A1" w:rsidRPr="00D542A1" w:rsidRDefault="00D542A1" w:rsidP="00BE37E2">
            <w:pPr>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FFFFFF"/>
                <w:sz w:val="24"/>
                <w:szCs w:val="24"/>
              </w:rPr>
              <w:t xml:space="preserve">2019 </w:t>
            </w:r>
          </w:p>
        </w:tc>
        <w:tc>
          <w:tcPr>
            <w:tcW w:w="1598" w:type="dxa"/>
            <w:tcBorders>
              <w:top w:val="single" w:sz="4" w:space="0" w:color="FFFFFF"/>
              <w:left w:val="single" w:sz="4" w:space="0" w:color="FFFFFF"/>
              <w:bottom w:val="nil"/>
              <w:right w:val="single" w:sz="4" w:space="0" w:color="FFFFFF"/>
            </w:tcBorders>
            <w:shd w:val="clear" w:color="auto" w:fill="DBE5F1"/>
          </w:tcPr>
          <w:p w14:paraId="29B80F0C" w14:textId="77777777" w:rsidR="00D542A1" w:rsidRPr="00D542A1" w:rsidRDefault="00D542A1" w:rsidP="00BE37E2">
            <w:pPr>
              <w:tabs>
                <w:tab w:val="decimal" w:pos="112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91,000 </w:t>
            </w:r>
          </w:p>
        </w:tc>
        <w:tc>
          <w:tcPr>
            <w:tcW w:w="1575" w:type="dxa"/>
            <w:tcBorders>
              <w:top w:val="single" w:sz="4" w:space="0" w:color="FFFFFF"/>
              <w:left w:val="single" w:sz="4" w:space="0" w:color="FFFFFF"/>
              <w:bottom w:val="nil"/>
              <w:right w:val="single" w:sz="4" w:space="0" w:color="FFFFFF"/>
            </w:tcBorders>
            <w:shd w:val="clear" w:color="auto" w:fill="DBE5F1"/>
          </w:tcPr>
          <w:p w14:paraId="15261155" w14:textId="77777777" w:rsidR="00D542A1" w:rsidRPr="00D542A1" w:rsidRDefault="00D542A1" w:rsidP="00BE37E2">
            <w:pPr>
              <w:tabs>
                <w:tab w:val="decimal" w:pos="660"/>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31.6 </w:t>
            </w:r>
          </w:p>
        </w:tc>
        <w:tc>
          <w:tcPr>
            <w:tcW w:w="1575" w:type="dxa"/>
            <w:tcBorders>
              <w:top w:val="single" w:sz="4" w:space="0" w:color="FFFFFF"/>
              <w:left w:val="single" w:sz="4" w:space="0" w:color="FFFFFF"/>
              <w:bottom w:val="nil"/>
              <w:right w:val="single" w:sz="4" w:space="0" w:color="FFFFFF"/>
            </w:tcBorders>
            <w:shd w:val="clear" w:color="auto" w:fill="DBE5F1"/>
          </w:tcPr>
          <w:p w14:paraId="7073B8C7" w14:textId="77777777" w:rsidR="00D542A1" w:rsidRPr="00D542A1" w:rsidRDefault="00D542A1" w:rsidP="00BE37E2">
            <w:pPr>
              <w:tabs>
                <w:tab w:val="decimal" w:pos="1079"/>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196,600 </w:t>
            </w:r>
          </w:p>
        </w:tc>
        <w:tc>
          <w:tcPr>
            <w:tcW w:w="1390" w:type="dxa"/>
            <w:tcBorders>
              <w:top w:val="single" w:sz="4" w:space="0" w:color="FFFFFF"/>
              <w:left w:val="single" w:sz="4" w:space="0" w:color="FFFFFF"/>
              <w:bottom w:val="nil"/>
              <w:right w:val="single" w:sz="4" w:space="0" w:color="FFFFFF"/>
            </w:tcBorders>
            <w:shd w:val="clear" w:color="auto" w:fill="DBE5F1"/>
          </w:tcPr>
          <w:p w14:paraId="22848E66" w14:textId="77777777" w:rsidR="00D542A1" w:rsidRPr="00D542A1" w:rsidRDefault="00D542A1" w:rsidP="00BE37E2">
            <w:pPr>
              <w:tabs>
                <w:tab w:val="decimal" w:pos="62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68.4 </w:t>
            </w:r>
          </w:p>
        </w:tc>
        <w:tc>
          <w:tcPr>
            <w:tcW w:w="1363" w:type="dxa"/>
            <w:tcBorders>
              <w:top w:val="single" w:sz="4" w:space="0" w:color="FFFFFF"/>
              <w:left w:val="single" w:sz="4" w:space="0" w:color="FFFFFF"/>
              <w:bottom w:val="nil"/>
              <w:right w:val="single" w:sz="4" w:space="0" w:color="FFFFFF"/>
            </w:tcBorders>
            <w:shd w:val="clear" w:color="auto" w:fill="DBE5F1"/>
          </w:tcPr>
          <w:p w14:paraId="5257AC4E" w14:textId="77777777" w:rsidR="00D542A1" w:rsidRPr="00D542A1" w:rsidRDefault="00D542A1" w:rsidP="00BE37E2">
            <w:pPr>
              <w:tabs>
                <w:tab w:val="decimal" w:pos="947"/>
              </w:tabs>
              <w:jc w:val="both"/>
              <w:rPr>
                <w:rFonts w:ascii="Times New Roman" w:eastAsia="Calibri" w:hAnsi="Times New Roman" w:cs="Times New Roman"/>
                <w:color w:val="000000"/>
                <w:sz w:val="24"/>
                <w:szCs w:val="24"/>
              </w:rPr>
            </w:pPr>
            <w:r w:rsidRPr="00D542A1">
              <w:rPr>
                <w:rFonts w:ascii="Times New Roman" w:eastAsia="Ebrima" w:hAnsi="Times New Roman" w:cs="Times New Roman"/>
                <w:color w:val="000000"/>
                <w:sz w:val="24"/>
                <w:szCs w:val="24"/>
              </w:rPr>
              <w:t xml:space="preserve">287,600 </w:t>
            </w:r>
          </w:p>
        </w:tc>
      </w:tr>
    </w:tbl>
    <w:p w14:paraId="4DDB4C0B" w14:textId="77777777" w:rsidR="00D542A1" w:rsidRPr="00D542A1" w:rsidRDefault="00D542A1" w:rsidP="00BE37E2">
      <w:pPr>
        <w:tabs>
          <w:tab w:val="center" w:pos="2387"/>
        </w:tabs>
        <w:spacing w:after="0" w:line="240" w:lineRule="auto"/>
        <w:ind w:left="709"/>
        <w:jc w:val="both"/>
        <w:rPr>
          <w:rFonts w:ascii="Times New Roman" w:eastAsia="Ebrima" w:hAnsi="Times New Roman" w:cs="Times New Roman"/>
          <w:color w:val="000000"/>
          <w:sz w:val="24"/>
          <w:szCs w:val="24"/>
          <w:lang w:eastAsia="en-CA"/>
        </w:rPr>
      </w:pPr>
      <w:r w:rsidRPr="00D542A1">
        <w:rPr>
          <w:rFonts w:ascii="Times New Roman" w:eastAsia="Ebrima" w:hAnsi="Times New Roman" w:cs="Times New Roman"/>
          <w:color w:val="000000"/>
          <w:sz w:val="24"/>
          <w:szCs w:val="24"/>
          <w:lang w:eastAsia="en-CA"/>
        </w:rPr>
        <w:t xml:space="preserve"> Source: Statistics Canada. Table 14-10-0023-01. </w:t>
      </w:r>
    </w:p>
    <w:p w14:paraId="71011E01" w14:textId="77777777" w:rsidR="00D542A1" w:rsidRPr="00D542A1" w:rsidRDefault="00D542A1" w:rsidP="00BE37E2">
      <w:pPr>
        <w:spacing w:line="480" w:lineRule="auto"/>
        <w:jc w:val="both"/>
        <w:rPr>
          <w:rFonts w:ascii="Times New Roman" w:hAnsi="Times New Roman" w:cs="Times New Roman"/>
          <w:sz w:val="24"/>
          <w:szCs w:val="24"/>
        </w:rPr>
      </w:pPr>
    </w:p>
    <w:p w14:paraId="52E90EAA"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Recent studies have linked the subsequent health deterioration of migrant workers to issues associated with their immigration and work status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{"citationID":"ujX2C4Y0","properties":{"formattedCitation":"(Brabete, 2017a; K. Harris, 2020a; Yeoh &amp; Ramdas, 2014)","plainCitation":"(Brabete, 2017a; K. Harris, 2020a; Yeoh &amp; Ramdas, 2014)","dontUpdate":true,"noteIndex":0},"citationItems":[{"id":1032,"uris":["http://zotero.org/users/5481489/items/YHKBXI7H"],"uri":["http://zotero.org/users/5481489/items/YHKBXI7H"],"itemData":{"id":1032,"type":"chapter","container-title":"The Psychology of Gender and Health","ISBN":"978-0-12-803864-2","language":"en","note":"DOI: 10.1016/B978-0-12-803864-2.00008-0","page":"231-250","publisher":"Elsevier","source":"DOI.org (Crossref)","title":"Examining Migrants’ Health From a Gender Perspective","URL":"https://linkinghub.elsevier.com/retrieve/pii/B9780128038642000080","author":[{"family":"Brabete","given":"Andreea C."}],"accessed":{"date-parts":[["2021",3,13]]},"issued":{"date-parts":[["2017"]]}}},{"id":956,"uris":["http://zotero.org/users/5481489/items/3DZ54PT2"],"uri":["http://zotero.org/users/5481489/items/3DZ54PT2"],"itemData":{"id":956,"type":"webpage","abstract":"Migrant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(Brabete, 2017; Harris, 2020a; 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To examine the relationship between their working conditions and health decline in the context of the novel Coronavirus, I will analyse the working conditions in the meatpacking plants in Alberta and farms in Southern Ontario. These dynamics will be explored in the next section that reviews the literature on the healthy immigrant effect and the broader social determinants of health.</w:t>
      </w:r>
    </w:p>
    <w:p w14:paraId="51E464CD"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24" w:name="_Toc72494757"/>
      <w:r w:rsidRPr="00D542A1">
        <w:rPr>
          <w:rFonts w:ascii="Times New Roman" w:eastAsiaTheme="majorEastAsia" w:hAnsi="Times New Roman" w:cs="Times New Roman"/>
          <w:color w:val="2F5496" w:themeColor="accent1" w:themeShade="BF"/>
          <w:sz w:val="24"/>
          <w:szCs w:val="24"/>
          <w:lang w:val="en-US"/>
        </w:rPr>
        <w:t>Literature Review</w:t>
      </w:r>
      <w:bookmarkEnd w:id="24"/>
    </w:p>
    <w:p w14:paraId="41FBEC88" w14:textId="77777777" w:rsidR="00D542A1" w:rsidRPr="00D542A1" w:rsidRDefault="00D542A1" w:rsidP="00BE37E2">
      <w:pPr>
        <w:jc w:val="both"/>
        <w:rPr>
          <w:rFonts w:ascii="Times New Roman" w:hAnsi="Times New Roman" w:cs="Times New Roman"/>
          <w:sz w:val="24"/>
          <w:szCs w:val="24"/>
          <w:lang w:val="en-US"/>
        </w:rPr>
      </w:pPr>
    </w:p>
    <w:p w14:paraId="78ADF1FF"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25" w:name="_Toc72494758"/>
      <w:r w:rsidRPr="00D542A1">
        <w:rPr>
          <w:rFonts w:ascii="Times New Roman" w:eastAsiaTheme="majorEastAsia" w:hAnsi="Times New Roman" w:cs="Times New Roman"/>
          <w:color w:val="2F5496" w:themeColor="accent1" w:themeShade="BF"/>
          <w:sz w:val="24"/>
          <w:szCs w:val="24"/>
        </w:rPr>
        <w:t>Healthy Immigrant Effect (HIE)</w:t>
      </w:r>
      <w:bookmarkEnd w:id="25"/>
    </w:p>
    <w:p w14:paraId="4429C69D" w14:textId="77777777" w:rsidR="00D542A1" w:rsidRPr="00D542A1" w:rsidRDefault="00D542A1" w:rsidP="00BE37E2">
      <w:pPr>
        <w:jc w:val="both"/>
        <w:rPr>
          <w:rFonts w:ascii="Times New Roman" w:hAnsi="Times New Roman" w:cs="Times New Roman"/>
          <w:sz w:val="24"/>
          <w:szCs w:val="24"/>
        </w:rPr>
      </w:pPr>
    </w:p>
    <w:p w14:paraId="11B53BFF" w14:textId="77777777"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This idea that recent migrant health is substantially better post migration but deteriorates over time in the destination country is described as Healthy Immigrant Effect (HIE). It has been validated empirically in numerous studies.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{"citationID":"dbKyIbXF","properties":{"formattedCitation":"(Deri, 2016; B. D. Gushulak et al., 2011; McDonald &amp; Kennedy, 2004; Vang et al., 2017b)","plainCitation":"(Deri, 2016; B. D. Gushulak et al., 2011; McDonald &amp; Kennedy, 2004; Vang et al., 2017b)","dontUpdate":true,"noteIndex":0},"citationItems":[{"id":1003,"uris":["http://zotero.org/users/5481489/items/2ZQKEQC3"],"uri":["http://zotero.org/users/5481489/items/2ZQKEQC3"],"itemData":{"id":1003,"type":"webpage","title":"Understanding the 'healthy immigrant effect' in Canada","URL":"https://books-scholarsportal-info.proxy.bib.uottawa.ca/en/read?id=/ebooks/ebooks0/gibson_cppc-chrc/2016-06-25/1/10050282#page=7","author":[{"family":"Deri","given":"Catherine Ann"}],"accessed":{"date-parts":[["2021",3,8]]},"issued":{"date-parts":[["2016"]]}}},{"id":330,"uris":["http://zotero.org/users/5481489/items/J9PFT2R3"],"uri":["http://zotero.org/users/5481489/items/J9PFT2R3"],"itemData":{"id":330,"type":"article-journal","abstract":"Background: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id":1000,"uris":["http://zotero.org/users/5481489/items/AQAXK4DI"],"uri":["http://zotero.org/users/5481489/items/AQAXK4DI"],"itemData":{"id":1000,"type":"article-journal","abstract":"This paper combines multiple cross-sections of data drawn from the National Population Health Survey and Canadian Community Health Survey to confirm the existence of the ‘healthy immigrant effect’, specifically that immigrants are in relatively better health on arrival in Canada compared to native-born Canadians, and that immigrant health converges with years in Canada to native-born levels. The paper finds robust evidence that the healthy immigrant effect is present for the incidence of chronic conditions for both men and women, and results in relatively slow convergence to native-born levels. There is only weak evidence in terms of self-assessed health status. The inclusion of controls for region of origin and year of arrival does not account for the observed effects, although region of origin is an important determinants of immigrant health. The paper then considers some alternative explanations for the observed differences, and support is found for the idea that the healthy immigrant effect reflects convergence in physical health rather than convergence in screening and detection of existing health problems.","container-title":"Social Science &amp; Medicine","DOI":"10.1016/j.socscimed.2004.02.004","ISSN":"0277-9536","issue":"8","journalAbbreviation":"Social Science &amp; Medicine","language":"en","page":"1613-1627","source":"ScienceDirect","title":"Insights into the ‘healthy immigrant effect’: health status and health service use of immigrants to Canada","title-short":"Insights into the ‘healthy immigrant effect’","volume":"59","author":[{"family":"McDonald","given":"James Ted"},{"family":"Kennedy","given":"Steven"}],"issued":{"date-parts":[["2004",10,1]]}}},{"id":1022,"uris":["http://zotero.org/users/5481489/items/NRRMY7IM"],"uri":["http://zotero.org/users/5481489/items/NRRMY7IM"],"itemData":{"id":1022,"type":"article-journal","abstract":"Objectives: Immigrants are typically healthier than the native-born population in the receiving country and also tend to be healthier than non-migrants in the countries of origin. This foreign-born health advantage has been referred to as the healthy immigrant effect (HIE). We examined evidence for the HIE in Canada. Design: We employed a systematic search of the literature on immigration and health and identified 78 eligible studies. We used a narrative method to synthesize the HIE across different stages of the life-course and different health outcomes within each stage. We also examined the empirical evidence for positive selection and duration effects – two common explanations of migrants’ health advantage and deterioration, respectively.\nResults: We find that the HIE appears to be strongest during adulthood but less so during childhood/adolescence and late life. A foreign-born health advantage is also more robust for mortality but less so for morbidity. The HIE is also stronger for more recent immigrants but further research is needed to determine the critical threshold for when migrants’ advantage disappears. Positive selection as an explanation for the HIE remains underdeveloped.\nConclusions: There is an absence of a uniform foreign-born health advantage across different life-course stages and health outcomes in Canada. Nonetheless, it remains the case that the HIE characterizes the majority of contemporary migrants since Canada’s foreign-born population consists mostly of core working age adults.","container-title":"Ethnicity &amp; Health","DOI":"10.1080/13557858.2016.1246518","ISSN":"1355-7858, 1465-3419","issue":"3","journalAbbreviation":"Ethnicity &amp; Health","language":"en","page":"209-241","source":"DOI.org (Crossref)","title":"Are immigrants healthier than native-born Canadians? A systematic review of the healthy immigrant effect in Canada","title-short":"Are immigrants healthier than native-born Canadians?","volume":"22","author":[{"family":"Vang","given":"Zoua M."},{"family":"Sigouin","given":"Jennifer"},{"family":"Flenon","given":"Astrid"},{"family":"Gagnon","given":"Alain"}],"issued":{"date-parts":[["2017",5,4]]}}}],"schema":"https://github.com/citation-style-language/schema/raw/master/csl-citation.json"}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(Deri, 2016; Gushulak et al., 2011; McDonald &amp; Kennedy, 2004; Vang et al., 2017b)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According to research by </w:t>
      </w:r>
      <w:proofErr w:type="spellStart"/>
      <w:r w:rsidRPr="00D542A1">
        <w:rPr>
          <w:rFonts w:ascii="Times New Roman" w:hAnsi="Times New Roman" w:cs="Times New Roman"/>
          <w:sz w:val="24"/>
          <w:szCs w:val="24"/>
        </w:rPr>
        <w:t>Gushulak</w:t>
      </w:r>
      <w:proofErr w:type="spellEnd"/>
      <w:r w:rsidRPr="00D542A1">
        <w:rPr>
          <w:rFonts w:ascii="Times New Roman" w:hAnsi="Times New Roman" w:cs="Times New Roman"/>
          <w:sz w:val="24"/>
          <w:szCs w:val="24"/>
        </w:rPr>
        <w:t xml:space="preserve"> et al., (2011), the general health of over 90% of immigrants on arrival tilts towards good to excellent health and most display health characteristic that equal or exceed those of Canadian residents. </w:t>
      </w:r>
    </w:p>
    <w:p w14:paraId="70CB59A2" w14:textId="03E89506"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A reason for the HIE involves the visa application process for migrants. Canadian policy on immigration requires applicants to undergo medical examination as a prerequisite for eligibility </w:t>
      </w:r>
      <w:r w:rsidRPr="00D542A1">
        <w:rPr>
          <w:rFonts w:ascii="Times New Roman" w:hAnsi="Times New Roman" w:cs="Times New Roman"/>
          <w:sz w:val="24"/>
          <w:szCs w:val="24"/>
        </w:rPr>
        <w:lastRenderedPageBreak/>
        <w:t xml:space="preserve">prior to visa application to Canada and migrants with some health conditions can be deemed inadmissible to the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{"citationID":"XJjfCpQT","properties":{"formattedCitation":"(B. Gushulak, 2007; B. D. Gushulak et al., 2011; Immigration, 2013; Kobayashi &amp; Prus, 2012; Vang et al., 2017a)","plainCitation":"(B. Gushulak, 2007; B. D. Gushulak et al., 2011; Immigration, 2013; Kobayashi &amp; Prus, 2012; Vang et al., 2017a)","dontUpdate":true,"noteIndex":0},"citationItems":[{"id":1008,"uris":["http://zotero.org/users/5481489/items/VAGDJK83"],"uri":["http://zotero.org/users/5481489/items/VAGDJK83"],"itemData":{"id":1008,"type":"article-journal","abstract":"In this issue Ray and colleagues[1][1] explore the relation between immigration to Canada (Ontario specifically) and the risk of placental dysfunction. Quantifying a triad of obstetric complications (pre-eclampsia or eclampsia, placental abruption and placental infarction), the study team observed","container-title":"CMAJ","DOI":"10.1503/cmaj.070395","ISSN":"0820-3946, 1488-2329","issue":"10","language":"en","note":"publisher: CMAJ\nsection: Commentary\nPMID: 17485696","page":"1439-1440","source":"www.cmaj.ca","title":"Healthier on arrival? Further insight into the “healthy immigrant effect”","title-short":"Healthier on arrival?","volume":"176","author":[{"family":"Gushulak","given":"Brian"}],"issued":{"date-parts":[["2007",5,8]]}}},{"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id":779,"uris":["http://zotero.org/users/5481489/items/Q3YNQSX3"],"uri":["http://zotero.org/users/5481489/items/Q3YNQSX3"],"itemData":{"id":779,"type":"webpage","abstract":"Medical refusals and inadmissibility","container-title":"aem","genre":"program descriptions","language":"eng","note":"Last Modified: 2013-05-07","title":"Medical refusals and inadmissibility","URL":"https://www.canada.ca/en/immigration-refugees-citizenship/corporate/publications-manuals/operational-bulletins-manuals/standard-requirements/medical-requirements/refusals-inadmissibility.html","author":[{"family":"Immigration","given":"Refugees and Citizenship Canada"}],"accessed":{"date-parts":[["2021",2,1]]},"issued":{"date-parts":[["2013",4,17]]}}},{"id":1006,"uris":["http://zotero.org/users/5481489/items/FWCKBKQ3"],"uri":["http://zotero.org/users/5481489/items/FWCKBKQ3"],"itemData":{"id":1006,"type":"article-journal","abstract":"This study expands on previous research on the healthy immigrant effect (HIE) in Canada by considering the effects of both immigrant and visible minority status on self-rated health for males and females in mid-(45-64) and later life (65+). The findings reveal a strong HIE among new immigrant middle-aged men, particularly non-Whites. For older men of color the reality is strikingly different: they are disadvantaged in health compared to their Canadian-born counterparts, even when a number of demographic, economic, and lifestyle factors are controlled. Health outcomes for immigrant women are in contrast to that of immigrant men. Among middle-aged women, immigrants, regardless of their ethnicity or number of years since immigration, are much more likely to report poor health compared to the Canadian-born. And, for older women, recent non-white immigrants are more likely to report better health compared to Canadian-born women, although this finding is explained by differences in demographic, economic, and lifestyle factors. Overall, the findings demonstrate the importance of considering the intersections of age, gender, and ethnicity for policymakers in assessing the health of immigrants.","container-title":"International Journal for Equity in Health","DOI":"10.1186/1475-9276-11-8","journalAbbreviation":"International Journal for Equity in Health","note":"publisher: BioMed Central","page":"8-8","source":"Scholars Portal Journals","title":"Examining the gender, ethnicity, and age dimensions of the healthy immigrant effect: Factors in the development of equitable health policy","title-short":"Examining the gender, ethnicity, and age dimensions of the healthy immigrant effect","volume":"11","author":[{"family":"Kobayashi","given":"Karen M"},{"family":"Prus","given":"Steven G"}],"issued":{"date-parts":[["2012"]]}}},{"id":1017,"uris":["http://zotero.org/users/5481489/items/PQRTSQ5C"],"uri":["http://zotero.org/users/5481489/items/PQRTSQ5C"],"itemData":{"id":1017,"type":"article-journal","abstract":"ABSTRACT Objectives: Immigrants are typically healthier than the native-born population in the receiving country and also tend to be healthier than non-migrants in the countries of origin. This foreign-born health advantage has been referred to as the healthy immigrant effect (HIE). We examined evidence for the HIE in Canada. Design: We employed a systematic search of the literature on immigration and health and identified 78 eligible studies. We used a narrative method to synthesize the HIE across different stages of the life-course and different health outcomes within each stage. We also examined the empirical evidence for positive selection and duration effects – two common explanations of migrants’ health advantage and deterioration, respectively. Results: We find </w:instrText>
      </w:r>
      <w:r w:rsidRPr="00E67C9A">
        <w:rPr>
          <w:rFonts w:ascii="Times New Roman" w:hAnsi="Times New Roman" w:cs="Times New Roman"/>
          <w:sz w:val="24"/>
          <w:szCs w:val="24"/>
          <w:lang w:val="fr-FR"/>
        </w:rPr>
        <w:instrText xml:space="preserve">that the HIE appears to be strongest during adulthood but less so during childhood/adolescence and late life. A foreign-born health advantage is also more robust for mortality but less so for morbidity. The HIE is also stronger for more recent immigrants but further research is needed to determine the critical threshold for when migrants’ advantage disappears. Positive selection as an explanation for the HIE remains underdeveloped. Conclusions: There is an absence of a uniform foreign-born health advantage across different life-course stages and health outcomes in Canada. Nonetheless, it remains the case that the HIE characterizes the majority of contemporary migrants since Canada’s foreign-born population consists mostly of core working age adults.","container-title":"Ethnicity &amp; Health","DOI":"10.1080/13557858.2016.1246518","ISSN":"1355-7858","issue":"3","journalAbbreviation":"Ethnicity &amp; Health","note":"publisher: Taylor &amp; Francis","page":"209-241","source":"Scholars Portal Journals","title":"Are immigrants healthier than native-born Canadians? A systematic review of the healthy immigrant effect in Canada","title-short":"Are immigrants healthier than native-born Canadians?","volume":"22","author":[{"family":"Vang","given":"Zoua M."},{"family":"Sigouin","given":"Jennifer"},{"family":"Flenon","given":"Astrid"},{"family":"Gagnon","given":"Alain"}],"issued":{"date-parts":[["2017"]]}}}],"schema":"https://github.com/citation-style-language/schema/raw/master/csl-citation.json"}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lang w:val="fr-FR"/>
        </w:rPr>
        <w:t>(B. Gushulak, 2007; Gushulak et al., 2011; Immigration, 2013; Kobayashi &amp; Prus, 2012; Vang et al., 2017a)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lang w:val="fr-FR"/>
        </w:rPr>
        <w:t xml:space="preserve">. </w:t>
      </w:r>
      <w:r w:rsidRPr="00D542A1">
        <w:rPr>
          <w:rFonts w:ascii="Times New Roman" w:hAnsi="Times New Roman" w:cs="Times New Roman"/>
          <w:sz w:val="24"/>
          <w:szCs w:val="24"/>
        </w:rPr>
        <w:t xml:space="preserve">Yet with the passage of time and years spent in the destination country, research has shown the HIE gradually </w:t>
      </w:r>
      <w:r w:rsidR="002A0E2E" w:rsidRPr="00D542A1">
        <w:rPr>
          <w:rFonts w:ascii="Times New Roman" w:hAnsi="Times New Roman" w:cs="Times New Roman"/>
          <w:sz w:val="24"/>
          <w:szCs w:val="24"/>
        </w:rPr>
        <w:t>deteriorates</w:t>
      </w:r>
      <w:r w:rsidRPr="00D542A1">
        <w:rPr>
          <w:rFonts w:ascii="Times New Roman" w:hAnsi="Times New Roman" w:cs="Times New Roman"/>
          <w:sz w:val="24"/>
          <w:szCs w:val="24"/>
        </w:rPr>
        <w:t xml:space="preserve"> </w:t>
      </w:r>
      <w:r w:rsidR="002A0E2E">
        <w:rPr>
          <w:rFonts w:ascii="Times New Roman" w:hAnsi="Times New Roman" w:cs="Times New Roman"/>
          <w:sz w:val="24"/>
          <w:szCs w:val="24"/>
        </w:rPr>
        <w:t>after</w:t>
      </w:r>
      <w:r w:rsidRPr="00D542A1">
        <w:rPr>
          <w:rFonts w:ascii="Times New Roman" w:hAnsi="Times New Roman" w:cs="Times New Roman"/>
          <w:sz w:val="24"/>
          <w:szCs w:val="24"/>
        </w:rPr>
        <w:t xml:space="preserve"> at least 10 years post migration compared to the Canadian born population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{"citationID":"AmRNWhOJ","properties":{"formattedCitation":"(Deri, 2016; Kobayashi &amp; Prus, 2012)","plainCitation":"(Deri, 2016; Kobayashi &amp; Prus, 2012)","noteIndex":0},"citationItems":[{"id":1003,"uris":["http://zotero.org/users/5481489/items/2ZQKEQC3"],"uri":["http://zotero.org/users/5481489/items/2ZQKEQC3"],"itemData":{"id":1003,"type":"webpage","title":"Understanding the 'healthy immigrant effect' in Canada","URL":"https://books-scholarsportal-info.proxy.bib.uottawa.ca/en/read?id=/ebooks/ebooks0/gibson_cppc-chrc/2016-06-25/1/10050282#page=7","author":[{"family":"Deri","given":"Catherine Ann"}],"accessed":{"date-parts":[["2021",3,8]]},"issued":{"date-parts":[["2016"]]}}},{"id":1006,"uris":["http://zotero.org/users/5481489/items/FWCKBKQ3"],"uri":["http://zotero.org/users/5481489/items/FWCKBKQ3"],"itemData":{"id":1006,"type":"article-journal","abstract":"This study expands on previous research on the healthy immigrant effect (HIE) in Canada by considering the effects of both immigrant and visible minority status on self-rated health for males and females in mid-(45-64) and later life (65+). The findings reveal a strong HIE among new immigrant middle-aged men, particularly non-Whites. For older men of color the reality is strikingly different: they are disadvantaged in health compared to their Canadian-born counterparts, even when a number of demographic, economic, and lifestyle factors are controlled. Health outcomes for immigrant women are in contrast to that of immigrant men. Among middle-aged women, immigrants, regardless of their ethnicity or number of years since immigration, are much more likely to report poor health compared to the Canadian-born. And, for older women, recent non-white immigrants are more likely to report better health compared to Canadian-born women, although this finding is explained by differences in demographic, economic, and lifestyle factors. Overall, the findings demonstrate the importance of considering the intersections of age, gender, and ethnicity for policymakers in assessing the health of immigrants.","container-title":"International Journal for Equity in Health","DOI":"10.1186/1475-9276-11-8","journalAbbreviation":"International Journal for Equity in Health","note":"publisher: BioMed Central","page":"8-8","source":"Scholars Portal Journals","title":"Examining the gender, ethnicity, and age dimensions of the healthy immigrant effect: Factors in the development of equitable health policy","title-short":"Examining the gender, ethnicity, and age dimensions of the healthy immigrant effect","volume":"11","author":[{"family":"Kobayashi","given":"Karen M"},{"family":"Prus","given":"Steven G"}],"issued":{"date-parts":[["2012"]]}}}],"schema":"https://github.com/citation-style-language/schema/raw/master/csl-citation.json"}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(Deri, 2016; Kobayashi &amp; Prus, 2012)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443A9E4D" w14:textId="77777777" w:rsidR="00D542A1" w:rsidRPr="00D542A1" w:rsidRDefault="00D542A1" w:rsidP="00BE37E2">
      <w:pPr>
        <w:spacing w:line="480" w:lineRule="auto"/>
        <w:ind w:firstLine="709"/>
        <w:jc w:val="both"/>
        <w:rPr>
          <w:rFonts w:ascii="Times New Roman" w:hAnsi="Times New Roman" w:cs="Times New Roman"/>
          <w:b/>
          <w:bCs/>
          <w:sz w:val="24"/>
          <w:szCs w:val="24"/>
          <w:lang w:val="fr-FR"/>
        </w:rPr>
      </w:pPr>
      <w:r w:rsidRPr="00D542A1">
        <w:rPr>
          <w:rFonts w:ascii="Times New Roman" w:hAnsi="Times New Roman" w:cs="Times New Roman"/>
          <w:sz w:val="24"/>
          <w:szCs w:val="24"/>
        </w:rPr>
        <w:t xml:space="preserve">The deterioration of the HIE has been a preoccupation of migration scholars in order for policy makers to formulate policies to meet the needs of the growing population of migrants and to improve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{"citationID":"cCwEs8CB","properties":{"formattedCitation":"(Deri, 2016; Kobayashi &amp; Prus, 2012)","plainCitation":"(Deri, 2016; Kobayashi &amp; Prus, 2012)","noteIndex":0},"citationItems":[{"id":1003,"uris":["http://zotero.org/users/5481489/items/2ZQKEQC3"],"uri":["http://zotero.org/users/5481489/items/2ZQKEQC3"],"itemData":{"id":1003,"type":"webpage","title":"Understanding the 'healthy immigrant effect' in Canada","URL":"https://books-scholarsportal-info.proxy.bib.uottawa.ca/en/read?id=/ebooks/ebooks0/gibson_cppc-chrc/2016-06-25/1/10050282#page=7","author":[{"family":"Deri","given":"Catherine Ann"}],"accessed":{"date-parts":[["2021",3,8]]},"issued":{"date-parts":[["2016"]]}}},{"id":1006,"uris":["http://zotero.org/users/5481489/items/FWCKBKQ3"],"uri":["http://zotero.org/users/5481489/items/FWCKBKQ3"],"itemData":{"id":1006,"type":"article-journal","abstract":"This study expands on previous research on the healthy immigrant effect (HIE) in Canada by considering the effects of both immigrant and visible minority status on self-rated health for males and females in mid-(45-64) and later life (65+). The findings reveal a strong HIE among new immigrant middle-aged men, particularly non-Whites. For older men of color the reality is strikingly different: they are disadvantaged in health compared to their Canadian-born counterparts, even when a number of demographic, economic, and lifestyle factors are controlled. Health outcomes for immigrant women are in contrast to that of immigrant men. Among middle-aged women, immigrants, regardless of their ethnicity or number of years since immigration, are much more likely to report poor health compared to the Canadian-born. And, for older women, recent non-white immigrants are more likely to report better health compared to Canadian-born women, although this finding is explained by differences in demographic, economic, and lifestyle factors. Overall, the findings demonstrate the importance of considering the intersections of age, gender, and ethnicity for policymakers in assessing the health of immigrants.","container-title":"International Journal for Equity in Health","DOI":"10.1186/1475-9276-11-8","journalAbbreviation":"International Journal for Equity in Health","note":"publisher: BioMed Central","page":"8-8","source":"Scholars Portal Journals","title":"Examining the gender, ethnicity, and age dimensions of the healthy immigrant effect: Factors in the development of equitable health policy","title-short":"Examining the gender, ethnicity, and age dimensions of the healthy immigrant effect","volume":"11","author":[{"family":"Kobayashi","given":"Karen M"},{"family":"Prus","given":"Steven G"}],"issued":{"date-parts":[["2012"]]}}}],"schema":"https://github.com/citation-style-language/schema/raw/master/csl-citation.json"}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(Deri, 2016; Kobayashi &amp; Prus, 2012)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Despite a consensus amongst scholars and researchers as to the veracity of the HIE hypothesis, findings as to the causative factors are far more heterogeneous. Explanations for the decline in health experienced by migrants has been shown to be associated with factors like poor nutrition, habits, acculturalization, low income level, low level of educational and the result of natural aging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{"citationID":"bVbhQTv8","properties":{"formattedCitation":"(Farr\\uc0\\u233{}, 2016; B. Gushulak, 2007; Kobayashi &amp; Prus, 2012; McDonald &amp; Kennedy, 2004; Ng et al., 2011; Sanou et al., 2014; Vang et al., 2017b)","plainCitation":"(Farré, 2016; B. Gushulak, 2007; Kobayashi &amp; Prus, 2012; McDonald &amp; Kennedy, 2004; Ng et al., 2011; Sanou et al., 2014; Vang et al., 2017b)","dontUpdate":true,"noteIndex":0},"citationItems":[{"id":1019,"uris":["http://zotero.org/users/5481489/items/3AVGRLRE"],"uri":["http://zotero.org/users/5481489/items/3AVGRLRE"],"itemData":{"id":1019,"type":"article-journal","abstract":"This paper presents new evidence that immigrants have better health than natives upon arrival to their destination. It analyzes a very interesting episode in international migration, namely the exodus of Ecuadorians in the aftermath of the economic collapse in the late 1990s. More than 600,000 Ecuadorians from 1999 to 2005 left their homeland, most relocating in Spain. Using information from the birth certificate data, the paper compares the birth outcomes of immigrant women in Spain not only to that of natives at destination, but to that of natives in Ecuador and immigrants from other nationalities in Spain. These comparisons suggest that the better health at birth of children born to immigrants from Ecuador partly responds to the selection of healthier women into migration.","container-title":"Journal of Population Economics","DOI":"10.1007/s00148-015-0578-4","ISSN":"1432-1475","issue":"2","journalAbbreviation":"J Popul Econ","language":"en","page":"365-394","source":"Springer Link","title":"New evidence on the healthy immigrant effect","volume":"29","author":[{"family":"Farré","given":"Lídia"}],"issued":{"date-parts":[["2016",4,1]]}}},{"id":1008,"uris":["http://zotero.org/users/5481489/items/VAGDJK83"],"uri":["http://zotero.org/users/5481489/items/VAGDJK83"],"itemData":{"id":1008,"type":"article-journal","abstract":"In this issue Ray and colleagues[1][1] explore the relation between immigration to Canada (Ontario specifically) and the risk of placental dysfunction. Quantifying a triad of obstetric complications (pre-eclampsia or eclampsia, placental abruption and placental infarction), the study team observed","container-title":"CMAJ","DOI":"10.1503/cmaj.070395","ISSN":"0820-3946, 1488-2329","issue":"10","language":"en","note":"publisher: CMAJ\nsection: Commentary\nPMID: 17485696","page":"1439-1440","source":"www.cmaj.ca","title":"Healthier on arrival? Further insight into the “healthy immigrant effect”","title-short":"Healthier on arrival?","volume":"176","author":[{"family":"Gushulak","given":"Brian"}],"issued":{"date-parts":[["2007",5,8]]}}},{"id":1006,"uris":["http://zotero.org/users/5481489/items/FWCKBKQ3"],"uri":["http://zotero.org/users/5481489/items/FWCKBKQ3"],"itemData":{"id":1006,"type":"article-journal","abstract":"This study expands on previous research on the healthy immigrant effect (HIE) in Canada by considering the effects of both immigrant and visible minority status on self-rated health for males and females in mid-(45-64) and later life (65+). The findings reveal a strong HIE among new immigrant middle-aged men, particularly non-Whites. For older men of color the reality is strikingly different: they are disadvantaged in health compared to their Canadian-born counterparts, even when a number of demographic, economic, and lifestyle factors are controlled. Health outcomes for immigrant women are in contrast to that of immigrant men. Among middle-aged women, immigrants, regardless of their ethnicity or number of years since immigration, are much more likely to report poor health compared to the Canadian-born. And, for older women, recent non-white immigrants are more likely to report better health compared to Canadian-born women, although this finding is explained by differences in demographic, economic, and lifestyle factors. Overall, the findings demonstrate the importance of considering the intersections of age, gender, and ethnicity for policymakers in assessing the health of immigrants.","container-title":"International Journal for Equity in Health","DOI":"10.1186/1475-9276-11-8","journalAbbreviation":"International Journal for Equity in Health","note":"publisher: BioMed Central","page":"8-8","source":"Scholars Portal Journals","title":"Examining the gender, ethnicity, and age dimensions of the healthy immigrant effect: Factors in the development of equitable health policy","title-short":"Examining the gender, ethnicity, and age dimensions of the healthy immigrant effect","volume":"11","author":[{"family":"Kobayashi","given":"Karen M"},{"family":"Prus","given":"Steven G"}],"issued":{"date-parts":[["2012"]]}}},{"id":1000,"uris":["http://zotero.org/users/5481489/items/AQAXK4DI"],"uri":["http://zotero.org/users/5481489/items/AQAXK4DI"],"itemData":{"id":1000,"type":"article-journal","abstract":"This paper combines multiple cross-sections of data drawn from the National Population Health Survey and Canadian Community Health Survey to confirm the existence of the ‘healthy immigrant effect’, specifically that immigrants are in relatively better health on arrival in Canada compared to native-born Canadians, and that immigrant health converges with years in Canada to native-born levels. The paper finds robust evidence that the healthy immigrant effect is present for the incidence of chronic conditions for both men and women, and results in relatively slow convergence to native-born levels. There is only weak evidence in terms of self-assessed health status. The inclusion of controls for region of origin and year of arrival does not account for the observed effects, although region of origin is an important determinants of immigrant health. The paper then considers some alternative explanations for the observed differences, and support is found for the idea that the healthy immigrant effect reflects convergence in physical health rather than convergence in screening and detection of existing health problems.","container-title":"Social Science &amp; Medicine","DOI":"10.1016/j.socscimed.2004.02.004","ISSN":"0277-9536","issue":"8","journalAbbreviation":"Social Science &amp; Medicine","language":"en","page":"1613-1627","source":"ScienceDirect","title":"Insights into the ‘healthy immigrant effect’: health status and health service use of immigrants to Canada","title-short":"Insights into the ‘healthy immigrant effect’","volume":"59","author":[{"family":"McDonald","given":"James Ted"},{"family":"Kennedy","given":"Steven"}],"issued":{"date-parts":[["2004",10,1]]}}},{"id":1015,"uris":["http://zotero.org/users/5481489/items/GHQME5WM"],"uri":["http://zotero.org/users/5481489/items/GHQME5WM"],"itemData":{"id":1015,"type":"book","event-place":"Ottawa, Ont.","ISBN":"978-1-100-19238-3","language":"en","note":"OCLC: 1059228939","publisher":"Statistics Canada, Health Analysis Division","publisher-place":"Ottawa, Ont.","source":"Open WorldCat","title":"Insights into the healthy immigrant effect: mortality by period of immigration and birthplace","title-short":"Insights into the healthy immigrant effect","URL":"https://www.deslibris.ca/ID/230002","author":[{"family":"Ng","given":"Edward"},{"literal":"Statistics Canada"},{"literal":"Health Analysis Division"}],"accessed":{"date-parts":[["2021",3,9]]},"issued":{"date-parts":[["2011"]]}}},{"id":1027,"uris":["http://zotero.org/users/5481489/items/RJKI5HFU"],"uri":["http://zotero.org/users/5481489/items/RJKI5HFU"],"itemData":{"id":1027,"type":"article-journal","container-title":"Journal of Immigrant and Minority Health","DOI":"10.1007/s10903-013-9823-7","ISSN":"1557-1912, 1557-1920","issue":"1","journalAbbreviation":"J Immigrant Minority Health","language":"en","page":"24-34","source":"DOI.org (Crossref)","title":"Acculturation and Nutritional Health of Immigrants in Canada: A Scoping Review","title-short":"Acculturation and Nutritional Health of Immigrants in Canada","volume":"16","author":[{"family":"Sanou","given":"Dia"},{"family":"O’Reilly","given":"Erin"},{"family":"Ngnie-Teta","given":"Ismael"},{"family":"Batal","given":"Malek"},{"family":"Mondain","given":"Nathalie"},{"family":"Andrew","given":"Caroline"},{"family":"Newbold","given":"Bruce K."},{"family":"Bourgeault","given":"Ivy L."}],"issued":{"date-parts":[["2014",2]]}}},{"id":1022,"uris":["http://zotero.org/users/5481489/items/NRRMY7IM"],"uri":["http://zotero.org/users/5481489/items/NRRMY7IM"],"itemData":{"id":1022,"type":"article-journal","abstract":"Objectives: Immigrants are typically healthier than the native-born population in the receiving country and also tend to be healthier than non-migrants in the countries of origin. This foreign-born health advantage has been referred to as the healthy immigrant effect (HIE). We examined evidence for the HIE in Canada. Design: We employed a systematic search of the literature on immigration and health and identified 78 eligible studies. We used a narrative method to synthesize the HIE across different stages of the life-course and different health outcomes within each stage. We also examined the empirical evidence for positive selection and duration effects – two common explanations of migrants’ health advantage and deterioration, respectively.\nResult</w:instrText>
      </w:r>
      <w:r w:rsidRPr="00E67C9A">
        <w:rPr>
          <w:rFonts w:ascii="Times New Roman" w:hAnsi="Times New Roman" w:cs="Times New Roman"/>
          <w:sz w:val="24"/>
          <w:szCs w:val="24"/>
          <w:lang w:val="fr-FR"/>
        </w:rPr>
        <w:instrText xml:space="preserve">s: We find that the HIE appears to be strongest during adulthood but less so during childhood/adolescence and late life. A foreign-born health advantage is also more robust for mortality but less so for morbidity. The HIE is also stronger for more recent immigrants but further research is needed to determine the critical threshold for when migrants’ advantage disappears. Positive selection as an explanation for the HIE remains underdeveloped.\nConclusions: There is an absence of a uniform foreign-born health advantage across different life-course stages and health outcomes in Canada. Nonetheless, it remains the case that the HIE characterizes the majority of contemporary migrants since Canada’s foreign-born population consists mostly of core working age adults.","container-title":"Ethnicity &amp; Health","DOI":"10.1080/13557858.2016.1246518","ISSN":"1355-7858, 1465-3419","issue":"3","journalAbbreviation":"Ethnicity &amp; Health","language":"en","page":"209-241","source":"DOI.org (Crossref)","title":"Are immigrants healthier than native-born Canadians? A systematic review of the healthy immigrant effect in Canada","title-short":"Are immigrants healthier than native-born Canadians?","volume":"22","author":[{"family":"Vang","given":"Zoua M."},{"family":"Sigouin","given":"Jennifer"},{"family":"Flenon","given":"Astrid"},{"family":"Gagnon","given":"Alain"}],"issued":{"date-parts":[["2017",5,4]]}}}],"schema":"https://github.com/citation-style-language/schema/raw/master/csl-citation.json"}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lang w:val="fr-FR"/>
        </w:rPr>
        <w:t>(</w:t>
      </w:r>
      <w:proofErr w:type="spellStart"/>
      <w:r w:rsidRPr="00D542A1">
        <w:rPr>
          <w:rFonts w:ascii="Times New Roman" w:hAnsi="Times New Roman" w:cs="Times New Roman"/>
          <w:sz w:val="24"/>
          <w:szCs w:val="24"/>
          <w:lang w:val="fr-FR"/>
        </w:rPr>
        <w:t>Farré</w:t>
      </w:r>
      <w:proofErr w:type="spellEnd"/>
      <w:r w:rsidRPr="00D542A1">
        <w:rPr>
          <w:rFonts w:ascii="Times New Roman" w:hAnsi="Times New Roman" w:cs="Times New Roman"/>
          <w:sz w:val="24"/>
          <w:szCs w:val="24"/>
          <w:lang w:val="fr-FR"/>
        </w:rPr>
        <w:t xml:space="preserve">, 2016; </w:t>
      </w:r>
      <w:proofErr w:type="spellStart"/>
      <w:r w:rsidRPr="00D542A1">
        <w:rPr>
          <w:rFonts w:ascii="Times New Roman" w:hAnsi="Times New Roman" w:cs="Times New Roman"/>
          <w:sz w:val="24"/>
          <w:szCs w:val="24"/>
          <w:lang w:val="fr-FR"/>
        </w:rPr>
        <w:t>Gushulak</w:t>
      </w:r>
      <w:proofErr w:type="spellEnd"/>
      <w:r w:rsidRPr="00D542A1">
        <w:rPr>
          <w:rFonts w:ascii="Times New Roman" w:hAnsi="Times New Roman" w:cs="Times New Roman"/>
          <w:sz w:val="24"/>
          <w:szCs w:val="24"/>
          <w:lang w:val="fr-FR"/>
        </w:rPr>
        <w:t>, 2007; Kobayashi &amp; Prus, 2012; McDonald &amp; Kennedy, 2004; Ng et al., 2011; Sanou et al., 2014; Vang et al., 2017b)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lang w:val="fr-FR"/>
        </w:rPr>
        <w:t xml:space="preserve">. </w:t>
      </w:r>
    </w:p>
    <w:p w14:paraId="17D7D2F5"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26" w:name="_Toc72494759"/>
      <w:r w:rsidRPr="00D542A1">
        <w:rPr>
          <w:rFonts w:ascii="Times New Roman" w:eastAsiaTheme="majorEastAsia" w:hAnsi="Times New Roman" w:cs="Times New Roman"/>
          <w:color w:val="2F5496" w:themeColor="accent1" w:themeShade="BF"/>
          <w:sz w:val="24"/>
          <w:szCs w:val="24"/>
        </w:rPr>
        <w:t>Social Determinants of Health (SDH)</w:t>
      </w:r>
      <w:bookmarkEnd w:id="26"/>
    </w:p>
    <w:p w14:paraId="4DC4B275" w14:textId="77777777" w:rsidR="00D542A1" w:rsidRPr="00D542A1" w:rsidRDefault="00D542A1" w:rsidP="00BE37E2">
      <w:pPr>
        <w:jc w:val="both"/>
        <w:rPr>
          <w:rFonts w:ascii="Times New Roman" w:hAnsi="Times New Roman" w:cs="Times New Roman"/>
          <w:sz w:val="24"/>
          <w:szCs w:val="24"/>
        </w:rPr>
      </w:pPr>
    </w:p>
    <w:p w14:paraId="0DFF07DA" w14:textId="7BD01C9A"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Decline in health of migrants</w:t>
      </w:r>
      <w:r w:rsidR="00AB7D16">
        <w:rPr>
          <w:rFonts w:ascii="Times New Roman" w:hAnsi="Times New Roman" w:cs="Times New Roman"/>
          <w:sz w:val="24"/>
          <w:szCs w:val="24"/>
        </w:rPr>
        <w:t>, as previously stated,</w:t>
      </w:r>
      <w:r w:rsidRPr="00D542A1">
        <w:rPr>
          <w:rFonts w:ascii="Times New Roman" w:hAnsi="Times New Roman" w:cs="Times New Roman"/>
          <w:sz w:val="24"/>
          <w:szCs w:val="24"/>
        </w:rPr>
        <w:t xml:space="preserve"> has shown to be associated with poor nutrition, habits, acculturalization, low income, low level of education etc., these are all collectively known as the social determinants of health. Although health is sometimes seen to be a result of individual behaviors, population health scholars have shown that health inequities are driven by social and economic factors beyond an individual’s control. These are referred to as</w:t>
      </w:r>
      <w:r w:rsidRPr="00D542A1" w:rsidDel="0004148C">
        <w:rPr>
          <w:rFonts w:ascii="Times New Roman" w:hAnsi="Times New Roman" w:cs="Times New Roman"/>
          <w:sz w:val="24"/>
          <w:szCs w:val="24"/>
        </w:rPr>
        <w:t xml:space="preserve"> </w:t>
      </w:r>
      <w:r w:rsidRPr="00D542A1">
        <w:rPr>
          <w:rFonts w:ascii="Times New Roman" w:hAnsi="Times New Roman" w:cs="Times New Roman"/>
          <w:sz w:val="24"/>
          <w:szCs w:val="24"/>
        </w:rPr>
        <w:t xml:space="preserve">social determinants of health (SDH). The World Health Organization (WHO) describes social determinants of health (SDH) as the </w:t>
      </w:r>
      <w:r w:rsidR="00AB7D16">
        <w:rPr>
          <w:rFonts w:ascii="Times New Roman" w:hAnsi="Times New Roman" w:cs="Times New Roman"/>
          <w:sz w:val="24"/>
          <w:szCs w:val="24"/>
        </w:rPr>
        <w:t>‘</w:t>
      </w:r>
      <w:r w:rsidRPr="00D542A1">
        <w:rPr>
          <w:rFonts w:ascii="Times New Roman" w:hAnsi="Times New Roman" w:cs="Times New Roman"/>
          <w:sz w:val="24"/>
          <w:szCs w:val="24"/>
        </w:rPr>
        <w:t>non-medical factors that influence health outcomes</w:t>
      </w:r>
      <w:r w:rsidR="00AB7D16">
        <w:rPr>
          <w:rFonts w:ascii="Times New Roman" w:hAnsi="Times New Roman" w:cs="Times New Roman"/>
          <w:sz w:val="24"/>
          <w:szCs w:val="24"/>
        </w:rPr>
        <w:t>’</w:t>
      </w:r>
      <w:r w:rsidRPr="00D542A1">
        <w:rPr>
          <w:rFonts w:ascii="Times New Roman" w:hAnsi="Times New Roman" w:cs="Times New Roman"/>
          <w:sz w:val="24"/>
          <w:szCs w:val="24"/>
        </w:rPr>
        <w:t xml:space="preserve"> which are part of daily living and health quality (WHO, 2020). SDH are seen to be more important than </w:t>
      </w:r>
      <w:r w:rsidRPr="00D542A1">
        <w:rPr>
          <w:rFonts w:ascii="Times New Roman" w:hAnsi="Times New Roman" w:cs="Times New Roman"/>
          <w:sz w:val="24"/>
          <w:szCs w:val="24"/>
        </w:rPr>
        <w:lastRenderedPageBreak/>
        <w:t xml:space="preserve">healthcare or life style in influencing health, as between 30-55% of health outcomes can be attributed to SDH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{"citationID":"eblIgZOk","properties":{"formattedCitation":"(WHO, 2020)","plainCitation":"(WHO, 2020)","noteIndex":0},"citationItems":[{"id":35,"uris":["http://zotero.org/users/5481489/items/QHKI3A2T"],"uri":["http://zotero.org/users/5481489/items/QHKI3A2T"],"itemData":{"id":35,"type":"webpage","abstract":"Social determinants of health","language":"en","title":"Social determinants of health","URL":"https://www.who.int/westernpacific/health-topics/social-determinants-of-health","author":[{"family":"WHO","given":""}],"accessed":{"date-parts":[["2020",12,14]]},"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(WHO,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According to the landmark 1974 report, “New Perspectives on the Health of Canadians”, also referred as the Lalonde Report, “was among the first studies to propose a comprehensive framework for understanding health determinants and to acknowledge the limited role of health care in improving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{"citationID":"kznQJY8g","properties":{"formattedCitation":"(CPHA, n.d.; Glouberman &amp; Millar, 2003)","plainCitation":"(CPHA, n.d.; Glouberman &amp; Millar, 2003)","noteIndex":0},"citationItems":[{"id":906,"uris":["http://zotero.org/users/5481489/items/FRCJBQUQ"],"uri":["http://zotero.org/users/5481489/items/FRCJBQUQ"],"itemData":{"id":906,"type":"webpage","title":"Canada's leadership in addressing the social determinants of health | Canadian Public Health Association","URL":"https://www.cpha.ca/canadas-leadership-addressing-social-determinants-health","author":[{"family":"CPHA","given":""}],"accessed":{"date-parts":[["2021",2,23]]}}},{"id":903,"uris":["http://zotero.org/users/5481489/items/T4AWG8ZX"],"uri":["http://zotero.org/users/5481489/items/T4AWG8ZX"],"itemData":{"id":903,"type":"article-journal","abstract":"The history of health determinants in Canada influenced both the direction of data gathering about population health and government policies designed to improve health. Two competing movements marked these changes., The idea of health promotion grew out of the 1974 Lalonde report, which recognized that determinants of health went beyond traditional public health and medical care, and argued for the importance of socioeconomic factors. Research on health inequalities was led by the Canadian Institute for Advanced Research in the 1980s, which produced evidence of health inequalities along socioeconomic lines and argued for policy efforts in early child development., Both movements have shaped current information gathering and the policies that have come to be labeled “population health.”","container-title":"American Journal of Public Health","ISSN":"0090-0036","issue":"3","journalAbbreviation":"Am J Public Health","note":"PMID: 12604478\nPMCID: PMC1447749","page":"388-392","source":"PubMed Central","title":"Evolution of the Determinants of Health, Health Policy, and Health Information Systems in Canada","volume":"93","author":[{"family":"Glouberman","given":"Sholom"},{"family":"Millar","given":"John"}],"issued":{"date-parts":[["2003"]]}}}],"schema":"https://github.com/citation-style-language/schema/raw/master/csl-citation.json"}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(CPHA, n.d.; Glouberman &amp; Millar, 2003)</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More recently,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{"citationID":"PG2XYmTW","properties":{"formattedCitation":"(S\\uc0\\u225{}nchez-L\\uc0\\u243{}pez &amp; Limi\\uc0\\u241{}ana-Gras, 2017)","plainCitation":"(Sánchez-López &amp; Limiñana-Gras, 2017)","dontUpdate":true,"noteIndex":0},"citationItems":[{"id":1055,"uris":["http://zotero.org/users/5481489/items/A7NQCDVR"],"uri":["http://zotero.org/users/5481489/items/A7NQCDVR"],"itemData":{"id":1055,"type":"chapter","container-title":"The Psychology of Gender and Health","ISBN":"978-0-12-803864-2","language":"en","note":"DOI: 10.1016/B978-0-12-803864-2.00001-8","page":"1-52","publisher":"Elsevier","source":"DOI.org (Crossref)","title":"Health From a Gender Perspective","URL":"https://linkinghub.elsevier.com/retrieve/pii/B9780128038642000018","author":[{"family":"Sánchez-López","given":"M.Pilar"},{"family":"Limiñana-Gras","given":"Rosa M."}],"accessed":{"date-parts":[["2021",3,14]]},"issued":{"date-parts":[["2017"]]}}}],"schema":"https://github.com/citation-style-language/schema/raw/master/csl-citation.json"}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Sánchez-López &amp; Limiñana-Gras,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described SDH as including:</w:t>
      </w:r>
    </w:p>
    <w:p w14:paraId="0BDCE567" w14:textId="77777777" w:rsidR="00D542A1" w:rsidRPr="00D542A1" w:rsidRDefault="00D542A1" w:rsidP="00BE37E2">
      <w:pPr>
        <w:spacing w:line="240"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 xml:space="preserve">all the social, economic, physical, and psychological factors liable to have some influence on health, and it must provide the necessary indicators to clarify, guide, implement, and evaluate health interventions. In general, it is usually accepted that these determinants comprise factors such as income and social status, social support perceived by people, the level of schooling, employment (or its lack) and conditions at work, the social and physical environment, health habits, the person’s development across the life cycle, their biological and genetic heritage (including their sex), the health-related services of their environment, culture (ethnic and cultural identity), life conditions, geographic location, age, sexual orientation, personal characteristics, and many other factors. Along with and interacting with them, gender is also a determinant of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{"citationID":"4wVgHeKC","properties":{"formattedCitation":"(2017, p. 2)","plainCitation":"(2017, p. 2)","noteIndex":0},"citationItems":[{"id":1055,"uris":["http://zotero.org/users/5481489/items/A7NQCDVR"],"uri":["http://zotero.org/users/5481489/items/A7NQCDVR"],"itemData":{"id":1055,"type":"chapter","container-title":"The Psychology of Gender and Health","ISBN":"978-0-12-803864-2","language":"en","note":"DOI: 10.1016/B978-0-12-803864-2.00001-8","page":"1-52","publisher":"Elsevier","source":"DOI.org (Crossref)","title":"Health From a Gender Perspective","URL":"https://linkinghub.elsevier.com/retrieve/pii/B9780128038642000018","author":[{"family":"Sánchez-López","given":"M.Pilar"},{"family":"Limiñana-Gras","given":"Rosa M."}],"accessed":{"date-parts":[["2021",3,14]]},"issued":{"date-parts":[["2017"]]}},"locator":"2","suppress-author":true}],"schema":"https://github.com/citation-style-language/schema/raw/master/csl-citation.json"}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(2017, p. 2)</w:t>
      </w:r>
      <w:r w:rsidRPr="00D542A1">
        <w:rPr>
          <w:rFonts w:ascii="Times New Roman" w:hAnsi="Times New Roman" w:cs="Times New Roman"/>
          <w:sz w:val="24"/>
          <w:szCs w:val="24"/>
        </w:rPr>
        <w:fldChar w:fldCharType="end"/>
      </w:r>
    </w:p>
    <w:p w14:paraId="34596487" w14:textId="77777777" w:rsidR="00D542A1" w:rsidRPr="00D542A1" w:rsidRDefault="00D542A1" w:rsidP="00BE37E2">
      <w:pPr>
        <w:spacing w:line="240" w:lineRule="auto"/>
        <w:ind w:left="567" w:right="1280"/>
        <w:jc w:val="both"/>
        <w:rPr>
          <w:rFonts w:ascii="Times New Roman" w:hAnsi="Times New Roman" w:cs="Times New Roman"/>
          <w:sz w:val="24"/>
          <w:szCs w:val="24"/>
        </w:rPr>
      </w:pPr>
    </w:p>
    <w:p w14:paraId="64726D27" w14:textId="79E63D26" w:rsidR="00D542A1" w:rsidRDefault="00D542A1" w:rsidP="00BE37E2">
      <w:pPr>
        <w:tabs>
          <w:tab w:val="center" w:pos="4680"/>
          <w:tab w:val="left" w:pos="8222"/>
        </w:tabs>
        <w:spacing w:line="480" w:lineRule="auto"/>
        <w:ind w:firstLine="720"/>
        <w:jc w:val="both"/>
        <w:rPr>
          <w:rFonts w:ascii="Times New Roman" w:hAnsi="Times New Roman" w:cs="Times New Roman"/>
          <w:sz w:val="24"/>
          <w:szCs w:val="24"/>
        </w:rPr>
      </w:pPr>
      <w:r w:rsidRPr="00D542A1">
        <w:rPr>
          <w:rFonts w:ascii="Times New Roman" w:hAnsi="Times New Roman" w:cs="Times New Roman"/>
          <w:sz w:val="24"/>
          <w:szCs w:val="24"/>
        </w:rPr>
        <w:t xml:space="preserve">Migration is thus considered a SDH in that there are  mental, physical, and psychological effects of moving, integrating and settling from one familiar location to an </w:t>
      </w:r>
      <w:r w:rsidRPr="00D542A1">
        <w:rPr>
          <w:rFonts w:ascii="Times New Roman" w:hAnsi="Times New Roman" w:cs="Times New Roman"/>
          <w:noProof/>
          <w:sz w:val="24"/>
          <w:szCs w:val="24"/>
          <w:lang w:val="en-US"/>
        </w:rPr>
        <mc:AlternateContent>
          <mc:Choice Requires="wpi">
            <w:drawing>
              <wp:anchor distT="0" distB="0" distL="114300" distR="114300" simplePos="0" relativeHeight="251659264" behindDoc="0" locked="0" layoutInCell="1" allowOverlap="1" wp14:anchorId="518FE812" wp14:editId="18C6D7FB">
                <wp:simplePos x="0" y="0"/>
                <wp:positionH relativeFrom="column">
                  <wp:posOffset>5685790</wp:posOffset>
                </wp:positionH>
                <wp:positionV relativeFrom="paragraph">
                  <wp:posOffset>9112250</wp:posOffset>
                </wp:positionV>
                <wp:extent cx="602615" cy="3302000"/>
                <wp:effectExtent l="38100" t="38100" r="0" b="38100"/>
                <wp:wrapNone/>
                <wp:docPr id="1809" name="Ink 1809"/>
                <wp:cNvGraphicFramePr/>
                <a:graphic xmlns:a="http://schemas.openxmlformats.org/drawingml/2006/main">
                  <a:graphicData uri="http://schemas.microsoft.com/office/word/2010/wordprocessingInk">
                    <w14:contentPart bwMode="auto" r:id="rId9">
                      <w14:nvContentPartPr>
                        <w14:cNvContentPartPr/>
                      </w14:nvContentPartPr>
                      <w14:xfrm>
                        <a:off x="0" y="0"/>
                        <a:ext cx="602615" cy="3302060"/>
                      </w14:xfrm>
                    </w14:contentPart>
                  </a:graphicData>
                </a:graphic>
              </wp:anchor>
            </w:drawing>
          </mc:Choice>
          <mc:Fallback xmlns:w16sdtdh="http://schemas.microsoft.com/office/word/2020/wordml/sdtdatahash">
            <w:pict>
              <v:shapetype w14:anchorId="0A4D58C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809" o:spid="_x0000_s1026" type="#_x0000_t75" style="position:absolute;margin-left:446.5pt;margin-top:716.3pt;width:49.85pt;height:262.4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">
                <v:imagedata r:id="rId14" o:title=""/>
              </v:shape>
            </w:pict>
          </mc:Fallback>
        </mc:AlternateContent>
      </w:r>
      <w:r w:rsidRPr="00D542A1">
        <w:rPr>
          <w:rFonts w:ascii="Times New Roman" w:hAnsi="Times New Roman" w:cs="Times New Roman"/>
          <w:sz w:val="24"/>
          <w:szCs w:val="24"/>
        </w:rPr>
        <w:t xml:space="preserve">unfamiliar one (Migration Data Portal, 2021).There are health effects associated with the migration process, like language barriers, an unfamiliar healthcare system, and socio-demographic factors that impact negatively on the smooth integration of migrants in the destination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{"citationID":"s7jetQTo","properties":{"formattedCitation":"(Ahmed et al., 2016; B. D. Gushulak et al., 2011; Kalich et al., 2016a; Warman et al., 2015)","plainCitation":"(Ahmed et al., 2016; B. D. Gushulak et al., 2011; Kalich et al., 2016a; Warman et al., 2015)","dontUpdate":true,"noteIndex":0},"citationItems":[{"id":890,"uris":["http://zotero.org/users/5481489/items/CPPTN4LB"],"uri":["http://zotero.org/users/5481489/items/CPPTN4LB"],"itemData":{"id":890,"type":"article-journal","abstract":"To summarize information obtained from original research about barriers to access of primary healthcare by Canadian immigrants’ and to identify research gaps. Electronic databases of primary research articles and grey literature were searched without restricting the time period. The preferred reporting items for systematic reviews and meta-analyses statement was followed for literature selection. Articles were selected based on three criteria: (a) the study population was Canadian legal immigrant(s), (b) the research was about the barriers to accessing primary healthcare in Canada, and (c) the article was written in English. Relevant information from the articles was extracted into tabular format and classified for thematic analysis. Identified barriers were grouped into five themes: cultural, communication, socio-economic status, healthcare system structure and immigrant knowledge. The barriers to accessing primary healthcare in each of these categories can provide insight and subsequent direction for changes needed to improve immigrant care and mitigate their deterioration in health status. The demographic and ethno-cultural distributions of the study populations across the provinces highlight the need to expand research to encompass more varied immigrant groups across more regions of Canada, including more research on male immigrants and immigrant seniors, and to increase research related to health care providers’ perspectives on the barriers.","container-title":"Journal of Immigrant and Minority Health","DOI":"10.1007/s10903-015-0276-z","ISSN":"1557-1920","issue":"6","journalAbbreviation":"J Immigrant Minority Health","language":"en","page":"1522-1540","source":"Springer Link","title":"Barriers to Access of Primary Healthcare by Immigrant Populations in Canada: A Literature Review","title-short":"Barriers to Access of Primary Healthcare by Immigrant Populations in Canada","volume":"18","author":[{"family":"Ahmed","given":"Salim"},{"family":"Shommu","given":"Nusrat S."},{"family":"Rumana","given":"Nahid"},{"family":"Barron","given":"Gary R. S."},{"family":"Wicklum","given":"Sonja"},{"family":"Turin","given":"Tanvir C."}],"issued":{"date-parts":[["2016",12,1]]}}},{"id":330,"uris":["http://zotero.org/users/5481489/items/J9PFT2R3"],"uri":["http://zotero.org/users/5481489/items/J9PFT2R3"],"itemData":{"id":330,"type":"article-journal","abstract":"Background: Immigration has been and remains an important force shaping Canadian demography and identity. Health characteristics associated with the movement of large numbers of people have current and future implications for migrants, health practitioners and health systems. We aimed to identify demographics and health status data for migrant populations in Canada.\nMethods: We systematically searched Ovid MEDLINE (1996–2009) and other relevant web-based databases to examine immigrant selection processes, demographic statistics, health status from population studies and health service implications associated with migration to Canada. Studies and data were selected based on relevance, use of recent data and quality.\nResults: Currently, immigration represents two-thirds of Canada’s population growth, and immigrants make up more than 20% of the nation’s population. Both of these metrics are expected to increase. In general, newly arriving immigrants are healthier than the Canadian population, but over time there is a decline in this healthy immigrant effect. Immigrants and children born to new immigrants represent growing cohorts; in some metropolitan regions of Canada, they represent the majority of the patient population. Access to health services and health conditions of some migrant populations differ from patterns among Canadian-born patients, and these disparities have implications for preventive care and provision of health services.\nInterpretation: Because the health characteristics of some migrant populations vary according to their origin and experience, improved understanding of the scope and nature of the immigration process will help practitioners who will be increasingly involved in the care of immigrant populations, including prevention, early detection of disease and treatment.","container-title":"CMAJ","DOI":"10.1503/cmaj.090287","ISSN":"0820-3946, 1488-2329","issue":"12","language":"en","note":"PMID: 20584934","page":"E952-E958","source":"www.cmaj.ca","title":"Migration and health in Canada: health in the global village","title-short":"Migration and health in Canada","volume":"183","author":[{"family":"Gushulak","given":"Brian D."},{"family":"Pottie","given":"Kevin"},{"family":"Roberts","given":"Janet Hatcher"},{"family":"Torres","given":"Sara"},{"family":"DesMeules","given":"Marie"}],"issued":{"date-parts":[["2011",9,6]]}}},{"id":887,"uris":["http://zotero.org/users/5481489/items/LZBJLHTH"],"uri":["http://zotero.org/users/5481489/items/LZBJLHTH"],"itemData":{"id":887,"type":"article-journal","abstract":"Canadian population-based surveys report comparable access to health care services between immigrant and non-immigrant populations, yet other research reports immigrant-speciﬁc access barriers. A scoping review was conducted to explore research regarding Canadian immigrants’ unique experiences in accessing health care, and was guided by the research question: ‘‘What is currently known about the barriers that adult immigrants face when accessing Canadian health care services?’’ The ﬁndings of this study suggest that there are unmet health care access needs speciﬁc to immigrants to Canada. In reviewing research of immigrants’ health care experiences, the most common access barriers were found to be language barriers, barriers to information, and cultural differences. These ﬁndings, in addition to low cultural competency reported by interviewed health care workers in the reviewed articles, indicate inequities in access to Canadian health care services for immigrant populations. Suggestions for future research and programming are discussed.","container-title":"Journal of Immigrant and Minority Health","DOI":"10.1007/s10903-015-0237-6","ISSN":"1557-1912, 1557-1920","issue":"3","journalAbbreviation":"J Immigrant Minority Health","language":"en","page":"697-709","source":"DOI.org (Crossref)","title":"A Scoping Review of Immigrant Experience of Health Care Access Barriers in Canada","volume":"18","author":[{"family":"Kalich","given":"Angela"},{"family":"Heinemann","given":"Lyn"},{"family":"Ghahari","given":"Setareh"}],"issued":{"date-parts":[["2016",6]]}}},{"id":282,"uris":["http://zotero.org/users/5481489/items/RLRPSZPB"],"uri":["http://zotero.org/users/5481489/items/RLRPSZPB"],"itemData":{"id":282,"type":"article-journal","abstract":"Given the declining returns to pre-migration labour market experience, human capital portability is explored for new immigrants focusing on pre- and post-immigration occupational matching, and its interactions with education and language. New immigrants who match occupations obtain an earnings premium, but surprisingly, on average, even they obtain no return to their pre-migration labour market experience. Only males with substantial English proficiency who also match occupations receive any return to such experience. Moreover, occupational matching and English skills are also seen to interact with education in an unexpected way. For both sexes, only those with a match and/or strong English proficiency obtain a positive return to their schooling. The commonly observed low rate of return to education for new immigrants appears to be a combination of zero for some and a large return for others. Of the varieties of human capital studied, only English language skills are universally rewarded.","container-title":"Canadian Public Policy","DOI":"10.3138/cpp.2013-055","ISSN":"0317-0861, 1911-9917","issue":"Supplement 1","journalAbbreviation":"Canadian Public Policy","language":"en","page":"S64-S79","source":"DOI.org (Crossref)","title":"The Portability of New Immigrants’ Human Capital: Language, Education, and Occupational Skills","title-short":"The Portability of New Immigrants’ Human Capital","volume":"41","author":[{"family":"Warman","given":"Casey"},{"family":"Sweetman","given":"Arthur"},{"family":"Goldmann","given":"Gustave"}],"issued":{"date-parts":[["2015",8]]}}}],"schema":"https://github.com/citation-style-language/schema/raw/master/csl-citation.json"}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(Ahmed et al., 2016; Gushulak et al., 2011; Kalich et al., 2016a; Warman et al., 2015)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and migrants’ lack of recognition of their rights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{"citationID":"4GMXV60B","properties":{"formattedCitation":"(Barnetson, 2013; McLaughlin, 2009)","plainCitation":"(Barnetson, 2013; McLaughlin, 2009)","noteIndex":0},"citationItems":[{"id":1241,"uris":["http://zotero.org/users/5481489/items/Z9VLS3LW"],"uri":["http://zotero.org/users/5481489/items/Z9VLS3LW"],"itemData":{"id":1241,"type":"webpage","abstract":"This fact sheet highlights the true rates of workplace injury in Alberta and demonstrates how unions protect workers both from unsafe workplaces and a government keen to downplay the risks.","container-title":"Parkland Institute","language":"en","title":"Making It Home: Alberta Workplace Injuries and the Union Safety Dividend","title-short":"Making It Home","URL":"https://www.parklandinstitute.ca/making_it_home","author":[{"family":"Barnetson","given":"Bob"}],"accessed":{"date-parts":[["2021",4,8]]},"issued":{"date-parts":[["2013"]]}}},{"id":1153,"uris":["http://zotero.org/users/5481489/items/EJ4W4ZEM"],"uri":["http://zotero.org/users/5481489/items/EJ4W4ZEM"],"itemData":{"id":1153,"type":"article-journal","language":"en","page":"676","source":"Zotero","title":"Trouble in our Fields: Health and Human Rights among Mexican and Caribbean Migrant Farm Workers in Canada","author":[{"family":"McLaughlin","given":"Janet"}],"issued":{"date-parts":[["2009"]]}}}],"schema":"https://github.com/citation-style-language/schema/raw/master/csl-citation.json"}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(Barnetson, 2013; McLaughlin, 2009)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All of these challenges tend to have a direct impact on the physical, mental, and psychological health of migrants. </w:t>
      </w:r>
    </w:p>
    <w:p w14:paraId="10C4C8BA" w14:textId="77777777" w:rsidR="00AB7D16" w:rsidRPr="00D542A1" w:rsidRDefault="00AB7D16" w:rsidP="00BE37E2">
      <w:pPr>
        <w:tabs>
          <w:tab w:val="center" w:pos="4680"/>
          <w:tab w:val="left" w:pos="8222"/>
        </w:tabs>
        <w:spacing w:line="480" w:lineRule="auto"/>
        <w:ind w:firstLine="720"/>
        <w:jc w:val="both"/>
        <w:rPr>
          <w:rFonts w:ascii="Times New Roman" w:hAnsi="Times New Roman" w:cs="Times New Roman"/>
          <w:sz w:val="24"/>
          <w:szCs w:val="24"/>
        </w:rPr>
      </w:pPr>
    </w:p>
    <w:p w14:paraId="14D25068"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27" w:name="_Toc72494760"/>
      <w:r w:rsidRPr="00D542A1">
        <w:rPr>
          <w:rFonts w:ascii="Times New Roman" w:eastAsiaTheme="majorEastAsia" w:hAnsi="Times New Roman" w:cs="Times New Roman"/>
          <w:color w:val="2F5496" w:themeColor="accent1" w:themeShade="BF"/>
          <w:sz w:val="24"/>
          <w:szCs w:val="24"/>
        </w:rPr>
        <w:lastRenderedPageBreak/>
        <w:t>Gender and Health</w:t>
      </w:r>
      <w:bookmarkEnd w:id="27"/>
    </w:p>
    <w:p w14:paraId="63635416" w14:textId="77777777" w:rsidR="00D542A1" w:rsidRPr="00D542A1" w:rsidRDefault="00D542A1" w:rsidP="00BE37E2">
      <w:pPr>
        <w:jc w:val="both"/>
        <w:rPr>
          <w:rFonts w:ascii="Times New Roman" w:hAnsi="Times New Roman" w:cs="Times New Roman"/>
          <w:sz w:val="24"/>
          <w:szCs w:val="24"/>
        </w:rPr>
      </w:pPr>
    </w:p>
    <w:p w14:paraId="749DB392" w14:textId="77777777" w:rsidR="00D542A1" w:rsidRPr="00D542A1" w:rsidRDefault="00D542A1" w:rsidP="00BE37E2">
      <w:pPr>
        <w:spacing w:line="480" w:lineRule="auto"/>
        <w:ind w:firstLine="720"/>
        <w:jc w:val="both"/>
        <w:rPr>
          <w:rFonts w:ascii="Times New Roman" w:hAnsi="Times New Roman" w:cs="Times New Roman"/>
          <w:sz w:val="24"/>
          <w:szCs w:val="24"/>
        </w:rPr>
      </w:pPr>
      <w:r w:rsidRPr="00D542A1">
        <w:rPr>
          <w:rFonts w:ascii="Times New Roman" w:hAnsi="Times New Roman" w:cs="Times New Roman"/>
          <w:sz w:val="24"/>
          <w:szCs w:val="24"/>
        </w:rPr>
        <w:t>A number of other social determinants of health intersect with migration, including gender, working and living conditions. The effect of migration on health has been found to be different for men and women. Empirical studies have shown that men live shorter but healthier lives compared to women who live longer lives but in poorer health (</w:t>
      </w:r>
      <w:proofErr w:type="spellStart"/>
      <w:r w:rsidRPr="00D542A1">
        <w:rPr>
          <w:rFonts w:ascii="Times New Roman" w:hAnsi="Times New Roman" w:cs="Times New Roman"/>
          <w:sz w:val="24"/>
          <w:szCs w:val="24"/>
        </w:rPr>
        <w:t>Avdic</w:t>
      </w:r>
      <w:proofErr w:type="spellEnd"/>
      <w:r w:rsidRPr="00D542A1">
        <w:rPr>
          <w:rFonts w:ascii="Times New Roman" w:hAnsi="Times New Roman" w:cs="Times New Roman"/>
          <w:sz w:val="24"/>
          <w:szCs w:val="24"/>
        </w:rPr>
        <w:t xml:space="preserve"> et al., 2019; </w:t>
      </w:r>
      <w:proofErr w:type="spellStart"/>
      <w:r w:rsidRPr="00D542A1">
        <w:rPr>
          <w:rFonts w:ascii="Times New Roman" w:hAnsi="Times New Roman" w:cs="Times New Roman"/>
          <w:sz w:val="24"/>
          <w:szCs w:val="24"/>
        </w:rPr>
        <w:t>Jin</w:t>
      </w:r>
      <w:proofErr w:type="spellEnd"/>
      <w:r w:rsidRPr="00D542A1">
        <w:rPr>
          <w:rFonts w:ascii="Times New Roman" w:hAnsi="Times New Roman" w:cs="Times New Roman"/>
          <w:sz w:val="24"/>
          <w:szCs w:val="24"/>
        </w:rPr>
        <w:t xml:space="preserve"> et al., 2020; John McLean Media, 2014; Levant et al., 2009; Rosella et al., 2016; Salomon et al., 2012). This idea, dubbed the “morbidity-mortality or the gender paradox” (</w:t>
      </w:r>
      <w:proofErr w:type="spellStart"/>
      <w:r w:rsidRPr="00D542A1">
        <w:rPr>
          <w:rFonts w:ascii="Times New Roman" w:hAnsi="Times New Roman" w:cs="Times New Roman"/>
          <w:sz w:val="24"/>
          <w:szCs w:val="24"/>
        </w:rPr>
        <w:t>Avdic</w:t>
      </w:r>
      <w:proofErr w:type="spellEnd"/>
      <w:r w:rsidRPr="00D542A1">
        <w:rPr>
          <w:rFonts w:ascii="Times New Roman" w:hAnsi="Times New Roman" w:cs="Times New Roman"/>
          <w:sz w:val="24"/>
          <w:szCs w:val="24"/>
        </w:rPr>
        <w:t xml:space="preserve"> et al., 2019:1) has empirically shown to hold true across all ages and in nearly all parts of the globe.</w:t>
      </w:r>
    </w:p>
    <w:p w14:paraId="60FED13D"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Different theories have been offered to explain this phenomenon, ranging from biological gender differences, differential healthcare usage, and other social, environmental and behavioural differences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{"citationID":"o1kViPa0","properties":{"formattedCitation":"(Rosella et al., 2016)","plainCitation":"(Rosella et al., 2016)","noteIndex":0},"citationItems":[{"id":977,"uris":["http://zotero.org/users/5481489/items/PJ8AQSGF"],"uri":["http://zotero.org/users/5481489/items/PJ8AQSGF"],"itemData":{"id":977,"type":"article-journal","abstract":"Background Historically, women have lower all-cause mortality than men. It is less understood that sex differences have been converging, particularly among certain subgroups and causes. This has implications for public health and health system planning. Our objective was to analyse contemporary sex differences over a 20-year period.\nMethods We analysed data from a population-based death registry, the Ontario Registrar's General Death file, which includes all deaths recorded in Canada's most populous province, from 1992 to 2012 (N=1 710 080 deaths). We calculated absolute and relative mortality sex differences for all-cause and cause-specific mortality, age-adjusted and age-specific, including the following causes: circulatory, cancers, respiratory and injuries. We used negative-binomial regression of mortality on socioeconomic status with direct age adjustment for the overall population.\nResults In the 20-year period, age-adjusted mortality dropped 39.2% and 29.8%, respectively, among men and women. The age-adjusted male-to-female mortality ratio dropped 41.4%, falling from 1.47 to 1.28. From 2000 onwards, all-cause mortality rates of high-income men were lower than those seen among low-income women. Relative mortality declines were greater among men than women for cancer, respiratory and injury-related deaths. The absolute decline in circulatory deaths was greater among men, although relative deciles were similar to women. The largest absolute mortality gains were seen among men over the age of 85 years.\nConclusions The large decline in mortality sex ratios in a Canadian province with universal healthcare over two decades signals an important population shift. These narrowing trends varied according to cause of death and age. In addition, persistent social inequalities in mortality exist and differentially affect men and women. The observed change in sex ratios has implications for healthcare and social systems.","container-title":"BMJ Open","DOI":"10.1136/bmjopen-2016-012564","ISSN":"2044-6055, 2044-6055","issue":"11","language":"en","note":"publisher: British Medical Journal Publishing Group\nsection: Epidemiology\nPMID: 28186936","page":"e012564","source":"bmjopen.bmj.com","title":"Narrowing mortality gap between men and women over two decades: a registry-based study in Ontario, Canada","title-short":"Narrowing mortality gap between men and women over two decades","volume":"6","author":[{"family":"Rosella","given":"Laura C."},{"family":"Calzavara","given":"Andrew"},{"family":"Frank","given":"John W."},{"family":"Fitzpatrick","given":"Tiffany"},{"family":"Donnelly","given":"Peter D."},{"family":"Henry","given":"David"}],"issued":{"date-parts":[["2016",11,1]]}}}],"schema":"https://github.com/citation-style-language/schema/raw/master/csl-citation.json"}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(Rosella et al.,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the documentary on </w:t>
      </w:r>
      <w:r w:rsidRPr="00D542A1">
        <w:rPr>
          <w:rFonts w:ascii="Times New Roman" w:hAnsi="Times New Roman" w:cs="Times New Roman"/>
          <w:i/>
          <w:iCs/>
          <w:sz w:val="24"/>
          <w:szCs w:val="24"/>
        </w:rPr>
        <w:t>Men’s Health: Why Men Die Younger—Second Opinion: Taking Charge of Your Health Care</w:t>
      </w:r>
      <w:r w:rsidRPr="00D542A1">
        <w:rPr>
          <w:rFonts w:ascii="Times New Roman" w:hAnsi="Times New Roman" w:cs="Times New Roman"/>
          <w:sz w:val="24"/>
          <w:szCs w:val="24"/>
        </w:rPr>
        <w:t xml:space="preserve"> (John McLean Media, 2014), Dr. Peter </w:t>
      </w:r>
      <w:proofErr w:type="spellStart"/>
      <w:r w:rsidRPr="00D542A1">
        <w:rPr>
          <w:rFonts w:ascii="Times New Roman" w:hAnsi="Times New Roman" w:cs="Times New Roman"/>
          <w:sz w:val="24"/>
          <w:szCs w:val="24"/>
        </w:rPr>
        <w:t>Salgo</w:t>
      </w:r>
      <w:proofErr w:type="spellEnd"/>
      <w:r w:rsidRPr="00D542A1">
        <w:rPr>
          <w:rFonts w:ascii="Times New Roman" w:hAnsi="Times New Roman" w:cs="Times New Roman"/>
          <w:sz w:val="24"/>
          <w:szCs w:val="24"/>
        </w:rPr>
        <w:t xml:space="preserve"> led a panel of healthcare experts to explore why men die young. They noted that although genes may play a role to the high mortality in men, lifestyle, environment, and social factors contribute to the high mortality. Additionally, they noted that men have a higher tendency than women to assume risky roles/activities, particularly in activities linked with masculinity as a means to prove their manhood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{"citationID":"M5TF7IB8","properties":{"formattedCitation":"(C. Harris et al., 2006)","plainCitation":"(C. Harris et al., 2006)","dontUpdate":true,"noteIndex":0},"citationItems":[{"id":1259,"uris":["http://zotero.org/users/5481489/items/BSURE66J"],"uri":["http://zotero.org/users/5481489/items/BSURE66J"],"itemData":{"id":1259,"type":"webpage","title":"Gender Differences in Risk Assessment: Why do Women Take Fewer Risks than Men?","URL":"http://journal.sjdm.org/06016/jdm06016.htm","author":[{"family":"Harris","given":"Christine"},{"family":"Jenkins","given":"Michael"},{"family":"Diego","given":"San"},{"family":"Glaser","given":"Dale"}],"accessed":{"date-parts":[["2021",4,12]]},"issued":{"date-parts":[["2006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(Harris et al., 2006)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2AADEBE6" w14:textId="15C662F5" w:rsidR="00D542A1" w:rsidRPr="00D542A1" w:rsidRDefault="00550DE9" w:rsidP="00BE37E2">
      <w:pPr>
        <w:spacing w:line="480" w:lineRule="auto"/>
        <w:ind w:firstLine="720"/>
        <w:jc w:val="both"/>
        <w:rPr>
          <w:rFonts w:ascii="Times New Roman" w:hAnsi="Times New Roman" w:cs="Times New Roman"/>
          <w:sz w:val="24"/>
          <w:szCs w:val="24"/>
        </w:rPr>
      </w:pPr>
      <w:r w:rsidRPr="00D542A1">
        <w:rPr>
          <w:rFonts w:ascii="Times New Roman" w:hAnsi="Times New Roman" w:cs="Times New Roman"/>
          <w:sz w:val="24"/>
          <w:szCs w:val="24"/>
        </w:rPr>
        <w:t>However,</w:t>
      </w:r>
      <w:r w:rsidR="00D542A1" w:rsidRPr="00D542A1">
        <w:rPr>
          <w:rFonts w:ascii="Times New Roman" w:hAnsi="Times New Roman" w:cs="Times New Roman"/>
          <w:sz w:val="24"/>
          <w:szCs w:val="24"/>
        </w:rPr>
        <w:t xml:space="preserve"> health research exploring health inequities has focused largely on women, this is due in part because of the assumption that women tend to be among the more vulnerable in terms of socio-economic status than men. It has been documented that migrant women experience vulnerability in relation to integration in their host country, gender inequalities in the labour market, discrimination, stereotyping and categorization as caregivers </w:t>
      </w:r>
      <w:r w:rsidR="00D542A1" w:rsidRPr="00D542A1">
        <w:rPr>
          <w:rFonts w:ascii="Times New Roman" w:hAnsi="Times New Roman" w:cs="Times New Roman"/>
          <w:sz w:val="24"/>
          <w:szCs w:val="24"/>
        </w:rPr>
        <w:fldChar w:fldCharType="begin"/>
      </w:r>
      <w:r w:rsidR="00D542A1" w:rsidRPr="00D542A1">
        <w:rPr>
          <w:rFonts w:ascii="Times New Roman" w:hAnsi="Times New Roman" w:cs="Times New Roman"/>
          <w:sz w:val="24"/>
          <w:szCs w:val="24"/>
        </w:rPr>
        <w:instrText xml:space="preserve"> ADDIN ZOTERO_ITEM CSL_CITATION {"citationID":"2RxWmMAf","properties":{"formattedCitation":"(Brabete, 2017b)","plainCitation":"(Brabete, 2017b)","noteIndex":0},"citationItems":[{"id":1052,"uris":["http://zotero.org/users/5481489/items/PQ6UJG3E"],"uri":["http://zotero.org/users/5481489/items/PQ6UJG3E"],"itemData":{"id":1052,"type":"chapter","container-title":"The Psychology of Gender and Health","ISBN":"978-0-12-803864-2","language":"en","note":"DOI: 10.1016/B978-0-12-803864-2.00008-0","page":"231-250","publisher":"Elsevier","source":"DOI.org (Crossref)","title":"Examining Migrants’ Health From a Gender Perspective","URL":"https://linkinghub.elsevier.com/retrieve/pii/B9780128038642000080","author":[{"family":"Brabete","given":"Andreea C."}],"accessed":{"date-parts":[["2021",3,14]]},"issued":{"date-parts":[["2017"]]}}}],"schema":"https://github.com/citation-style-language/schema/raw/master/csl-citation.json"} </w:instrText>
      </w:r>
      <w:r w:rsidR="00D542A1" w:rsidRPr="00D542A1">
        <w:rPr>
          <w:rFonts w:ascii="Times New Roman" w:hAnsi="Times New Roman" w:cs="Times New Roman"/>
          <w:sz w:val="24"/>
          <w:szCs w:val="24"/>
        </w:rPr>
        <w:fldChar w:fldCharType="separate"/>
      </w:r>
      <w:r w:rsidR="00D542A1" w:rsidRPr="00D542A1">
        <w:rPr>
          <w:rFonts w:ascii="Times New Roman" w:hAnsi="Times New Roman" w:cs="Times New Roman"/>
          <w:sz w:val="24"/>
          <w:szCs w:val="24"/>
        </w:rPr>
        <w:t>(Brabete, 2017b)</w:t>
      </w:r>
      <w:r w:rsidR="00D542A1" w:rsidRPr="00D542A1">
        <w:rPr>
          <w:rFonts w:ascii="Times New Roman" w:hAnsi="Times New Roman" w:cs="Times New Roman"/>
          <w:sz w:val="24"/>
          <w:szCs w:val="24"/>
        </w:rPr>
        <w:fldChar w:fldCharType="end"/>
      </w:r>
      <w:r w:rsidR="00D542A1" w:rsidRPr="00D542A1">
        <w:rPr>
          <w:rFonts w:ascii="Times New Roman" w:hAnsi="Times New Roman" w:cs="Times New Roman"/>
          <w:sz w:val="24"/>
          <w:szCs w:val="24"/>
        </w:rPr>
        <w:t xml:space="preserve">. </w:t>
      </w:r>
      <w:proofErr w:type="spellStart"/>
      <w:r w:rsidR="00D542A1" w:rsidRPr="00D542A1">
        <w:rPr>
          <w:rFonts w:ascii="Times New Roman" w:hAnsi="Times New Roman" w:cs="Times New Roman"/>
          <w:sz w:val="24"/>
          <w:szCs w:val="24"/>
        </w:rPr>
        <w:t>Mousaid</w:t>
      </w:r>
      <w:proofErr w:type="spellEnd"/>
      <w:r w:rsidR="00D542A1" w:rsidRPr="00D542A1">
        <w:rPr>
          <w:rFonts w:ascii="Times New Roman" w:hAnsi="Times New Roman" w:cs="Times New Roman"/>
          <w:sz w:val="24"/>
          <w:szCs w:val="24"/>
        </w:rPr>
        <w:t xml:space="preserve"> et al., (2016) further highlight that migrant women contend with discrimination based on gender </w:t>
      </w:r>
      <w:r w:rsidR="00D542A1" w:rsidRPr="00D542A1">
        <w:rPr>
          <w:rFonts w:ascii="Times New Roman" w:hAnsi="Times New Roman" w:cs="Times New Roman"/>
          <w:sz w:val="24"/>
          <w:szCs w:val="24"/>
        </w:rPr>
        <w:lastRenderedPageBreak/>
        <w:t xml:space="preserve">which dictates where they can work. Their finding shows that “female immigrants employed in high-income host countries often face a double battle: on the one hand, problems related to their integration in the host country and, on the other hand, overcoming gender inequalities in the labour market” </w:t>
      </w:r>
      <w:r w:rsidR="00D542A1" w:rsidRPr="00D542A1">
        <w:rPr>
          <w:rFonts w:ascii="Times New Roman" w:hAnsi="Times New Roman" w:cs="Times New Roman"/>
          <w:sz w:val="24"/>
          <w:szCs w:val="24"/>
        </w:rPr>
        <w:fldChar w:fldCharType="begin"/>
      </w:r>
      <w:r w:rsidR="00D542A1" w:rsidRPr="00D542A1">
        <w:rPr>
          <w:rFonts w:ascii="Times New Roman" w:hAnsi="Times New Roman" w:cs="Times New Roman"/>
          <w:sz w:val="24"/>
          <w:szCs w:val="24"/>
        </w:rPr>
        <w:instrText xml:space="preserve"> ADDIN ZOTERO_ITEM CSL_CITATION {"citationID":"llaT0vtQ","properties":{"formattedCitation":"(2016, p. 252)","plainCitation":"(2016, p. 252)","noteIndex":0},"citationItems":[{"id":110,"uris":["http://zotero.org/users/5481489/items/ABR8U5UC"],"uri":["http://zotero.org/users/5481489/items/ABR8U5UC"],"itemData":{"id":110,"type":"article-journal","abstract":"Objectives. Few studies investigating health inequalities pay attention to the intersection between several social determinants of health. The purpose of this article is to examine the relation between perceptions of work-related health and safety risk (WHSR) and (1) immigrant background and (2) gender in the EU15. The effects are controlled for educational attainment, the quality of work (QOW) and occupation. Design. Pooled data from the European Social Survey 2004 and 2010 are used in this study. The sample is restricted to respondents of working age (16–65 years) (N = 17,468). The immigrants are divided into two groups according to their country of origin: (semi-)periphery and core countries. Both groups of immigrants are compared to natives. Additionally, the research population is stratiﬁed by gender. Descriptive statistics and logistic regression analyses are used.\nResults. Core immigrants (both men and women) do not differ from natives in terms of QOW. (Semi-)periphery immigrants (both men and women) are employed in jobs with lower QOW. While no differences in WHSR are found among men, female immigrants (both (semi-)periphery and core) have signiﬁcantly more WHSR compared to native women. Although WHSR is generally lower in women, (semi-)periphery women have a similar prevalence of WHSR as men.\nConclusion. (Semi-)periphery immigrants are employed in lower quality jobs, while core immigrants do not differ from natives in that regard. Female immigrant workers – especially those from (semi-)periphery countries – have higher WHSR compared to native women. Our ﬁndings highlight the importance of an intersectional approach in the study of work-related health inequalities.","container-title":"Ethnicity &amp; Health","DOI":"10.1080/13557858.2015.1061103","ISSN":"1355-7858, 1465-3419","issue":"3","journalAbbreviation":"Ethnicity &amp; Health","language":"en","page":"251-267","source":"DOI.org (Crossref)","title":"New perspectives on occupational health and safety in immigrant populations: studying the intersection between immigrant background and gender","title-short":"New perspectives on occupational health and safety in immigrant populations","volume":"21","author":[{"family":"Mousaid","given":"Sarah"},{"family":"De Moortel","given":"Deborah"},{"family":"Malmusi","given":"Davide"},{"family":"Vanroelen","given":"Christophe"}],"issued":{"date-parts":[["2016"]]}},"locator":"252","suppress-author":true}],"schema":"https://github.com/citation-style-language/schema/raw/master/csl-citation.json"} </w:instrText>
      </w:r>
      <w:r w:rsidR="00D542A1" w:rsidRPr="00D542A1">
        <w:rPr>
          <w:rFonts w:ascii="Times New Roman" w:hAnsi="Times New Roman" w:cs="Times New Roman"/>
          <w:sz w:val="24"/>
          <w:szCs w:val="24"/>
        </w:rPr>
        <w:fldChar w:fldCharType="separate"/>
      </w:r>
      <w:r w:rsidR="00D542A1" w:rsidRPr="00D542A1">
        <w:rPr>
          <w:rFonts w:ascii="Times New Roman" w:hAnsi="Times New Roman" w:cs="Times New Roman"/>
          <w:sz w:val="24"/>
          <w:szCs w:val="24"/>
        </w:rPr>
        <w:t>(2016, p. 252)</w:t>
      </w:r>
      <w:r w:rsidR="00D542A1" w:rsidRPr="00D542A1">
        <w:rPr>
          <w:rFonts w:ascii="Times New Roman" w:hAnsi="Times New Roman" w:cs="Times New Roman"/>
          <w:sz w:val="24"/>
          <w:szCs w:val="24"/>
        </w:rPr>
        <w:fldChar w:fldCharType="end"/>
      </w:r>
      <w:r w:rsidR="00D542A1" w:rsidRPr="00D542A1">
        <w:rPr>
          <w:rFonts w:ascii="Times New Roman" w:hAnsi="Times New Roman" w:cs="Times New Roman"/>
          <w:sz w:val="24"/>
          <w:szCs w:val="24"/>
        </w:rPr>
        <w:t>. The disparities in employment income may also reflect constant changes in the labour market and in dominant industries and occupations which are often gendered. For example, high proportions of immigrants, especially women, hold jobs in sales and services which are low-paying and may be characterized by pay inequality based on immigration status (</w:t>
      </w:r>
      <w:proofErr w:type="spellStart"/>
      <w:r w:rsidR="00D542A1" w:rsidRPr="00D542A1">
        <w:rPr>
          <w:rFonts w:ascii="Times New Roman" w:hAnsi="Times New Roman" w:cs="Times New Roman"/>
          <w:sz w:val="24"/>
          <w:szCs w:val="24"/>
        </w:rPr>
        <w:t>Badets</w:t>
      </w:r>
      <w:proofErr w:type="spellEnd"/>
      <w:r w:rsidR="00D542A1" w:rsidRPr="00D542A1">
        <w:rPr>
          <w:rFonts w:ascii="Times New Roman" w:hAnsi="Times New Roman" w:cs="Times New Roman"/>
          <w:sz w:val="24"/>
          <w:szCs w:val="24"/>
        </w:rPr>
        <w:t xml:space="preserve"> and </w:t>
      </w:r>
      <w:proofErr w:type="spellStart"/>
      <w:r w:rsidR="00D542A1" w:rsidRPr="00D542A1">
        <w:rPr>
          <w:rFonts w:ascii="Times New Roman" w:hAnsi="Times New Roman" w:cs="Times New Roman"/>
          <w:sz w:val="24"/>
          <w:szCs w:val="24"/>
        </w:rPr>
        <w:t>Howatson</w:t>
      </w:r>
      <w:proofErr w:type="spellEnd"/>
      <w:r w:rsidR="00D542A1" w:rsidRPr="00D542A1">
        <w:rPr>
          <w:rFonts w:ascii="Times New Roman" w:hAnsi="Times New Roman" w:cs="Times New Roman"/>
          <w:sz w:val="24"/>
          <w:szCs w:val="24"/>
        </w:rPr>
        <w:t xml:space="preserve">-Leo 1999; Reitz 2001a). </w:t>
      </w:r>
    </w:p>
    <w:p w14:paraId="6D3FAF1E" w14:textId="2B78EDFF"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Migrant men, however, are also vulnerable and subject to abuse and discrimination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{"citationID":"vvc2csvy","properties":{"formattedCitation":"(J. Hennebry, 2010)","plainCitation":"(J. Hennebry, 2010)","dontUpdate":true,"noteIndex":0},"citationItems":[{"id":743,"uris":["http://zotero.org/users/5481489/items/KM5JV5U2"],"uri":["http://zotero.org/users/5481489/items/KM5JV5U2"],"itemData":{"id":743,"type":"article-journal","abstract":"Canadian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particular, male migrants who work on farms and in meatpacking plants face some of the most serious health dangers and worst working conditions of anyone in Canada both of which have lasting or permanent impacts on their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{"citationID":"PNwsyvuN","properties":{"formattedCitation":"(Brabete, 2017b; K. Harris, 2020a)","plainCitation":"(Brabete, 2017b; K. Harris, 2020a)","noteIndex":0},"citationItems":[{"id":1052,"uris":["http://zotero.org/users/5481489/items/PQ6UJG3E"],"uri":["http://zotero.org/users/5481489/items/PQ6UJG3E"],"itemData":{"id":1052,"type":"chapter","container-title":"The Psychology of Gender and Health","ISBN":"978-0-12-803864-2","language":"en","note":"DOI: 10.1016/B978-0-12-803864-2.00008-0","page":"231-250","publisher":"Elsevier","source":"DOI.org (Crossref)","title":"Examining Migrants’ Health From a Gender Perspective","URL":"https://linkinghub.elsevier.com/retrieve/pii/B9780128038642000080","author":[{"family":"Brabete","given":"Andreea C."}],"accessed":{"date-parts":[["2021",3,14]]},"issued":{"date-parts":[["2017"]]}}},{"id":956,"uris":["http://zotero.org/users/5481489/items/3DZ54PT2"],"uri":["http://zotero.org/users/5481489/items/3DZ54PT2"],"itemData":{"id":956,"type":"webpage","abstract":"Migrant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(Brabete, 2017b; K. Harris,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Migrant men in the agricultural sector contend with long working hours in hazardous environments, with no paid vacation and inadequate resting periods,</w:t>
      </w:r>
      <w:r w:rsidR="00AB7D16">
        <w:rPr>
          <w:rFonts w:ascii="Times New Roman" w:hAnsi="Times New Roman" w:cs="Times New Roman"/>
          <w:sz w:val="24"/>
          <w:szCs w:val="24"/>
        </w:rPr>
        <w:t xml:space="preserve"> </w:t>
      </w:r>
      <w:r w:rsidRPr="00D542A1">
        <w:rPr>
          <w:rFonts w:ascii="Times New Roman" w:hAnsi="Times New Roman" w:cs="Times New Roman"/>
          <w:sz w:val="24"/>
          <w:szCs w:val="24"/>
        </w:rPr>
        <w:t xml:space="preserve">and most workers work 10 hours or more a day, six days a week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{"citationID":"ggC8ON9e","properties":{"formattedCitation":"(Pysklywec et al., 2011)","plainCitation":"(Pysklywec et al., 2011)","noteIndex":0},"citationItems":[{"id":983,"uris":["http://zotero.org/users/5481489/items/YNB7XYFQ"],"uri":["http://zotero.org/users/5481489/items/YNB7XYFQ"],"itemData":{"id":983,"type":"article-journal","abstract":"See related analysis article by Preibisch and Hennebry on page [1033][1] and at [www.cmaj.ca/cgi/doi/10.1503/cmaj.090736][2].\n\nJosé, a migrant farm worker from Mexico, presents with a one-month history of low back pain. Through broken English and Spanish, he tells you that he has been in Canada for","container-title":"CMAJ","DOI":"10.1503/cmaj.091404","ISSN":"0820-3946, 1488-2329","issue":"9","language":"en","note":"publisher: CMAJ\nsection: Practice\nPMID: 21502349","page":"1039-1042","source":"www.cmaj.ca","title":"Doctors within borders: meeting the health care needs of migrant farm workers in Canada","title-short":"Doctors within borders","volume":"183","author":[{"family":"Pysklywec","given":"Michael"},{"family":"McLaughlin","given":"Janet"},{"family":"Tew","given":"Michelle"},{"family":"Haines","given":"Ted"}],"issued":{"date-parts":[["2011",6,14]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(Pysklywec et al., 2011)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roofErr w:type="spellStart"/>
      <w:r w:rsidRPr="00D542A1">
        <w:rPr>
          <w:rFonts w:ascii="Times New Roman" w:hAnsi="Times New Roman" w:cs="Times New Roman"/>
          <w:sz w:val="24"/>
          <w:szCs w:val="24"/>
        </w:rPr>
        <w:t>Hennebry</w:t>
      </w:r>
      <w:proofErr w:type="spellEnd"/>
      <w:r w:rsidRPr="00D542A1">
        <w:rPr>
          <w:rFonts w:ascii="Times New Roman" w:hAnsi="Times New Roman" w:cs="Times New Roman"/>
          <w:sz w:val="24"/>
          <w:szCs w:val="24"/>
        </w:rPr>
        <w:t xml:space="preserve"> et al (2010) found that migrant men face “heightened health risks, and suffer from high rates of musculoskeletal disorders, pesticide and fertilizer-related conditions (e.g. chronic respiratory symptoms or skin health), injuries, and communicable diseases</w:t>
      </w:r>
      <w:bookmarkStart w:id="28" w:name="_Hlk70985890"/>
      <w:r w:rsidRPr="00D542A1">
        <w:rPr>
          <w:rFonts w:ascii="Times New Roman" w:hAnsi="Times New Roman" w:cs="Times New Roman"/>
          <w:sz w:val="24"/>
          <w:szCs w:val="24"/>
        </w:rPr>
        <w:t xml:space="preserv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{"citationID":"hVhcZ112","properties":{"formattedCitation":"(B. Cameron et al., 2020; L. Cameron et al., 2006; Hennebry, 2010, p. 74; Pysklywec et al., 2011)","plainCitation":"(B. Cameron et al., 2020; L. Cameron et al., 2006; Hennebry, 2010, p. 74; Pysklywec et al., 2011)","dontUpdate":true,"noteIndex":0},"citationItems":[{"id":921,"uris":["http://zotero.org/users/5481489/items/4IHAV52D"],"uri":["http://zotero.org/users/5481489/items/4IHAV52D"],"itemData":{"id":921,"type":"article-journal","language":"en","page":"80","source":"Zotero","title":"Gender Inclusion in Agriculture, Aquaculture, and Fisheries in Prince Edward Island, Canada: Results from a Survey","author":[{"family":"Cameron","given":"Bobby"},{"family":"Kaatz","given":"Victoria"},{"family":"Morrison","given":"Chelsea"}],"issued":{"date-parts":[["2020"]]}}},{"id":981,"uris":["http://zotero.org/users/5481489/items/9TKBYSAK"],"uri":["http://zotero.org/users/5481489/items/9TKBYSAK"],"itemData":{"id":981,"type":"article-journal","abstract":"Little is known about the magnitude of occupational health problems among migrant farm workers. A community-based cross-sectional survey was conducted in two migrant farm worker communities: Homestead, Florida, and Kankakee, Illinois. Camp Health Aides (CHAs) interviewed 425 workers about job tasks, personal protective equipment (PPE), field sanitation, work exposures, and selected health conditions. Limited provision of personal protective equipment was reported among those reporting early re-entry tasks: 35% in Kankakee and 42% in Homestead were provided gloves, and 22% in Homestead and 0% in Kankakee were provided protective clothing. About two-thirds were provided toilet facilities and water for hand-washing. Workers reported high prevalences of health conditions consistent with exposure to ergonomic hazards and pesticides. The prevalence of back pain in the past 12 months was 39% in Homestead and 24% in Kankakee. Among Homestead participants, 35% experienced eye symptoms, while 31% reported skin symptoms. These symptoms were less prevalent among Kankakee participants (16% for both eye and skin symptoms). Specific areas of concern included back pain associated with heavy lifting and ladder work; eye and skin irritation associated with fertilizer application tasks and with working in fields during or after spraying of chemicals, especially early re-entry of sprayed fields; and skin irritation associated with a lack of access to hand-washing facilities. In both Kankakee and Homestead, better adherence to safety standards is needed, as well as greater efforts to implement solutions that are available to help prevent work-related musculoskeletal problems.","container-title":"Journal of Agricultural Safety and Health","DOI":"10.13031/2013.20389","ISSN":"1074-7583","issue":"2","journalAbbreviation":"J Agric Saf Health","language":"eng","note":"PMID: 16724790","page":"139-153","source":"PubMed","title":"Occupational health survey of farm workers by camp health aides","volume":"12","author":[{"family":"Cameron","given":"Lorraine"},{"family":"Lalich","given":"Nina"},{"family":"Bauer","given":"S."},{"family":"Booker","given":"V."},{"family":"Bogue","given":"H. O."},{"family":"Samuels","given":"S."},{"family":"Steege","given":"A. L."}],"issued":{"date-parts":[["2006"]]}}},{"id":743,"uris":["http://zotero.org/users/5481489/items/KM5JV5U2"],"uri":["http://zotero.org/users/5481489/items/KM5JV5U2"],"itemData":{"id":743,"type":"article-journal","abstract":"Canadian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w:instrText>
      </w:r>
      <w:r w:rsidRPr="00E67C9A">
        <w:rPr>
          <w:rFonts w:ascii="Times New Roman" w:hAnsi="Times New Roman" w:cs="Times New Roman"/>
          <w:sz w:val="24"/>
          <w:szCs w:val="24"/>
          <w:lang w:val="fr-FR"/>
        </w:rPr>
        <w:instrText xml:space="preserve">Montreal, Canada\npublisher: Association of Canadian Studies","page":"73-77","source":"ProQuest","title":"Not Just a Few Bad Apples: Vulnerability, Health and Temporary Migration in Canada","title-short":"Not Just a Few Bad Apples","author":[{"family":"Hennebry","given":"Jenna"}],"issued":{"date-parts":[["2010"]],"season":"Spring"}},"locator":"74"},{"id":983,"uris":["http://zotero.org/users/5481489/items/YNB7XYFQ"],"uri":["http://zotero.org/users/5481489/items/YNB7XYFQ"],"itemData":{"id":983,"type":"article-journal","abstract":"See related analysis article by Preibisch and Hennebry on page [1033][1] and at [www.cmaj.ca/cgi/doi/10.1503/cmaj.090736][2].\n\nJosé, a migrant farm worker from Mexico, presents with a one-month history of low back pain. Through broken English and Spanish, he tells you that he has been in Canada for","container-title":"CMAJ","DOI":"10.1503/cmaj.091404","ISSN":"0820-3946, 1488-2329","issue":"9","language":"en","note":"publisher: CMAJ\nsection: Practice\nPMID: 21502349","page":"1039-1042","source":"www.cmaj.ca","title":"Doctors within borders: meeting the health care needs of migrant farm workers in Canada","title-short":"Doctors within borders","volume":"183","author":[{"family":"Pysklywec","given":"Michael"},{"family":"McLaughlin","given":"Janet"},{"family":"Tew","given":"Michelle"},{"family":"Haines","given":"Ted"}],"issued":{"date-parts":[["2011",6,14]]}}}],"schema":"https://github.com/citation-style-language/schema/raw/master/csl-citation.json"} </w:instrText>
      </w:r>
      <w:r w:rsidRPr="00D542A1">
        <w:rPr>
          <w:rFonts w:ascii="Times New Roman" w:hAnsi="Times New Roman" w:cs="Times New Roman"/>
          <w:sz w:val="24"/>
          <w:szCs w:val="24"/>
        </w:rPr>
        <w:fldChar w:fldCharType="separate"/>
      </w:r>
      <w:r w:rsidRPr="00E67C9A">
        <w:rPr>
          <w:rFonts w:ascii="Times New Roman" w:hAnsi="Times New Roman" w:cs="Times New Roman"/>
          <w:sz w:val="24"/>
          <w:szCs w:val="24"/>
          <w:lang w:val="fr-FR"/>
        </w:rPr>
        <w:t xml:space="preserve"> </w:t>
      </w:r>
      <w:r w:rsidRPr="00D542A1">
        <w:rPr>
          <w:rFonts w:ascii="Times New Roman" w:hAnsi="Times New Roman" w:cs="Times New Roman"/>
          <w:sz w:val="24"/>
          <w:szCs w:val="24"/>
          <w:lang w:val="fr-FR"/>
        </w:rPr>
        <w:t>(Cameron et al., 2020; L. Cameron et al., 2006; Hennebry, 2010, p. 74; Pysklywec et al., 2011)</w:t>
      </w:r>
      <w:r w:rsidRPr="00D542A1">
        <w:rPr>
          <w:rFonts w:ascii="Times New Roman" w:hAnsi="Times New Roman" w:cs="Times New Roman"/>
          <w:sz w:val="24"/>
          <w:szCs w:val="24"/>
        </w:rPr>
        <w:fldChar w:fldCharType="end"/>
      </w:r>
      <w:bookmarkEnd w:id="28"/>
      <w:r w:rsidRPr="00D542A1">
        <w:rPr>
          <w:rFonts w:ascii="Times New Roman" w:hAnsi="Times New Roman" w:cs="Times New Roman"/>
          <w:sz w:val="24"/>
          <w:szCs w:val="24"/>
          <w:lang w:val="fr-FR"/>
        </w:rPr>
        <w:t xml:space="preserve">. </w:t>
      </w:r>
      <w:r w:rsidRPr="00D542A1">
        <w:rPr>
          <w:rFonts w:ascii="Times New Roman" w:hAnsi="Times New Roman" w:cs="Times New Roman"/>
          <w:sz w:val="24"/>
          <w:szCs w:val="24"/>
        </w:rPr>
        <w:t>These hazardous and accident-prone environments also contribute to</w:t>
      </w:r>
      <w:r w:rsidR="00AB7D16">
        <w:rPr>
          <w:rFonts w:ascii="Times New Roman" w:hAnsi="Times New Roman" w:cs="Times New Roman"/>
          <w:sz w:val="24"/>
          <w:szCs w:val="24"/>
        </w:rPr>
        <w:t xml:space="preserve"> </w:t>
      </w:r>
      <w:r w:rsidRPr="00D542A1">
        <w:rPr>
          <w:rFonts w:ascii="Times New Roman" w:hAnsi="Times New Roman" w:cs="Times New Roman"/>
          <w:sz w:val="24"/>
          <w:szCs w:val="24"/>
        </w:rPr>
        <w:t xml:space="preserve">the lower life expectancy of migrant men compared to migrant women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{"citationID":"jpVOQJSG","properties":{"formattedCitation":"(Harrell, 1986)","plainCitation":"(Harrell, 1986)","noteIndex":0},"citationItems":[{"id":1062,"uris":["http://zotero.org/users/5481489/items/UTYSUEBY"],"uri":["http://zotero.org/users/5481489/items/UTYSUEBY"],"itemData":{"id":1062,"type":"article-journal","abstract":"Abstract Survey data collected from 450 male farmers in Canada revealed that three variables — conservative farming, willingness to risk life and limb to make a profit, and safe equipment operation — directly predicted the rate of serious farming-related accidents. Three dimensions of masculinity — suppression of emotions, “men in charge,” and recklessness — had strong indirect effects. Masculine recklessness tended to increase profit-oriented personal risk taking and to decrease the safe operation of farm equipment. Suppression of emotions also increased risk taking.","container-title":"Sex Roles","DOI":"10.1007/BF00288224","ISSN":"0360-0025","issue":"9-10","journalAbbreviation":"Sex Roles","note":"publisher: Kluwer Academic Publishers-Plenum Publishers","page":"467-478","source":"Scholars Portal Journals","title":"Masculinity and farming-related accidents","volume":"15","author":[{"family":"Harrell","given":"W."}],"issued":{"date-parts":[["1986"]]}}}],"schema":"https://github.com/citation-style-language/schema/raw/master/csl-citation.json"}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(Harrell, 1986)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3F2E0690" w14:textId="47BA7673"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Although both male and female migrants experience poor working conditions, there are important and meaningful gendered differences in these conditions.</w:t>
      </w:r>
      <w:r w:rsidRPr="00D542A1">
        <w:t xml:space="preserve"> </w:t>
      </w:r>
      <w:r w:rsidRPr="00D542A1">
        <w:rPr>
          <w:rFonts w:ascii="Times New Roman" w:hAnsi="Times New Roman" w:cs="Times New Roman"/>
          <w:sz w:val="24"/>
          <w:szCs w:val="24"/>
        </w:rPr>
        <w:t xml:space="preserve">This is largely because men </w:t>
      </w:r>
      <w:r w:rsidRPr="00D542A1">
        <w:rPr>
          <w:rFonts w:ascii="Times New Roman" w:hAnsi="Times New Roman" w:cs="Times New Roman"/>
          <w:sz w:val="24"/>
          <w:szCs w:val="24"/>
        </w:rPr>
        <w:lastRenderedPageBreak/>
        <w:t xml:space="preserve">and women occupy different positions in a very gendered division of labour – which is even more gendered in the case of migrant work – women occupying largely poorly recognized care work positions and migrant men those jobs that are quite physically demanding.  Hence, because of their particular vulnerabilities, female migrants have been the focus of several studies relating to migrant labour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{"citationID":"QQPd4oMs","properties":{"formattedCitation":"(Kalich et al., 2016b)","plainCitation":"(Kalich et al., 2016b)","noteIndex":0},"citationItems":[{"id":910,"uris":["http://zotero.org/users/5481489/items/JUEC8XFR"],"uri":["http://zotero.org/users/5481489/items/JUEC8XFR"],"itemData":{"id":910,"type":"article-journal","abstract":"Canadian population-based surveys report comparable access to health care services between immigrant and non-immigrant populations, yet other research reports immigrant-speciﬁc access barriers. A scoping review was conducted to explore research regarding Canadian immigrants’ unique experiences in accessing health care, and was guided by the research question: ‘‘What is currently known about the barriers that adult immigrants face when accessing Canadian health care services?’’ The ﬁndings of this study suggest that there are unmet health care access needs speciﬁc to immigrants to Canada. In reviewing research of immigrants’ health care experiences, the most common access barriers were found to be language barriers, barriers to information, and cultural differences. These ﬁndings, in addition to low cultural competency reported by interviewed health care workers in the reviewed articles, indicate inequities in access to Canadian health care services for immigrant populations. Suggestions for future research and programming are discussed.","container-title":"Journal of Immigrant and Minority Health","DOI":"10.1007/s10903-015-0237-6","ISSN":"1557-1912, 1557-1920","issue":"3","journalAbbreviation":"J Immigrant Minority Health","language":"en","page":"697-709","source":"DOI.org (Crossref)","title":"A Scoping Review of Immigrant Experience of Health Care Access Barriers in Canada","volume":"18","author":[{"family":"Kalich","given":"Angela"},{"family":"Heinemann","given":"Lyn"},{"family":"Ghahari","given":"Setareh"}],"issued":{"date-parts":[["2016",6]]}}}],"schema":"https://github.com/citation-style-language/schema/raw/master/csl-citation.json"}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(Kalich et al., 2016b)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More research attention is needed to better understand the unique experiences and vulnerabilities of male migrant workers in Canada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{"citationID":"XQIvYO5O","properties":{"formattedCitation":"(Dixon-Perera, 2020; Kalich et al., 2016b; Yeoh &amp; Ramdas, 2014)","plainCitation":"(Dixon-Perera, 2020; Kalich et al., 2016b; Yeoh &amp; Ramdas, 2014)","noteIndex":0},"citationItems":[{"id":1255,"uris":["http://zotero.org/users/5481489/items/LXEE6C2M"],"uri":["http://zotero.org/users/5481489/items/LXEE6C2M"],"itemData":{"id":1255,"type":"article-journal","language":"en","page":"79","source":"Zotero","title":"Regulatory Approaches to International Labour Recruitment in Canada","author":[{"family":"Dixon-Perera","given":"Leanne"}],"issued":{"date-parts":[["2020"]]}}},{"id":910,"uris":["http://zotero.org/users/5481489/items/JUEC8XFR"],"uri":["http://zotero.org/users/5481489/items/JUEC8XFR"],"itemData":{"id":910,"type":"article-journal","abstract":"Canadian population-based surveys report comparable access to health care services between immigrant and non-immigrant populations, yet other research reports immigrant-speciﬁc access barriers. A scoping review was conducted to explore research regarding Canadian immigrants’ unique experiences in accessing health care, and was guided by the research question: ‘‘What is currently known about the barriers that adult immigrants face when accessing Canadian health care services?’’ The ﬁndings of this study suggest that there are unmet health care access needs speciﬁc to immigrants to Canada. In reviewing research of immigrants’ health care experiences, the most common access barriers were found to be language barriers, barriers to information, and cultural differences. These ﬁndings, in addition to low cultural competency reported by interviewed health care workers in the reviewed articles, indicate inequities in access to Canadian health care services for immigrant populations. Suggestions for future research and programming are discussed.","container-title":"Journal of Immigrant and Minority Health","DOI":"10.1007/s10903-015-0237-6","ISSN":"1557-1912, 1557-1920","issue":"3","journalAbbreviation":"J Immigrant Minority Health","language":"en","page":"697-709","source":"DOI.org (Crossref)","title":"A Scoping Review of Immigrant Experience of Health Care Access Barriers in Canada","volume":"18","author":[{"family":"Kalich","given":"Angela"},{"family":"Heinemann","given":"Lyn"},{"family":"Ghahari","given":"Setareh"}],"issued":{"date-parts":[["2016",6]]}}},{"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(Dixon-Perera, 2020; Kalich et al., 2016b; 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Whereas female migrants tend to be employed in care-giving work, male migrants are likely to perform physically laborious and high risky jobs in the meatpacking and farm sectors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{"citationID":"9unLY383","properties":{"formattedCitation":"(Harrell, 1986; K. Harris, 2020a)","plainCitation":"(Harrell, 1986; K. Harris, 2020a)","dontUpdate":true,"noteIndex":0},"citationItems":[{"id":1062,"uris":["http://zotero.org/users/5481489/items/UTYSUEBY"],"uri":["http://zotero.org/users/5481489/items/UTYSUEBY"],"itemData":{"id":1062,"type":"article-journal","abstract":"Abstract Survey data collected from 450 male farmers in Canada revealed that three variables — conservative farming, willingness to risk life and limb to make a profit, and safe equipment operation — directly predicted the rate of serious farming-related accidents. Three dimensions of masculinity — suppression of emotions, “men in charge,” and recklessness — had strong indirect effects. Masculine recklessness tended to increase profit-oriented personal risk taking and to decrease the safe operation of farm equipment. Suppression of emotions also increased risk taking.","container-title":"Sex Roles","DOI":"10.1007/BF00288224","ISSN":"0360-0025","issue":"9-10","journalAbbreviation":"Sex Roles","note":"publisher: Kluwer Academic Publishers-Plenum Publishers","page":"467-478","source":"Scholars Portal Journals","title":"Masculinity and farming-related accidents","volume":"15","author":[{"family":"Harrell","given":"W."}],"issued":{"date-parts":[["1986"]]}}},{"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(Harrell, 1986; Harris,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Thus, this paper will interrogate the characteristics based on dominant normative male gender construct and analyse gender experience in the context of racialized male migrant workers in Canada to show how male construct translate differently in the experience of different social contexts. I will highlight the probable social and environmental factors that may decrease life expectancy or impact the high rate of mortality in migrant labourer men.</w:t>
      </w:r>
    </w:p>
    <w:p w14:paraId="63BE951B"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29" w:name="_Hlk69256924"/>
      <w:bookmarkStart w:id="30" w:name="_Toc72494761"/>
      <w:r w:rsidRPr="00D542A1">
        <w:rPr>
          <w:rFonts w:ascii="Times New Roman" w:eastAsiaTheme="majorEastAsia" w:hAnsi="Times New Roman" w:cs="Times New Roman"/>
          <w:color w:val="2F5496" w:themeColor="accent1" w:themeShade="BF"/>
          <w:sz w:val="24"/>
          <w:szCs w:val="24"/>
        </w:rPr>
        <w:t>Work and Health</w:t>
      </w:r>
      <w:bookmarkEnd w:id="29"/>
      <w:bookmarkEnd w:id="30"/>
    </w:p>
    <w:p w14:paraId="216B2200"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p>
    <w:p w14:paraId="260410C6"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Studies show that jobs filled by migrant workers in the agricultural sectors have been described as hazardous with high risk to health, and no paid vacation or, benefits.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{"citationID":"56DLUCAN","properties":{"formattedCitation":"(Benach et al., 2011; B. Cameron et al., 2020; Donaldson &amp; Howson, 2009; Orrenius &amp; Zavodny, 2009; Yeoh &amp; Ramdas, 2014)","plainCitation":"(Benach et al., 2011; B. Cameron et al., 2020; Donaldson &amp; Howson, 2009; Orrenius &amp; Zavodny, 2009; Yeoh &amp; Ramdas, 2014)","dontUpdate":true,"noteIndex":0},"citationItems":[{"id":915,"uris":["http://zotero.org/users/5481489/items/P2XZCGDU"],"uri":["http://zotero.org/users/5481489/items/P2XZCGDU"],"itemData":{"id":915,"type":"article-journal","abstract":"In the fourth article in a six-part PLoS Medicine series on Migration &amp; Health, Joan Benach and colleagues discuss the specific health risks and policy needs associated with migration in destination countries, especially for low-skilled and illegal migrant workers.","container-title":"PLOS Medicine","DOI":"10.1371/journal.pmed.1001043","ISSN":"1549-1676","issue":"6","journalAbbreviation":"PLOS Medicine","language":"en","note":"publisher: Public Library of Science","page":"e1001043","source":"PLoS Journals","title":"Migration and \"Low-Skilled\" Workers in Destination Countries","volume":"8","author":[{"family":"Benach","given":"Joan"},{"family":"Muntaner","given":"Carles"},{"family":"Delclos","given":"Carlos"},{"family":"Menéndez","given":"María"},{"family":"Ronquillo","given":"Charlene"}],"issued":{"date-parts":[["2011"]]}}},{"id":921,"uris":["http://zotero.org/users/5481489/items/4IHAV52D"],"uri":["http://zotero.org/users/5481489/items/4IHAV52D"],"itemData":{"id":921,"type":"article-journal","language":"en","page":"80","source":"Zotero","title":"Gender Inclusion in Agriculture, Aquaculture, and Fisheries in Prince Edward Island, Canada: Results from a Survey","author":[{"family":"Cameron","given":"Bobby"},{"family":"Kaatz","given":"Victoria"},{"family":"Morrison","given":"Chelsea"}],"issued":{"date-parts":[["2020"]]}}},{"id":74,"uris":["http://zotero.org/users/5481489/items/B2234ZQS"],"uri":["http://zotero.org/users/5481489/items/B2234ZQS"],"itemData":{"id":74,"type":"article-journal","language":"en","page":"9","source":"Zotero","title":"Men, migration and hegemonic masculinity","author":[{"family":"Donaldson","given":"Mike"},{"family":"Howson","given":"R"}],"issued":{"date-parts":[["2009"]]}}},{"id":99,"uris":["http://zotero.org/users/5481489/items/L2WCF3HV"],"uri":["http://zotero.org/users/5481489/items/L2WCF3HV"],"itemData":{"id":99,"type":"article-journal","abstract":"Recent media and government reports suggest that immigrants are more likely to hold jobs with poor working conditions than U.S.-born workers, perhaps because immigrants work in jobs that \" natives don't want.\" Despite this widespread view, earlier studies have not found immigrants to be in riskier jobs than natives. This study combines individual-level data from the 2003-2005 American Community Survey with Bureau of Labor Statistics data on work-related injuries and fatalities to take a fresh look at whether foreign-born workers are employed in more dangerous jobs. The results indicate that immigrants are in fact more likely to work in risky jobs than U.S.-born workers, partly due to differences in average characteristics, such as immigrants' lower English-language ability and educational attainment. [PUBLICATION ABSTRACT]","container-title":"Demography (pre-2011); Silver Spring","ISSN":"00703370","issue":"3","language":"English","note":"number-of-pages: 17\npublisher-place: Silver Spring, United States, Silver Spring\npublisher: Population Association of America","page":"535-51","source":"ProQuest","title":"Do Immigrants Work in Riskier Jobs?*","title-short":"Do Immigrants Work in Riskier Jobs?","volume":"46","author":[{"family":"Orrenius","given":"Pia M."},{"family":"Zavodny","given":"Madeline"}],"issued":{"date-parts":[["2009",8]]}}},{"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(Benach et al., 2011; Cameron et al., 2020; Donaldson &amp; Howson, 2009; Orrenius &amp; Zavodny, 2009; 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Yeoh &amp; Ramdas (2014) classified these jobs as “3D” jobs referring to dirty, demeaning, and dangerous work. Yet, they account for the type of labour performed by most migrant workers in the agricultural, food processing, construction, and caregiving sectors of the Canadian economy. </w:t>
      </w:r>
    </w:p>
    <w:p w14:paraId="05044D4E" w14:textId="3BC60E71"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lastRenderedPageBreak/>
        <w:t xml:space="preserve">Migrants from non-western, low-income countries are more likely to </w:t>
      </w:r>
      <w:r w:rsidR="00550DE9" w:rsidRPr="00D542A1">
        <w:rPr>
          <w:rFonts w:ascii="Times New Roman" w:hAnsi="Times New Roman" w:cs="Times New Roman"/>
          <w:sz w:val="24"/>
          <w:szCs w:val="24"/>
        </w:rPr>
        <w:t>be in</w:t>
      </w:r>
      <w:r w:rsidRPr="00D542A1">
        <w:rPr>
          <w:rFonts w:ascii="Times New Roman" w:hAnsi="Times New Roman" w:cs="Times New Roman"/>
          <w:sz w:val="24"/>
          <w:szCs w:val="24"/>
        </w:rPr>
        <w:t xml:space="preserve"> 3D job placements. A study conducted by </w:t>
      </w:r>
      <w:proofErr w:type="spellStart"/>
      <w:r w:rsidRPr="00D542A1">
        <w:rPr>
          <w:rFonts w:ascii="Times New Roman" w:hAnsi="Times New Roman" w:cs="Times New Roman"/>
          <w:sz w:val="24"/>
          <w:szCs w:val="24"/>
        </w:rPr>
        <w:t>Ambrosini</w:t>
      </w:r>
      <w:proofErr w:type="spellEnd"/>
      <w:r w:rsidRPr="00D542A1">
        <w:rPr>
          <w:rFonts w:ascii="Times New Roman" w:hAnsi="Times New Roman" w:cs="Times New Roman"/>
          <w:sz w:val="24"/>
          <w:szCs w:val="24"/>
        </w:rPr>
        <w:t xml:space="preserve"> &amp; Barone (2007) shows that “immigrants, particularly those with a non-western background, are more likely to be “exposed to dangerous work and to physical risk factors”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{"citationID":"eTg8KfxR","properties":{"formattedCitation":"(2007, p. 1)","plainCitation":"(2007, p. 1)","noteIndex":0},"citationItems":[{"id":934,"uris":["http://zotero.org/users/5481489/items/NJ63LGAI"],"uri":["http://zotero.org/users/5481489/items/NJ63LGAI"],"itemData":{"id":934,"type":"webpage","abstract":"This report presents an overview of the employment and working conditions of migrant workers in the European Union. In most countries, migrant workers have higher unemployment rates and, when in employment, tend to be segregated in unskilled occupations and exposed to higher risks of over-qualification. Moreover, they experience considerable job insecurity, and the sectors and","container-title":"Eurofound","language":"en","title":"Employment and working conditions of migrant workers","URL":"https://www.eurofound.europa.eu/publications/report/2007/employment-and-working-conditions-of-migrant-workers","author":[{"family":"Ambrosini","given":"Maurizio"},{"family":"Barone","given":"Carlo"}],"accessed":{"date-parts":[["2021",2,28]]},"issued":{"date-parts":[["2007"]]}},"locator":"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(2007,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Recent studies also show that the non- western migrants are more often employed in unstable jobs with low wages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{"citationID":"zSMxfyxu","properties":{"formattedCitation":"(International Labour Organisation, 2010)","plainCitation":"(International Labour Organisation, 2010)","noteIndex":0},"citationItems":[{"id":939,"uris":["http://zotero.org/users/5481489/items/NBU9PJDY"],"uri":["http://zotero.org/users/5481489/items/NBU9PJDY"],"itemData":{"id":939,"type":"book","call-number":"HD6300 .I4565 2010","event-place":"Geneva","ISBN":"978-92-2-119120-9","language":"en","number-of-pages":"303","publisher":"International Labour Office","publisher-place":"Geneva","source":"Library of Congress ISBN","title":"International labour migration: a rights-based approach","title-short":"International labour migration","editor":[{"family":"International Labour Organisation","given":""}],"issued":{"date-parts":[["2010"]]}}}],"schema":"https://github.com/citation-style-language/schema/raw/master/csl-citation.json"}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(International Labour Organisation, 2010)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fewer training opportunities, a lack of health and safety protections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{"citationID":"EUJRVEDt","properties":{"formattedCitation":"(Mousaid et al., 2016; Pocock et al., 2016; Preibisch &amp; Hennebry, 2011)","plainCitation":"(Mousaid et al., 2016; Pocock et al., 2016; Preibisch &amp; Hennebry, 2011)","noteIndex":0},"citationItems":[{"id":110,"uris":["http://zotero.org/users/5481489/items/ABR8U5UC"],"uri":["http://zotero.org/users/5481489/items/ABR8U5UC"],"itemData":{"id":110,"type":"article-journal","abstract":"Objectives. Few studies investigating health inequalities pay attention to the intersection between several social determinants of health. The purpose of this article is to examine the relation between perceptions of work-related health and safety risk (WHSR) and (1) immigrant background and (2) gender in the EU15. The effects are controlled for educational attainment, the quality of work (QOW) and occupation. Design. Pooled data from the European Social Survey 2004 and 2010 are used in this study. The sample is restricted to respondents of working age (16–65 years) (N = 17,468). The immigrants are divided into two groups according to their country of origin: (semi-)periphery and core countries. Both groups of immigrants are compared to natives. Additionally, the research population is stratiﬁed by gender. Descriptive statistics and logistic regression analyses are used.\nResults. Core immigrants (both men and women) do not differ from natives in terms of QOW. (Semi-)periphery immigrants (both men and women) are employed in jobs with lower QOW. While no differences in WHSR are found among men, female immigrants (both (semi-)periphery and core) have signiﬁcantly more WHSR compared to native women. Although WHSR is generally lower in women, (semi-)periphery women have a similar prevalence of WHSR as men.\nConclusion. (Semi-)periphery immigrants are employed in lower quality jobs, while core immigrants do not differ from natives in that regard. Female immigrant workers – especially those from (semi-)periphery countries – have higher WHSR compared to native women. Our ﬁndings highlight the importance of an intersectional approach in the study of work-related health inequalities.","container-title":"Ethnicity &amp; Health","DOI":"10.1080/13557858.2015.1061103","ISSN":"1355-7858, 1465-3419","issue":"3","journalAbbreviation":"Ethnicity &amp; Health","language":"en","page":"251-267","source":"DOI.org (Crossref)","title":"New perspectives on occupational health and safety in immigrant populations: studying the intersection between immigrant background and gender","title-short":"New perspectives on occupational health and safety in immigrant populations","volume":"21","author":[{"family":"Mousaid","given":"Sarah"},{"family":"De Moortel","given":"Deborah"},{"family":"Malmusi","given":"Davide"},{"family":"Vanroelen","given":"Christophe"}],"issued":{"date-parts":[["2016"]]}}},{"id":100,"uris":["http://zotero.org/users/5481489/items/HJTP3ZCF"],"uri":["http://zotero.org/users/5481489/items/HJTP3ZCF"],"itemData":{"id":100,"type":"article-journal","abstract":"Background\nMen comprise nearly two-thirds of trafficked and forced labourers in common low-skilled labour sectors including fishing, agriculture and factory work. Yet, most evidence on human trafficking has focused on women and girls trafficked for sex work, with scant research on trafficked men and boys.\nMethods\nWe analyse survey data from the largest systematic consecutive sample of trafficked people collected to date to describe the prevalence of violence, occupational health risks and injuries and associated factors. Participants were labour-trafficked men and boys using post-trafficking support services in Thailand, Cambodia and Vietnam.\nFindings\nData are presented on 446 males aged 10–58. Men and boys were mainly trafficked for fishing (61.7%), manufacturing (19.1%) and begging (5.2%). Fishermen worked extensive hours (mean 18.8 hours/day, SD 5.9) and factory workers worked on average 11.9 hours/day (SD 2.9). 35.5% of male survivors had been injured while trafficked; 29.4% received no personal protective equipment (e.g. gloves). The most commonly reported injuries among all males were deep cuts (61.8%) and skin injuries (36.7%), injuries for which fewer than one-quarter reported receiving medical care. Six fishermen lost body parts, none of whom received medical care. Most males (80.5%) had no or very few rest breaks. One-third (37.8%) experienced severe violence. Work-related injuries were associated with severe violence (AOR 3.44, CI:1.63–7.26), being in the fishing sector, (AOR 4.12, CI:2.39–7.09) and threats (AOR 2.77, CI:1.62–4.75). Experiencing any violence was associated with threats (AOR 26.86, CI:14.0–51.23), being in the fishing sector (AOR 18.53, CI:8.74–39.28) and fluency in language of destination country (AOR 0.39, CI:0.20–0.75).\nConclusion\nThis study highlights the abuse and extreme occupational hazards suffered by trafficked men and boys. Occupational health and safety interventions are urgently needed to protect male migrant labourers working in high-risk sectors, particularly fishing.","container-title":"PLoS One; San Francisco","DOI":"http://dx.doi.org.proxy.bib.uottawa.ca/10.1371/journal.pone.0168500","issue":"12","language":"English","note":"number-of-pages: e0168500\npublisher-place: San Francisco, United States, San Francisco\npublisher: Public Library of Science\nsection: Research Article","page":"e0168500","source":"ProQuest","title":"Labour Trafficking among Men and Boys in the Greater Mekong Subregion: Exploitation, Violence, Occupational Health Risks and Injuries","title-short":"Labour Trafficking among Men and Boys in the Greater Mekong Subregion","volume":"11","author":[{"family":"Pocock","given":"Nicola S."},{"family":"Kiss","given":"Ligia"},{"family":"Oram","given":"Sian"},{"family":"Zimmerman","given":"Cathy"}],"issued":{"date-parts":[["2016",12]]}}},{"id":943,"uris":["http://zotero.org/users/5481489/items/MVUJII3F"],"uri":["http://zotero.org/users/5481489/items/MVUJII3F"],"itemData":{"id":943,"type":"article-journal","container-title":"Canadian Medical Association Journal","DOI":"10.1503/cmaj.090736","ISSN":"0820-3946, 1488-2329","issue":"9","journalAbbreviation":"Canadian Medical Association Journal","language":"en","page":"1033-1038","source":"DOI.org (Crossref)","title":"Temporary migration, chronic effects: the health of international migrant workers in Canada","title-short":"Temporary migration, chronic effects","volume":"183","author":[{"family":"Preibisch","given":"K."},{"family":"Hennebry","given":"J."}],"issued":{"date-parts":[["2011",6,14]]}}}],"schema":"https://github.com/citation-style-language/schema/raw/master/csl-citation.json"}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(Mousaid et al., 2016; Pocock et al., 2016; Preibisch &amp; Hennebry, 2011)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and physically demanding working conditions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{"citationID":"v81dyzUh","properties":{"formattedCitation":"(Ambrosini &amp; Barone, 2007; International Labour Organisation, 2010)","plainCitation":"(Ambrosini &amp; Barone, 2007; International Labour Organisation, 2010)","noteIndex":0},"citationItems":[{"id":934,"uris":["http://zotero.org/users/5481489/items/NJ63LGAI"],"uri":["http://zotero.org/users/5481489/items/NJ63LGAI"],"itemData":{"id":934,"type":"webpage","abstract":"This report presents an overview of the employment and working conditions of migrant workers in the European Union. In most countries, migrant workers have higher unemployment rates and, when in employment, tend to be segregated in unskilled occupations and exposed to higher risks of over-qualification. Moreover, they experience considerable job insecurity, and the sectors and","container-title":"Eurofound","language":"en","title":"Employment and working conditions of migrant workers","URL":"https://www.eurofound.europa.eu/publications/report/2007/employment-and-working-conditions-of-migrant-workers","author":[{"family":"Ambrosini","given":"Maurizio"},{"family":"Barone","given":"Carlo"}],"accessed":{"date-parts":[["2021",2,28]]},"issued":{"date-parts":[["2007"]]}}},{"id":939,"uris":["http://zotero.org/users/5481489/items/NBU9PJDY"],"uri":["http://zotero.org/users/5481489/items/NBU9PJDY"],"itemData":{"id":939,"type":"book","call-number":"HD6300 .I4565 2010","event-place":"Geneva","ISBN":"978-92-2-119120-9","language":"en","number-of-pages":"303","publisher":"International Labour Office","publisher-place":"Geneva","source":"Library of Congress ISBN","title":"International labour migration: a rights-based approach","title-short":"International labour migration","editor":[{"family":"International Labour Organisation","given":""}],"issued":{"date-parts":[["2010"]]}}}],"schema":"https://github.com/citation-style-language/schema/raw/master/csl-citation.json"}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(Ambrosini &amp; Barone, 2007; International Labour Organisation, 2010)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Migrant workers are also exposed to toxic working environments that cause immediate work-related health and safety risks </w:t>
      </w:r>
      <w:r w:rsidR="00550DE9" w:rsidRPr="00D542A1">
        <w:rPr>
          <w:rFonts w:ascii="Times New Roman" w:hAnsi="Times New Roman" w:cs="Times New Roman"/>
          <w:sz w:val="24"/>
          <w:szCs w:val="24"/>
        </w:rPr>
        <w:t>and</w:t>
      </w:r>
      <w:r w:rsidRPr="00D542A1">
        <w:rPr>
          <w:rFonts w:ascii="Times New Roman" w:hAnsi="Times New Roman" w:cs="Times New Roman"/>
          <w:sz w:val="24"/>
          <w:szCs w:val="24"/>
        </w:rPr>
        <w:t xml:space="preserve"> increase their vulnerability to long-term health problems. Essentially, the industries identified to have such high-risk profile are where immigrants are primarily employed in the destination countries. </w:t>
      </w:r>
      <w:proofErr w:type="spellStart"/>
      <w:r w:rsidRPr="00D542A1">
        <w:rPr>
          <w:rFonts w:ascii="Times New Roman" w:hAnsi="Times New Roman" w:cs="Times New Roman"/>
          <w:sz w:val="24"/>
          <w:szCs w:val="24"/>
        </w:rPr>
        <w:t>Orreniou</w:t>
      </w:r>
      <w:proofErr w:type="spellEnd"/>
      <w:r w:rsidRPr="00D542A1">
        <w:rPr>
          <w:rFonts w:ascii="Times New Roman" w:hAnsi="Times New Roman" w:cs="Times New Roman"/>
          <w:sz w:val="24"/>
          <w:szCs w:val="24"/>
        </w:rPr>
        <w:t xml:space="preserve"> &amp; </w:t>
      </w:r>
      <w:proofErr w:type="spellStart"/>
      <w:r w:rsidRPr="00D542A1">
        <w:rPr>
          <w:rFonts w:ascii="Times New Roman" w:hAnsi="Times New Roman" w:cs="Times New Roman"/>
          <w:sz w:val="24"/>
          <w:szCs w:val="24"/>
        </w:rPr>
        <w:t>Zavodny</w:t>
      </w:r>
      <w:proofErr w:type="spellEnd"/>
      <w:r w:rsidRPr="00D542A1">
        <w:rPr>
          <w:rFonts w:ascii="Times New Roman" w:hAnsi="Times New Roman" w:cs="Times New Roman"/>
          <w:sz w:val="24"/>
          <w:szCs w:val="24"/>
        </w:rPr>
        <w:t xml:space="preserve"> (2009) listed some of these high risk occupation by stating, “occupations with the highest fatality rates include farmers and ranchers, fishers and hunters, loggers, and mining machine operators”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{"citationID":"OMFfmC6a","properties":{"formattedCitation":"(Harrell, 1986; Orrenius &amp; Zavodny, 2009, p. 539)","plainCitation":"(Harrell, 1986; Orrenius &amp; Zavodny, 2009, p. 539)","noteIndex":0},"citationItems":[{"id":1062,"uris":["http://zotero.org/users/5481489/items/UTYSUEBY"],"uri":["http://zotero.org/users/5481489/items/UTYSUEBY"],"itemData":{"id":1062,"type":"article-journal","abstract":"Abstract Survey data collected from 450 male farmers in Canada revealed that three variables — conservative farming, willingness to risk life and limb to make a profit, and safe equipment operation — directly predicted the rate of serious farming-related accidents. Three dimensions of masculinity — suppression of emotions, “men in charge,” and recklessness — had strong indirect effects. Masculine recklessness tended to increase profit-oriented personal risk taking and to decrease the safe operation of farm equipment. Suppression of emotions also increased risk taking.","container-title":"Sex Roles","DOI":"10.1007/BF00288224","ISSN":"0360-0025","issue":"9-10","journalAbbreviation":"Sex Roles","note":"publisher: Kluwer Academic Publishers-Plenum Publishers","page":"467-478","source":"Scholars Portal Journals","title":"Masculinity and farming-related accidents","volume":"15","author":[{"family":"Harrell","given":"W."}],"issued":{"date-parts":[["1986"]]}}},{"id":99,"uris":["http://zotero.org/users/5481489/items/L2WCF3HV"],"uri":["http://zotero.org/users/5481489/items/L2WCF3HV"],"itemData":{"id":99,"type":"article-journal","abstract":"Recent media and government reports suggest that immigrants are more likely to hold jobs with poor working conditions than U.S.-born workers, perhaps because immigrants work in jobs that \" natives don't want.\" Despite this widespread view, earlier studies have not found immigrants to be in riskier jobs than natives. This study combines individual-level data from the 2003-2005 American Community Survey with Bureau of Labor Statistics data on work-related injuries and fatalities to take a fresh look at whether foreign-born workers are employed in more dangerous jobs. The results indicate that immigrants are in fact more likely to work in risky jobs than U.S.-born workers, partly due to differences in average characteristics, such as immigrants' lower English-language ability and educational attainment. [PUBLICATION ABSTRACT]","container-title":"Demography (pre-2011); Silver Spring","ISSN":"00703370","issue":"3","language":"English","note":"number-of-pages: 17\npublisher-place: Silver Spring, United States, Silver Spring\npublisher: Population Association of America","page":"535-51","source":"ProQuest","title":"Do Immigrants Work in Riskier Jobs?*","title-short":"Do Immigrants Work in Riskier Jobs?","volume":"46","author":[{"family":"Orrenius","given":"Pia M."},{"family":"Zavodny","given":"Madeline"}],"issued":{"date-parts":[["2009",8]]}},"locator":"539"}],"schema":"https://github.com/citation-style-language/schema/raw/master/csl-citation.json"}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(Harrell, 1986; Orrenius &amp; Zavodny, 2009, p. 539)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111666DB"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Additionally, because of the restrictions of their work permits, migrants are contracted by one employer at a time, limiting their opportunities to improve their work environment by finding a new employer. </w:t>
      </w:r>
      <w:proofErr w:type="spellStart"/>
      <w:r w:rsidRPr="00D542A1">
        <w:rPr>
          <w:rFonts w:ascii="Times New Roman" w:hAnsi="Times New Roman" w:cs="Times New Roman"/>
          <w:sz w:val="24"/>
          <w:szCs w:val="24"/>
        </w:rPr>
        <w:t>Benach</w:t>
      </w:r>
      <w:proofErr w:type="spellEnd"/>
      <w:r w:rsidRPr="00D542A1">
        <w:rPr>
          <w:rFonts w:ascii="Times New Roman" w:hAnsi="Times New Roman" w:cs="Times New Roman"/>
          <w:sz w:val="24"/>
          <w:szCs w:val="24"/>
        </w:rPr>
        <w:t xml:space="preserve"> et al, (2011) further summarizes the limited opportunities migrants can access stating that</w:t>
      </w:r>
    </w:p>
    <w:p w14:paraId="237497E8" w14:textId="71505D23" w:rsidR="00D542A1" w:rsidRPr="00D542A1" w:rsidRDefault="00D542A1" w:rsidP="00BE37E2">
      <w:pPr>
        <w:spacing w:line="240"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 xml:space="preserve">In most destination countries, migrant workers are found in the agricultural, food processing, and construction sectors of the economy, in semi-skilled or low-skill manufacturing jobs, and in low-wage service jobs. Foreign-born workers are vulnerable to coercion into precarious employment conditions within those sectors because of their irregular and undocumented legal status. A large number of migrant workers work on the lowest rung of the destination </w:t>
      </w:r>
      <w:r w:rsidRPr="00D542A1">
        <w:rPr>
          <w:rFonts w:ascii="Times New Roman" w:hAnsi="Times New Roman" w:cs="Times New Roman"/>
          <w:sz w:val="24"/>
          <w:szCs w:val="24"/>
        </w:rPr>
        <w:lastRenderedPageBreak/>
        <w:t xml:space="preserve">country’s employment ladder in low-skill day labour, which holds no guarantee of future work and mainly employs recently arrived immigrants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{"citationID":"ttXaeoT6","properties":{"formattedCitation":"(2011, p. 1)","plainCitation":"(2011, p. 1)","noteIndex":0},"citationItems":[{"id":915,"uris":["http://zotero.org/users/5481489/items/P2XZCGDU"],"uri":["http://zotero.org/users/5481489/items/P2XZCGDU"],"itemData":{"id":915,"type":"article-journal","abstract":"In the fourth article in a six-part PLoS Medicine series on Migration &amp; Health, Joan Benach and colleagues discuss the specific health risks and policy needs associated with migration in destination countries, especially for low-skilled and illegal migrant workers.","container-title":"PLOS Medicine","DOI":"10.1371/journal.pmed.1001043","ISSN":"1549-1676","issue":"6","journalAbbreviation":"PLOS Medicine","language":"en","note":"publisher: Public Library of Science","page":"e1001043","source":"PLoS Journals","title":"Migration and \"Low-Skilled\" Workers in Destination Countries","volume":"8","author":[{"family":"Benach","given":"Joan"},{"family":"Muntaner","given":"Carles"},{"family":"Delclos","given":"Carlos"},{"family":"Menéndez","given":"María"},{"family":"Ronquillo","given":"Charlene"}],"issued":{"date-parts":[["2011"]]}},"locator":"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4AF46989" w14:textId="33F8B341"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 xml:space="preserve">Another aspect particular to migrant workers is that they often live in the same vicinity as their work. Because of their low wages, workers in meatpacking plants tend to live in shared and crowded accommodation close to their plants. Farm workers tend to live in “overcrowded and dilapidated accommodations”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{"citationID":"ryLdJUVx","properties":{"formattedCitation":"(Perry, 2018, p. 1025)","plainCitation":"(Perry, 2018, p. 1025)","noteIndex":0},"citationItems":[{"id":70,"uris":["http://zotero.org/users/5481489/items/B8NV9AJ8"],"uri":["http://zotero.org/users/5481489/items/B8NV9AJ8"],"itemData":{"id":70,"type":"article-journal","abstract":"This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Adam"}],"issued":{"date-parts":[["2018",11]]}},"locator":"1025"}],"schema":"https://github.com/citation-style-language/schema/raw/master/csl-citation.json"}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(Perry, 2018, p. 1025)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constructed right on the farms in which they work because farms tend to be located on the outskirts of the surrounding communities.</w:t>
      </w:r>
      <w:r w:rsidR="00CF06D8">
        <w:rPr>
          <w:rFonts w:ascii="Times New Roman" w:hAnsi="Times New Roman" w:cs="Times New Roman"/>
          <w:sz w:val="24"/>
          <w:szCs w:val="24"/>
        </w:rPr>
        <w:t xml:space="preserve"> </w:t>
      </w:r>
      <w:r w:rsidRPr="00D542A1">
        <w:rPr>
          <w:rFonts w:ascii="Times New Roman" w:hAnsi="Times New Roman" w:cs="Times New Roman"/>
          <w:sz w:val="24"/>
          <w:szCs w:val="24"/>
        </w:rPr>
        <w:t xml:space="preserve">Citing Diaz </w:t>
      </w:r>
      <w:proofErr w:type="spellStart"/>
      <w:r w:rsidRPr="00D542A1">
        <w:rPr>
          <w:rFonts w:ascii="Times New Roman" w:hAnsi="Times New Roman" w:cs="Times New Roman"/>
          <w:sz w:val="24"/>
          <w:szCs w:val="24"/>
        </w:rPr>
        <w:t>Mendiburo</w:t>
      </w:r>
      <w:proofErr w:type="spellEnd"/>
      <w:r w:rsidRPr="00D542A1">
        <w:rPr>
          <w:rFonts w:ascii="Times New Roman" w:hAnsi="Times New Roman" w:cs="Times New Roman"/>
          <w:sz w:val="24"/>
          <w:szCs w:val="24"/>
        </w:rPr>
        <w:t xml:space="preserve"> and Mclaughlin (2016), Perry (2018) explains that the prevalent conditions in these bunkhouses include “problems with heating and ventilation, inadequate kitchen and bathroom facilities, overcrowding, and a general lack of privacy”,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{"citationID":"5rRoJMPP","properties":{"formattedCitation":"(2018, p. 1025)","plainCitation":"(2018, p. 1025)","dontUpdate":true,"noteIndex":0},"citationItems":[{"id":70,"uris":["http://zotero.org/users/5481489/items/B8NV9AJ8"],"uri":["http://zotero.org/users/5481489/items/B8NV9AJ8"],"itemData":{"id":70,"type":"article-journal","abstract":"This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Adam"}],"issued":{"date-parts":[["2018",11]]}},"locator":"1025","suppress-author":true}],"schema":"https://github.com/citation-style-language/schema/raw/master/csl-citation.json"}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p.1025)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Perry (2018) went on to explain that “poor bunkhouse sanitation and overcrowding has been shown to negatively affect the health of workers beyond the boundaries of the workplace, such as disrupting workers’ eating and sleeping patterns and facilitating the spread of infectious diseases”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{"citationID":"jZ5I8ewg","properties":{"formattedCitation":"(Perry, 2018, p. 1026)","plainCitation":"(Perry, 2018, p. 1026)","dontUpdate":true,"noteIndex":0},"citationItems":[{"id":70,"uris":["http://zotero.org/users/5481489/items/B8NV9AJ8"],"uri":["http://zotero.org/users/5481489/items/B8NV9AJ8"],"itemData":{"id":70,"type":"article-journal","abstract":"This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Adam"}],"issued":{"date-parts":[["2018",11]]}},"locator":"1026"}],"schema":"https://github.com/citation-style-language/schema/raw/master/csl-citation.json"}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(p.1026)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roofErr w:type="spellStart"/>
      <w:r w:rsidRPr="00D542A1">
        <w:rPr>
          <w:rFonts w:ascii="Times New Roman" w:hAnsi="Times New Roman" w:cs="Times New Roman"/>
          <w:sz w:val="24"/>
          <w:szCs w:val="24"/>
        </w:rPr>
        <w:t>Preibisch</w:t>
      </w:r>
      <w:proofErr w:type="spellEnd"/>
      <w:r w:rsidRPr="00D542A1">
        <w:rPr>
          <w:rFonts w:ascii="Times New Roman" w:hAnsi="Times New Roman" w:cs="Times New Roman"/>
          <w:sz w:val="24"/>
          <w:szCs w:val="24"/>
        </w:rPr>
        <w:t xml:space="preserve"> &amp; </w:t>
      </w:r>
      <w:proofErr w:type="spellStart"/>
      <w:r w:rsidRPr="00D542A1">
        <w:rPr>
          <w:rFonts w:ascii="Times New Roman" w:hAnsi="Times New Roman" w:cs="Times New Roman"/>
          <w:sz w:val="24"/>
          <w:szCs w:val="24"/>
        </w:rPr>
        <w:t>Hennebry</w:t>
      </w:r>
      <w:proofErr w:type="spellEnd"/>
      <w:r w:rsidRPr="00D542A1">
        <w:rPr>
          <w:rFonts w:ascii="Times New Roman" w:hAnsi="Times New Roman" w:cs="Times New Roman"/>
          <w:sz w:val="24"/>
          <w:szCs w:val="24"/>
        </w:rPr>
        <w:t xml:space="preserve"> (2011) similarly noted that “in surveys of migrant farm workers, 37% in British Columbia and 27% in Ontario perceived their housing to be damaging to their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{"citationID":"oiGJyx00","properties":{"formattedCitation":"(2011, p. 1035)","plainCitation":"(2011, p. 1035)","dontUpdate":true,"noteIndex":0},"citationItems":[{"id":943,"uris":["http://zotero.org/users/5481489/items/MVUJII3F"],"uri":["http://zotero.org/users/5481489/items/MVUJII3F"],"itemData":{"id":943,"type":"article-journal","container-title":"Canadian Medical Association Journal","DOI":"10.1503/cmaj.090736","ISSN":"0820-3946, 1488-2329","issue":"9","journalAbbreviation":"Canadian Medical Association Journal","language":"en","page":"1033-1038","source":"DOI.org (Crossref)","title":"Temporary migration, chronic effects: the health of international migrant workers in Canada","title-short":"Temporary migration, chronic effects","volume":"183","author":[{"family":"Preibisch","given":"K."},{"family":"Hennebry","given":"J."}],"issued":{"date-parts":[["2011",6,14]]}},"locator":"1035","suppress-author":true}],"schema":"https://github.com/citation-style-language/schema/raw/master/csl-citation.json"}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1035)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1D8186D6" w14:textId="77777777" w:rsidR="00D542A1" w:rsidRPr="00D542A1" w:rsidRDefault="00D542A1" w:rsidP="00BE37E2">
      <w:pPr>
        <w:spacing w:line="480" w:lineRule="auto"/>
        <w:ind w:firstLine="720"/>
        <w:jc w:val="both"/>
        <w:rPr>
          <w:rFonts w:ascii="Times New Roman" w:hAnsi="Times New Roman" w:cs="Times New Roman"/>
          <w:sz w:val="24"/>
          <w:szCs w:val="24"/>
        </w:rPr>
      </w:pPr>
      <w:r w:rsidRPr="00D542A1">
        <w:rPr>
          <w:rFonts w:ascii="Times New Roman" w:hAnsi="Times New Roman" w:cs="Times New Roman"/>
          <w:sz w:val="24"/>
          <w:szCs w:val="24"/>
        </w:rPr>
        <w:t xml:space="preserve">Despite the importance of the seasonal workers to Canada’s economy, the state of working and living conditions can be described as deplorable and has been shown to be a root cause in the deterioration of migrants’ health. In addition, the TFW program has been accused of engaging in systemic racism and designed deliberately to acquire cheap labour as well as the exploitation of developing counties. Chris </w:t>
      </w:r>
      <w:proofErr w:type="spellStart"/>
      <w:r w:rsidRPr="00D542A1">
        <w:rPr>
          <w:rFonts w:ascii="Times New Roman" w:hAnsi="Times New Roman" w:cs="Times New Roman"/>
          <w:sz w:val="24"/>
          <w:szCs w:val="24"/>
        </w:rPr>
        <w:t>Ramsaroop</w:t>
      </w:r>
      <w:proofErr w:type="spellEnd"/>
      <w:r w:rsidRPr="00D542A1">
        <w:rPr>
          <w:rFonts w:ascii="Times New Roman" w:hAnsi="Times New Roman" w:cs="Times New Roman"/>
          <w:sz w:val="24"/>
          <w:szCs w:val="24"/>
        </w:rPr>
        <w:t xml:space="preserve">, an organizer with Justicia for Migrant Workers says the program “is a legal regime set up based on racist immigration that creates a differential set of standards, laws and practices for migrant workers from the global south as opposed to Canadians. It’s a racial structure, it’s a system that’s rooted in a system of indentured labour”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{"citationID":"F168w861","properties":{"formattedCitation":"(Beaumont, 2020, p. 1)","plainCitation":"(Beaumont, 2020, p. 1)","noteIndex":0},"citationItems":[{"id":962,"uris":["http://zotero.org/users/5481489/items/X8FCGI53"],"uri":["http://zotero.org/users/5481489/items/X8FCGI53"],"itemData":{"id":962,"type":"webpage","abstract":"Covid-19 has surged on farms that employ foreign workers, aided by a lack of legal protections and shoddy oversight","container-title":"the Guardian","language":"en","note":"section: World news","title":"Coronavirus sheds light on Canada's poor treatment of migrant workers","URL":"http://www.theguardian.com/world/2020/jul/20/canada-migrant-farm-workers-coronavirus","author":[{"family":"Beaumont","given":"Hilary"}],"accessed":{"date-parts":[["2021",3,2]]},"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(Beaumont,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0D1E7FF6" w14:textId="05C78350" w:rsidR="00D542A1" w:rsidRPr="00D542A1" w:rsidRDefault="00D542A1" w:rsidP="00BE37E2">
      <w:pPr>
        <w:spacing w:line="480" w:lineRule="auto"/>
        <w:ind w:firstLine="567"/>
        <w:jc w:val="both"/>
        <w:rPr>
          <w:rFonts w:ascii="Times New Roman" w:hAnsi="Times New Roman" w:cs="Times New Roman"/>
          <w:sz w:val="24"/>
          <w:szCs w:val="24"/>
        </w:rPr>
      </w:pPr>
      <w:r w:rsidRPr="00D542A1">
        <w:rPr>
          <w:rFonts w:ascii="Times New Roman" w:hAnsi="Times New Roman" w:cs="Times New Roman"/>
          <w:sz w:val="24"/>
          <w:szCs w:val="24"/>
        </w:rPr>
        <w:lastRenderedPageBreak/>
        <w:t xml:space="preserve">Notwithstanding the well documented negative health outcomes of working in the agricultural sector, government representative and employers seems to brush aside any moral questions about what the harms might mean for workers by acknowledging the poor working condition as the norm. For instance, describing the nature of work at the meat packing plants, the outcome of research conducted by the Canadian Agricultural Human Resource Council (CAHRC) research acknowledged the working condition as “physical and unfortunately the environment is not ideal, but this is the nature of the work that is required” (CAHRC, 2017, p. 4). Given the poor working conditions migrants face, that include continuous exposure to harmful substances, hazardous jobs, and a number of substandard working and living conditions, we can begin to see why migrant health degenerates over time despite entering Canada with better than average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{"citationID":"rKysVTgs","properties":{"formattedCitation":"(Ambrosini &amp; Barone, 2007)","plainCitation":"(Ambrosini &amp; Barone, 2007)","noteIndex":0},"citationItems":[{"id":934,"uris":["http://zotero.org/users/5481489/items/NJ63LGAI"],"uri":["http://zotero.org/users/5481489/items/NJ63LGAI"],"itemData":{"id":934,"type":"webpage","abstract":"This report presents an overview of the employment and working conditions of migrant workers in the European Union. In most countries, migrant workers have higher unemployment rates and, when in employment, tend to be segregated in unskilled occupations and exposed to higher risks of over-qualification. Moreover, they experience considerable job insecurity, and the sectors and","container-title":"Eurofound","language":"en","title":"Employment and working conditions of migrant workers","URL":"https://www.eurofound.europa.eu/publications/report/2007/employment-and-working-conditions-of-migrant-workers","author":[{"family":"Ambrosini","given":"Maurizio"},{"family":"Barone","given":"Carlo"}],"accessed":{"date-parts":[["2021",2,28]]},"issued":{"date-parts":[["2007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(Ambrosini &amp; Barone, 2007)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31" w:name="_Hlk69313847"/>
      <w:r w:rsidRPr="00D542A1">
        <w:rPr>
          <w:rFonts w:ascii="Times New Roman" w:hAnsi="Times New Roman" w:cs="Times New Roman"/>
          <w:sz w:val="24"/>
          <w:szCs w:val="24"/>
        </w:rPr>
        <w:t xml:space="preserve">In sum, using the intersection of migration, work, and gender helps to spotlight the multiple disadvantages and experiences unique to male migrant workers in </w:t>
      </w:r>
      <w:r w:rsidR="00CF06D8">
        <w:rPr>
          <w:rFonts w:ascii="Times New Roman" w:hAnsi="Times New Roman" w:cs="Times New Roman"/>
          <w:sz w:val="24"/>
          <w:szCs w:val="24"/>
        </w:rPr>
        <w:t xml:space="preserve">the </w:t>
      </w:r>
      <w:r w:rsidRPr="00D542A1">
        <w:rPr>
          <w:rFonts w:ascii="Times New Roman" w:hAnsi="Times New Roman" w:cs="Times New Roman"/>
          <w:sz w:val="24"/>
          <w:szCs w:val="24"/>
        </w:rPr>
        <w:t>agricultural sector.</w:t>
      </w:r>
    </w:p>
    <w:p w14:paraId="661FA707"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32" w:name="_Toc72494762"/>
      <w:bookmarkEnd w:id="31"/>
      <w:r w:rsidRPr="00D542A1">
        <w:rPr>
          <w:rFonts w:ascii="Times New Roman" w:eastAsiaTheme="majorEastAsia" w:hAnsi="Times New Roman" w:cs="Times New Roman"/>
          <w:color w:val="2F5496" w:themeColor="accent1" w:themeShade="BF"/>
          <w:sz w:val="24"/>
          <w:szCs w:val="24"/>
          <w:lang w:val="en-US"/>
        </w:rPr>
        <w:t>Theoretical Perspectives</w:t>
      </w:r>
      <w:bookmarkEnd w:id="32"/>
    </w:p>
    <w:p w14:paraId="6757AD41" w14:textId="77777777" w:rsidR="00D542A1" w:rsidRPr="00D542A1" w:rsidRDefault="00D542A1" w:rsidP="00BE37E2">
      <w:pPr>
        <w:jc w:val="both"/>
        <w:rPr>
          <w:rFonts w:ascii="Times New Roman" w:hAnsi="Times New Roman" w:cs="Times New Roman"/>
          <w:sz w:val="24"/>
          <w:szCs w:val="24"/>
          <w:lang w:val="en-US"/>
        </w:rPr>
      </w:pPr>
    </w:p>
    <w:p w14:paraId="299E7E2A"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33" w:name="_Toc72494763"/>
      <w:r w:rsidRPr="00D542A1">
        <w:rPr>
          <w:rFonts w:ascii="Times New Roman" w:eastAsiaTheme="majorEastAsia" w:hAnsi="Times New Roman" w:cs="Times New Roman"/>
          <w:color w:val="2F5496" w:themeColor="accent1" w:themeShade="BF"/>
          <w:sz w:val="24"/>
          <w:szCs w:val="24"/>
        </w:rPr>
        <w:t>Intersectionality</w:t>
      </w:r>
      <w:bookmarkEnd w:id="33"/>
    </w:p>
    <w:p w14:paraId="405AEC25" w14:textId="77777777" w:rsidR="00D542A1" w:rsidRPr="00D542A1" w:rsidRDefault="00D542A1" w:rsidP="00BE37E2">
      <w:pPr>
        <w:jc w:val="both"/>
        <w:rPr>
          <w:rFonts w:ascii="Times New Roman" w:hAnsi="Times New Roman" w:cs="Times New Roman"/>
          <w:sz w:val="24"/>
          <w:szCs w:val="24"/>
        </w:rPr>
      </w:pPr>
    </w:p>
    <w:p w14:paraId="7B222DF1" w14:textId="3A3A2AA0"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Exploring the intersection of migration, work, and gender helps to spotlight the multiple disadvantages and experiences unique to male migrant workers in agricultural sector. Sociologists Dahlgren &amp; Whitehead (2007) argue that to understand health inequities, the root cause must be identified. Their model highlights interaction showing “individual lifestyles are embedded in social norms and networks, and in living and working conditions, which in turn are related to the wider socioeconomic and cultural environment”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{"citationID":"HuCSOLtU","properties":{"formattedCitation":"(2007, p. 21)","plainCitation":"(2007, p. 21)","noteIndex":0},"citationItems":[{"id":862,"uris":["http://zotero.org/users/5481489/items/RQHG5VYK"],"uri":["http://zotero.org/users/5481489/items/RQHG5VYK"],"itemData":{"id":862,"type":"article-journal","language":"en","page":"149","source":"Zotero","title":"European strategies for tackling social inequities in health: Levelling up Part 2","author":[{"family":"Dahlgren","given":"Goran"},{"family":"Whitehead","given":"Margaret"}],"issued":{"date-parts":[["2007"]]}},"locator":"21","suppress-author":true}],"schema":"https://github.com/citation-style-language/schema/raw/master/csl-citation.json"}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(2007, p. 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34" w:name="_Hlk72370080"/>
      <w:r w:rsidRPr="00D542A1">
        <w:rPr>
          <w:rFonts w:ascii="Times New Roman" w:hAnsi="Times New Roman" w:cs="Times New Roman"/>
          <w:sz w:val="24"/>
          <w:szCs w:val="24"/>
        </w:rPr>
        <w:t xml:space="preserve">Dahlgren, and Whitehead’s model will be useful in providing a framework for analyzing how each of these concepts: gender, </w:t>
      </w:r>
      <w:r w:rsidRPr="00D542A1">
        <w:rPr>
          <w:rFonts w:ascii="Times New Roman" w:hAnsi="Times New Roman" w:cs="Times New Roman"/>
          <w:sz w:val="24"/>
          <w:szCs w:val="24"/>
        </w:rPr>
        <w:lastRenderedPageBreak/>
        <w:t xml:space="preserve">migration, work, overlap and impact the health of migrant workers. </w:t>
      </w:r>
      <w:bookmarkEnd w:id="34"/>
      <w:r w:rsidRPr="00D542A1">
        <w:rPr>
          <w:rFonts w:ascii="Times New Roman" w:hAnsi="Times New Roman" w:cs="Times New Roman"/>
          <w:sz w:val="24"/>
          <w:szCs w:val="24"/>
        </w:rPr>
        <w:t xml:space="preserve">This integrative model will also highlight the contribution of individual lifestyle and general socio-economic, cultural, and environmental factors in influencing the health outcomes of migrant workers </w:t>
      </w:r>
      <w:r w:rsidR="00890D96" w:rsidRPr="00D542A1">
        <w:rPr>
          <w:rFonts w:ascii="Times New Roman" w:hAnsi="Times New Roman" w:cs="Times New Roman"/>
          <w:sz w:val="24"/>
          <w:szCs w:val="24"/>
        </w:rPr>
        <w:t>to</w:t>
      </w:r>
      <w:r w:rsidRPr="00D542A1">
        <w:rPr>
          <w:rFonts w:ascii="Times New Roman" w:hAnsi="Times New Roman" w:cs="Times New Roman"/>
          <w:sz w:val="24"/>
          <w:szCs w:val="24"/>
        </w:rPr>
        <w:t xml:space="preserve"> identify the unique experiences of male migrant workers. Furthermore, this lens illustrates how the privileges afforded to the dominant Western norm in terms of male gender constructs are not equally shared by men from migrant ethnic minorities. </w:t>
      </w:r>
    </w:p>
    <w:p w14:paraId="694962F8" w14:textId="77777777"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This approach aligns well with the theory of intersectionality developed by </w:t>
      </w:r>
      <w:proofErr w:type="spellStart"/>
      <w:r w:rsidRPr="00D542A1">
        <w:rPr>
          <w:rFonts w:ascii="Times New Roman" w:hAnsi="Times New Roman" w:cs="Times New Roman"/>
          <w:sz w:val="24"/>
          <w:szCs w:val="24"/>
        </w:rPr>
        <w:t>Kimberle</w:t>
      </w:r>
      <w:proofErr w:type="spellEnd"/>
      <w:r w:rsidRPr="00D542A1">
        <w:rPr>
          <w:rFonts w:ascii="Times New Roman" w:hAnsi="Times New Roman" w:cs="Times New Roman"/>
          <w:sz w:val="24"/>
          <w:szCs w:val="24"/>
        </w:rPr>
        <w:t xml:space="preserve"> Crenshaw (1991), initially to capture the unique experiences and oppression faced by women of colour. Building on Crenshaw’s foundational work, Collins and Bilge (2016) further defines intersectionality as way of </w:t>
      </w:r>
    </w:p>
    <w:p w14:paraId="3F66BE01" w14:textId="77777777" w:rsidR="00D542A1" w:rsidRPr="00D542A1" w:rsidRDefault="00D542A1" w:rsidP="00BE37E2">
      <w:pPr>
        <w:tabs>
          <w:tab w:val="center" w:pos="4680"/>
        </w:tabs>
        <w:spacing w:line="240" w:lineRule="auto"/>
        <w:ind w:left="851" w:right="1138"/>
        <w:jc w:val="both"/>
        <w:rPr>
          <w:rFonts w:ascii="Times New Roman" w:hAnsi="Times New Roman" w:cs="Times New Roman"/>
          <w:sz w:val="24"/>
          <w:szCs w:val="24"/>
        </w:rPr>
      </w:pPr>
      <w:r w:rsidRPr="00D542A1">
        <w:rPr>
          <w:rFonts w:ascii="Times New Roman" w:hAnsi="Times New Roman" w:cs="Times New Roman"/>
          <w:sz w:val="24"/>
          <w:szCs w:val="24"/>
        </w:rPr>
        <w:t xml:space="preserve">understanding and analyzing the complexity in the world, in people, and in human experiences. The events and conditions of social and political life and the self can seldom be understood as shaped by one factor. They are generally shaped by many factors in diverse and mutually influencing ways”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{"citationID":"RJjEwF5n","properties":{"formattedCitation":"(Collins &amp; Bilge, 2016, p. 1)","plainCitation":"(Collins &amp; Bilge, 2016, p. 1)","dontUpdate":true,"noteIndex":0},"citationItems":[{"id":1070,"uris":["http://zotero.org/users/5481489/items/R99AJV3D"],"uri":["http://zotero.org/users/5481489/items/R99AJV3D"],"itemData":{"id":1070,"type":"webpage","title":"Intersectionality","URL":"https://uottawa.brightspace.com/content/enforced/172421-2209FS0293991A00/Collins%20and%20Bilge-Chp1.pdf?d2lSessionVal=vUwNzeihnDEXWGp9pRoRu01Kk&amp;ou=172421","author":[{"family":"Collins","given":"Patricia Hills"},{"family":"Bilge","given":"Sirma"}],"accessed":{"date-parts":[["2021",3,17]]},"issued":{"date-parts":[["2016"]]}},"locator":"1"}],"schema":"https://github.com/citation-style-language/schema/raw/master/csl-citation.json"}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6393F425" w14:textId="77777777" w:rsidR="00D542A1" w:rsidRPr="00D542A1" w:rsidRDefault="00D542A1" w:rsidP="00BE37E2">
      <w:pPr>
        <w:tabs>
          <w:tab w:val="center" w:pos="4680"/>
        </w:tabs>
        <w:spacing w:line="480" w:lineRule="auto"/>
        <w:jc w:val="both"/>
        <w:rPr>
          <w:rFonts w:ascii="Times New Roman" w:hAnsi="Times New Roman" w:cs="Times New Roman"/>
          <w:color w:val="000000"/>
          <w:sz w:val="24"/>
          <w:szCs w:val="24"/>
          <w:shd w:val="clear" w:color="auto" w:fill="FFFFFF"/>
        </w:rPr>
      </w:pPr>
      <w:r w:rsidRPr="00D542A1">
        <w:rPr>
          <w:rFonts w:ascii="Times New Roman" w:hAnsi="Times New Roman" w:cs="Times New Roman"/>
          <w:color w:val="000000"/>
          <w:sz w:val="24"/>
          <w:szCs w:val="24"/>
          <w:shd w:val="clear" w:color="auto" w:fill="FFFFFF"/>
        </w:rPr>
        <w:t>Crenshaw (1991) submits that the experiences of people who are subject to more than one disadvantaged status simultaneously should be viewed as unique</w:t>
      </w:r>
      <w:bookmarkStart w:id="35" w:name="_Hlk70676364"/>
      <w:r w:rsidRPr="00D542A1">
        <w:rPr>
          <w:rFonts w:ascii="Times New Roman" w:hAnsi="Times New Roman" w:cs="Times New Roman"/>
          <w:color w:val="000000"/>
          <w:sz w:val="24"/>
          <w:szCs w:val="24"/>
          <w:shd w:val="clear" w:color="auto" w:fill="FFFFFF"/>
        </w:rPr>
        <w:t xml:space="preserve">. This means that every group has their unique experiences of discrimination or oppression or other factors that can marginalize groups in a unique way. </w:t>
      </w:r>
      <w:bookmarkEnd w:id="35"/>
    </w:p>
    <w:p w14:paraId="3E0A09BB" w14:textId="77777777" w:rsidR="00D542A1" w:rsidRPr="00D542A1" w:rsidRDefault="00D542A1" w:rsidP="00BE37E2">
      <w:pPr>
        <w:tabs>
          <w:tab w:val="center" w:pos="4680"/>
        </w:tabs>
        <w:spacing w:line="480" w:lineRule="auto"/>
        <w:ind w:firstLine="567"/>
        <w:jc w:val="both"/>
        <w:rPr>
          <w:rFonts w:ascii="Times New Roman" w:hAnsi="Times New Roman" w:cs="Times New Roman"/>
          <w:sz w:val="24"/>
          <w:szCs w:val="24"/>
        </w:rPr>
      </w:pPr>
      <w:r w:rsidRPr="00D542A1">
        <w:rPr>
          <w:rFonts w:ascii="Times New Roman" w:hAnsi="Times New Roman" w:cs="Times New Roman"/>
          <w:sz w:val="24"/>
          <w:szCs w:val="24"/>
        </w:rPr>
        <w:t xml:space="preserve">Applying intersectionality to the circumstances surrounding  migration, Spitzer (2016) explains that “focuses on the processes that create and reinforce markers of social stratification and illuminates their linkages to individual and communal identities, behaviours and health statuses”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{"citationID":"mv1JOIGA","properties":{"formattedCitation":"(2016, p. 78)","plainCitation":"(2016, p. 78)","dontUpdate":true,"noteIndex":0},"citationItems":[{"id":1252,"uris":["http://zotero.org/users/5481489/items/CUDAK7SR"],"uri":["http://zotero.org/users/5481489/items/CUDAK7SR"],"itemData":{"id":1252,"type":"article-journal","language":"en","page":"18","source":"Zotero","title":"5  Migration and health through an intersectional lens","author":[{"family":"Spitzer","given":"Denise L"}],"issued":{"date-parts":[["2016"]]}},"locator":"78","suppress-author":true}],"schema":"https://github.com/citation-style-language/schema/raw/master/csl-citation.json"}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78)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r w:rsidRPr="00D542A1">
        <w:rPr>
          <w:rFonts w:ascii="Times New Roman" w:hAnsi="Times New Roman" w:cs="Times New Roman"/>
          <w:color w:val="000000"/>
          <w:sz w:val="24"/>
          <w:szCs w:val="24"/>
          <w:shd w:val="clear" w:color="auto" w:fill="FFFFFF"/>
        </w:rPr>
        <w:t>Generally, m</w:t>
      </w:r>
      <w:r w:rsidRPr="00D542A1">
        <w:rPr>
          <w:rFonts w:ascii="Times New Roman" w:hAnsi="Times New Roman" w:cs="Times New Roman"/>
          <w:sz w:val="24"/>
          <w:szCs w:val="24"/>
        </w:rPr>
        <w:t xml:space="preserve">igrant workers as a group deal with multiple issues which need not be analysed individually or as a single status specific to their group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{"citationID":"mapetMJV","properties":{"formattedCitation":"(Stypi\\uc0\\u324{}ska &amp; Gordo, 2017)","plainCitation":"(Stypińska &amp; Gordo, 2017)","noteIndex":0},"citationItems":[{"id":1268,"uris":["http://zotero.org/users/5481489/items/JL58HM3R"],"uri":["http://zotero.org/users/5481489/items/JL58HM3R"],"itemData":{"id":1268,"type":"article-journal","abstract":"This paper analyses the interference of three socio-demographic characteristics: gender, age and migration status on the labour market outcomes from the perspective of intersectionality theory. Concretely, we investigate whether gender and migration differences in hourly wages are observable at younger ages and whether these differences increase with age. Further, we analyse whether gender and migration interact in such a way that women with migration background suffer lower wage growth in relation to their counterparts. Our analyses draw on data from the Socio-Economic Panel (German SOEP from 1991 to 2014), distinguishing between populations with and without a migration background. Random effects hourly wage regressions controlling for selection bias using Heckman procedure have been estimated in our analysis. The results show that there are large gender differences in hourly wage at younger ages, and these differences are maintained over the life course. Regarding migration status, no significant disadvantages in wages are observable at early stages. However, disadvantages of men and women with migration background increase with age, resulting in lower earnings for older workers with migration background. When we analyse the interaction between migration and gender, we observe no effect either at younger ages or over the entire lifespan, indicating that the gender disadvantage is no more pronounced for women with migration background than for women without such a background (and vice versa).","container-title":"European Journal of Ageing","DOI":"10.1007/s10433-017-0419-2","ISSN":"1613-9372","issue":"1","journalAbbreviation":"Eur J Ageing","note":"PMID: 29531512\nPMCID: PMC5840085","page":"23-33","source":"PubMed Central","title":"Gender, age and migration: an intersectional approach to inequalities in the labour market","title-short":"Gender, age and migration","volume":"15","author":[{"family":"Stypińska","given":"Justyna"},{"family":"Gordo","given":"Laura Romeu"}],"issued":{"date-parts":[["2017",6,1]]}}}],"schema":"https://github.com/citation-style-language/schema/raw/master/csl-citation.json"}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(Stypińska &amp; Gordo,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36" w:name="_Hlk69806287"/>
      <w:r w:rsidRPr="00D542A1">
        <w:rPr>
          <w:rFonts w:ascii="Times New Roman" w:hAnsi="Times New Roman" w:cs="Times New Roman"/>
          <w:sz w:val="24"/>
          <w:szCs w:val="24"/>
        </w:rPr>
        <w:t xml:space="preserve">The multiple issues used for this study are precarious migration status, poor and dangerous </w:t>
      </w:r>
      <w:r w:rsidRPr="00D542A1">
        <w:rPr>
          <w:rFonts w:ascii="Times New Roman" w:hAnsi="Times New Roman" w:cs="Times New Roman"/>
          <w:sz w:val="24"/>
          <w:szCs w:val="24"/>
        </w:rPr>
        <w:lastRenderedPageBreak/>
        <w:t xml:space="preserve">working and living condition, exploitation at workplace, lack of social support system and a whole other complex issue. These issues taken together, affect mental health and complicate other health issues linked to social determinants of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{"citationID":"dPWWlra1","properties":{"formattedCitation":"(Spitzer, 2016; Stypi\\uc0\\u324{}ska &amp; Gordo, 2017)","plainCitation":"(Spitzer, 2016; Stypińska &amp; Gordo, 2017)","noteIndex":0},"citationItems":[{"id":1252,"uris":["http://zotero.org/users/5481489/items/CUDAK7SR"],"uri":["http://zotero.org/users/5481489/items/CUDAK7SR"],"itemData":{"id":1252,"type":"article-journal","language":"en","page":"18","source":"Zotero","title":"5  Migration and health through an intersectional lens","author":[{"family":"Spitzer","given":"Denise L"}],"issued":{"date-parts":[["2016"]]}}},{"id":1268,"uris":["http://zotero.org/users/5481489/items/JL58HM3R"],"uri":["http://zotero.org/users/5481489/items/JL58HM3R"],"itemData":{"id":1268,"type":"article-journal","abstract":"This paper analyses the interference of three socio-demographic characteristics: gender, age and migration status on the labour market outcomes from the perspective of intersectionality theory. Concretely, we investigate whether gender and migration differences in hourly wages are observable at younger ages and whether these differences increase with age. Further, we analyse whether gender and migration interact in such a way that women with migration background suffer lower wage growth in relation to their counterparts. Our analyses draw on data from the Socio-Economic Panel (German SOEP from 1991 to 2014), distinguishing between populations with and without a migration background. Random effects hourly wage regressions controlling for selection bias using Heckman procedure have been estimated in our analysis. The results show that there are large gender differences in hourly wage at younger ages, and these differences are maintained over the life course. Regarding migration status, no significant disadvantages in wages are observable at early stages. However, disadvantages of men and women with migration background increase with age, resulting in lower earnings for older workers with migration background. When we analyse the interaction between migration and gender, we observe no effect either at younger ages or over the entire lifespan, indicating that the gender disadvantage is no more pronounced for women with migration background than for women without such a background (and vice versa).","container-title":"European Journal of Ageing","DOI":"10.1007/s10433-017-0419-2","ISSN":"1613-9372","issue":"1","journalAbbreviation":"Eur J Ageing","note":"PMID: 29531512\nPMCID: PMC5840085","page":"23-33","source":"PubMed Central","title":"Gender, age and migration: an intersectional approach to inequalities in the labour market","title-short":"Gender, age and migration","volume":"15","author":[{"family":"Stypińska","given":"Justyna"},{"family":"Gordo","given":"Laura Romeu"}],"issued":{"date-parts":[["2017",6,1]]}}}],"schema":"https://github.com/citation-style-language/schema/raw/master/csl-citation.json"}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(Spitzer, 2016; Stypińska &amp; Gordo,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bookmarkEnd w:id="36"/>
    <w:p w14:paraId="2224200E" w14:textId="4AA5FEF6" w:rsidR="00D542A1" w:rsidRPr="00D542A1" w:rsidRDefault="00D542A1" w:rsidP="00BE37E2">
      <w:pPr>
        <w:spacing w:line="480" w:lineRule="auto"/>
        <w:ind w:firstLine="567"/>
        <w:jc w:val="both"/>
        <w:rPr>
          <w:rFonts w:ascii="Times New Roman" w:hAnsi="Times New Roman" w:cs="Times New Roman"/>
          <w:sz w:val="24"/>
          <w:szCs w:val="24"/>
        </w:rPr>
      </w:pPr>
      <w:r w:rsidRPr="00D542A1">
        <w:rPr>
          <w:rFonts w:ascii="Times New Roman" w:hAnsi="Times New Roman" w:cs="Times New Roman"/>
          <w:sz w:val="24"/>
          <w:szCs w:val="24"/>
        </w:rPr>
        <w:t xml:space="preserve">Accordingly, intersectionality is a useful tool to analyse major axes of social divisions in each society. The social divisions or socio-demographic categories include race, class, gender, sexuality, status, and age which operate not as distinct and mutually exclusive entities but build on each other in a mutually influencing way.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{"citationID":"UWHRwgyM","properties":{"formattedCitation":"(Collins &amp; Bilge, 2016; Stypi\\uc0\\u324{}ska &amp; Gordo, 2017)","plainCitation":"(Collins &amp; Bilge, 2016; Stypińska &amp; Gordo, 2017)","noteIndex":0},"citationItems":[{"id":1070,"uris":["http://zotero.org/users/5481489/items/R99AJV3D"],"uri":["http://zotero.org/users/5481489/items/R99AJV3D"],"itemData":{"id":1070,"type":"webpage","title":"Intersectionality","URL":"https://uottawa.brightspace.com/content/enforced/172421-2209FS0293991A00/Collins%20and%20Bilge-Chp1.pdf?d2lSessionVal=vUwNzeihnDEXWGp9pRoRu01Kk&amp;ou=172421","author":[{"family":"Collins","given":"Patricia Hills"},{"family":"Bilge","given":"Sirma"}],"accessed":{"date-parts":[["2021",3,17]]},"issued":{"date-parts":[["2016"]]}}},{"id":1268,"uris":["http://zotero.org/users/5481489/items/JL58HM3R"],"uri":["http://zotero.org/users/5481489/items/JL58HM3R"],"itemData":{"id":1268,"type":"article-journal","abstract":"This paper analyses the interference of three socio-demographic characteristics: gender, age and migration status on the labour market outcomes from the perspective of intersectionality theory. Concretely, we investigate whether gender and migration differences in hourly wages are observable at younger ages and whether these differences increase with age. Further, we analyse whether gender and migration interact in such a way that women with migration background suffer lower wage growth in relation to their counterparts. Our analyses draw on data from the Socio-Economic Panel (German SOEP from 1991 to 2014), distinguishing between populations with and without a migration background. Random effects hourly wage regressions controlling for selection bias using Heckman procedure have been estimated in our analysis. The results show that there are large gender differences in hourly wage at younger ages, and these differences are maintained over the life course. Regarding migration status, no significant disadvantages in wages are observable at early stages. However, disadvantages of men and women with migration background increase with age, resulting in lower earnings for older workers with migration background. When we analyse the interaction between migration and gender, we observe no effect either at younger ages or over the entire lifespan, indicating that the gender disadvantage is no more pronounced for women with migration background than for women without such a background (and vice versa).","container-title":"European Journal of Ageing","DOI":"10.1007/s10433-017-0419-2","ISSN":"1613-9372","issue":"1","journalAbbreviation":"Eur J Ageing","note":"PMID: 29531512\nPMCID: PMC5840085","page":"23-33","source":"PubMed Central","title":"Gender, age and migration: an intersectional approach to inequalities in the labour market","title-short":"Gender, age and migration","volume":"15","author":[{"family":"Stypińska","given":"Justyna"},{"family":"Gordo","given":"Laura Romeu"}],"issued":{"date-parts":[["2017",6,1]]}}}],"schema":"https://github.com/citation-style-language/schema/raw/master/csl-citation.json"}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(Collins &amp; Bilge, 2016; Stypińska &amp; Gordo, 2017)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Notably, intersectionality is not just a theory but is also used as a </w:t>
      </w:r>
      <w:r w:rsidRPr="00D542A1">
        <w:rPr>
          <w:rFonts w:ascii="Times New Roman" w:hAnsi="Times New Roman" w:cs="Times New Roman"/>
          <w:i/>
          <w:iCs/>
          <w:sz w:val="24"/>
          <w:szCs w:val="24"/>
        </w:rPr>
        <w:t>heuristic</w:t>
      </w:r>
      <w:r w:rsidRPr="00D542A1">
        <w:rPr>
          <w:rFonts w:ascii="Times New Roman" w:hAnsi="Times New Roman" w:cs="Times New Roman"/>
          <w:sz w:val="24"/>
          <w:szCs w:val="24"/>
        </w:rPr>
        <w:t xml:space="preserve"> or </w:t>
      </w:r>
      <w:r w:rsidR="00E839E7" w:rsidRPr="00D542A1">
        <w:rPr>
          <w:rFonts w:ascii="Times New Roman" w:hAnsi="Times New Roman" w:cs="Times New Roman"/>
          <w:sz w:val="24"/>
          <w:szCs w:val="24"/>
        </w:rPr>
        <w:t>an analytic</w:t>
      </w:r>
      <w:r w:rsidRPr="00D542A1">
        <w:rPr>
          <w:rFonts w:ascii="Times New Roman" w:hAnsi="Times New Roman" w:cs="Times New Roman"/>
          <w:sz w:val="24"/>
          <w:szCs w:val="24"/>
        </w:rPr>
        <w:t xml:space="preserve"> tool for studying social issues. Consequently, intersectionality is adopted to aid in understanding how categories of analysis such as sex, gender, ethnicity, legal status, and migration intersect, and ultimately shape migrants workers’ social interactions, lives, and health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{"citationID":"xYYqFYDf","properties":{"formattedCitation":"(Brabete, 2017a; Hancock, 2007)","plainCitation":"(Brabete, 2017a; Hancock, 2007)","dontUpdate":true,"noteIndex":0},"citationItems":[{"id":1032,"uris":["http://zotero.org/users/5481489/items/YHKBXI7H"],"uri":["http://zotero.org/users/5481489/items/YHKBXI7H"],"itemData":{"id":1032,"type":"chapter","container-title":"The Psychology of Gender and Health","ISBN":"978-0-12-803864-2","language":"en","note":"DOI: 10.1016/B978-0-12-803864-2.00008-0","page":"231-250","publisher":"Elsevier","source":"DOI.org (Crossref)","title":"Examining Migrants’ Health From a Gender Perspective","URL":"https://linkinghub.elsevier.com/retrieve/pii/B9780128038642000080","author":[{"family":"Brabete","given":"Andreea C."}],"accessed":{"date-parts":[["2021",3,13]]},"issued":{"date-parts":[["2017"]]}}},{"id":1065,"uris":["http://zotero.org/users/5481489/items/FZNXT86I"],"uri":["http://zotero.org/users/5481489/items/FZNXT86I"],"itemData":{"id":1065,"type":"article-journal","container-title":"Politics &amp; Gender","DOI":"10.1017/S1743923X07000062","ISSN":"1743-923X, 1743-9248","issue":"02","journalAbbreviation":"Pol Gender","language":"en","source":"DOI.org (Crossref)","title":"Intersectionality as a Normative and Empirical Paradigm","URL":"http://www.journals.cambridge.org/abstract_S1743923X07000062","volume":"3","author":[{"family":"Hancock","given":"Ange-Marie"}],"accessed":{"date-parts":[["2021",3,16]]},"issued":{"date-parts":[["2007",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(Brabete, 2017; Hancock, 2007)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EEE79BF" w14:textId="5B4D7722" w:rsidR="00D542A1" w:rsidRDefault="00E839E7" w:rsidP="00BE37E2">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Accordingly, i</w:t>
      </w:r>
      <w:r w:rsidR="00D542A1" w:rsidRPr="00D542A1">
        <w:rPr>
          <w:rFonts w:ascii="Times New Roman" w:hAnsi="Times New Roman" w:cs="Times New Roman"/>
          <w:sz w:val="24"/>
          <w:szCs w:val="24"/>
        </w:rPr>
        <w:t>ntersectionality can be used to understand the complexity of the interactions among gender, health, and migration in this study. I will apply an intersectionality lens through two case studies of migrant workers in meat packing plant and farms in Southern Ontario in Canada</w:t>
      </w:r>
      <w:bookmarkStart w:id="37" w:name="_Hlk72370310"/>
      <w:r w:rsidR="00D542A1" w:rsidRPr="00D542A1">
        <w:rPr>
          <w:rFonts w:ascii="Times New Roman" w:hAnsi="Times New Roman" w:cs="Times New Roman"/>
          <w:sz w:val="24"/>
          <w:szCs w:val="24"/>
        </w:rPr>
        <w:t>. My analysis will showcase how the intersect of migration, gender and work affected the health of migrants despite their health advantage upon arrival in the country. It will constitute a useful tool in understanding the multifaceted factors involved in the decline of HIE rendering migrants vulnerable to the onslaught of diseases and viruses present during the COVID- 19 pandemic</w:t>
      </w:r>
      <w:bookmarkEnd w:id="37"/>
      <w:r w:rsidR="00D542A1" w:rsidRPr="00D542A1">
        <w:rPr>
          <w:rFonts w:ascii="Times New Roman" w:hAnsi="Times New Roman" w:cs="Times New Roman"/>
          <w:sz w:val="24"/>
          <w:szCs w:val="24"/>
        </w:rPr>
        <w:t>.</w:t>
      </w:r>
    </w:p>
    <w:p w14:paraId="45E02925" w14:textId="43974975" w:rsidR="00E839E7" w:rsidRDefault="00E839E7" w:rsidP="00BE37E2">
      <w:pPr>
        <w:spacing w:line="480" w:lineRule="auto"/>
        <w:ind w:firstLine="567"/>
        <w:jc w:val="both"/>
        <w:rPr>
          <w:rFonts w:ascii="Times New Roman" w:hAnsi="Times New Roman" w:cs="Times New Roman"/>
          <w:sz w:val="24"/>
          <w:szCs w:val="24"/>
        </w:rPr>
      </w:pPr>
    </w:p>
    <w:p w14:paraId="1DE9DF41" w14:textId="77777777" w:rsidR="00E839E7" w:rsidRPr="00D542A1" w:rsidRDefault="00E839E7" w:rsidP="00BE37E2">
      <w:pPr>
        <w:spacing w:line="480" w:lineRule="auto"/>
        <w:ind w:firstLine="567"/>
        <w:jc w:val="both"/>
        <w:rPr>
          <w:rFonts w:ascii="Times New Roman" w:hAnsi="Times New Roman" w:cs="Times New Roman"/>
          <w:sz w:val="24"/>
          <w:szCs w:val="24"/>
        </w:rPr>
      </w:pPr>
    </w:p>
    <w:p w14:paraId="7DC18B38"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38" w:name="_Toc72494764"/>
      <w:r w:rsidRPr="00D542A1">
        <w:rPr>
          <w:rFonts w:ascii="Times New Roman" w:eastAsiaTheme="majorEastAsia" w:hAnsi="Times New Roman" w:cs="Times New Roman"/>
          <w:color w:val="2F5496" w:themeColor="accent1" w:themeShade="BF"/>
          <w:sz w:val="24"/>
          <w:szCs w:val="24"/>
        </w:rPr>
        <w:lastRenderedPageBreak/>
        <w:t>Masculinity Theory</w:t>
      </w:r>
      <w:bookmarkEnd w:id="38"/>
    </w:p>
    <w:p w14:paraId="0506E6B2" w14:textId="77777777" w:rsidR="00D542A1" w:rsidRPr="00D542A1" w:rsidRDefault="00D542A1" w:rsidP="00BE37E2">
      <w:pPr>
        <w:jc w:val="both"/>
        <w:rPr>
          <w:rFonts w:ascii="Times New Roman" w:hAnsi="Times New Roman" w:cs="Times New Roman"/>
          <w:sz w:val="24"/>
          <w:szCs w:val="24"/>
        </w:rPr>
      </w:pPr>
    </w:p>
    <w:p w14:paraId="74CCFE2C" w14:textId="723E998B"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 </w:t>
      </w:r>
      <w:bookmarkStart w:id="39" w:name="_Hlk72370541"/>
      <w:r w:rsidRPr="00D542A1">
        <w:rPr>
          <w:rFonts w:ascii="Times New Roman" w:hAnsi="Times New Roman" w:cs="Times New Roman"/>
          <w:sz w:val="24"/>
          <w:szCs w:val="24"/>
        </w:rPr>
        <w:t xml:space="preserve">Masculinity has been defined by scholars as a set of socially constructed attributes, behaviours, and roles associated with boys and men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{"citationID":"1pk87AV9","properties":{"formattedCitation":"(Martin &amp; Finn, 2010)","plainCitation":"(Martin &amp; Finn, 2010)","noteIndex":0},"citationItems":[{"id":75,"uris":["http://zotero.org/users/5481489/items/G84787KX"],"uri":["http://zotero.org/users/5481489/items/G84787KX"],"itemData":{"id":75,"type":"book","ISBN":"978-1-4529-0003-2","language":"en","note":"Google-Books-ID: 5KLPlmr9T7MC","number-of-pages":"333","publisher":"U of Minnesota Press","source":"Google Books","title":"Masculinity and Femininity in the MMPI-2 and MMPI-A","author":[{"family":"Martin","given":"Hale"},{"family":"Finn","given":"Stephen"}],"issued":{"date-parts":[["2010"]]}}}],"schema":"https://github.com/citation-style-language/schema/raw/master/csl-citation.json"}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(Martin &amp; Finn, 2010)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As a social construct</w:t>
      </w:r>
      <w:r w:rsidR="00E839E7">
        <w:rPr>
          <w:rFonts w:ascii="Times New Roman" w:hAnsi="Times New Roman" w:cs="Times New Roman"/>
          <w:sz w:val="24"/>
          <w:szCs w:val="24"/>
        </w:rPr>
        <w:t>,</w:t>
      </w:r>
      <w:r w:rsidRPr="00D542A1">
        <w:rPr>
          <w:rFonts w:ascii="Times New Roman" w:hAnsi="Times New Roman" w:cs="Times New Roman"/>
          <w:sz w:val="24"/>
          <w:szCs w:val="24"/>
        </w:rPr>
        <w:t xml:space="preserve"> it is embedded in the cultural definition of what is socially acceptable to the society</w:t>
      </w:r>
      <w:bookmarkEnd w:id="39"/>
      <w:r w:rsidRPr="00D542A1">
        <w:rPr>
          <w:rFonts w:ascii="Times New Roman" w:hAnsi="Times New Roman" w:cs="Times New Roman"/>
          <w:sz w:val="24"/>
          <w:szCs w:val="24"/>
        </w:rPr>
        <w:t xml:space="preserve">. </w:t>
      </w:r>
      <w:proofErr w:type="spellStart"/>
      <w:r w:rsidRPr="00D542A1">
        <w:rPr>
          <w:rFonts w:ascii="Times New Roman" w:hAnsi="Times New Roman" w:cs="Times New Roman"/>
          <w:sz w:val="24"/>
          <w:szCs w:val="24"/>
        </w:rPr>
        <w:t>Parlow</w:t>
      </w:r>
      <w:proofErr w:type="spellEnd"/>
      <w:r w:rsidRPr="00D542A1">
        <w:rPr>
          <w:rFonts w:ascii="Times New Roman" w:hAnsi="Times New Roman" w:cs="Times New Roman"/>
          <w:sz w:val="24"/>
          <w:szCs w:val="24"/>
        </w:rPr>
        <w:t xml:space="preserve"> (2011) describes masculinity to “be just a part of the way things are; men are muscled, tough, and run things”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{"citationID":"e33uXddT","properties":{"formattedCitation":"(2011, p. 216)","plainCitation":"(2011, p. 216)","dontUpdate":true,"noteIndex":0},"citationItems":[{"id":83,"uris":["http://zotero.org/users/5481489/items/UHLH2FPM"],"uri":["http://zotero.org/users/5481489/items/UHLH2FPM"],"itemData":{"id":83,"type":"article-journal","container-title":"Studies in Gender and Sexuality","DOI":"10.1080/15240657.2011.585921","ISSN":"1524-0657, 1940-9206","issue":"3","journalAbbreviation":"Studies in Gender and Sexuality","language":"en","page":"213-220","source":"DOI.org (Crossref)","title":"Masculinity as a Center, Centered Masculinity","volume":"12","author":[{"family":"Parlow","given":"Susan B."}],"issued":{"date-parts":[["2011",7]]}},"locator":"216","suppress-author":true}],"schema":"https://github.com/citation-style-language/schema/raw/master/csl-citation.json"}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216)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other words, masculinity implies that men must be strong, successful, and as well possess the ability to provide for the needs of the family. </w:t>
      </w:r>
      <w:bookmarkStart w:id="40" w:name="_Hlk72370617"/>
      <w:r w:rsidRPr="00D542A1">
        <w:rPr>
          <w:rFonts w:ascii="Times New Roman" w:hAnsi="Times New Roman" w:cs="Times New Roman"/>
          <w:sz w:val="24"/>
          <w:szCs w:val="24"/>
        </w:rPr>
        <w:t>One important social construct of masculinities is the expectation of men to assume responsibility for providing financially for their family in a role as ‘breadwinner’. Not meeting up to this role expectation could make men lose respect and be considered less of a man.</w:t>
      </w:r>
      <w:bookmarkEnd w:id="40"/>
      <w:r w:rsidRPr="00D542A1">
        <w:rPr>
          <w:rFonts w:ascii="Times New Roman" w:hAnsi="Times New Roman" w:cs="Times New Roman"/>
          <w:sz w:val="24"/>
          <w:szCs w:val="24"/>
        </w:rPr>
        <w:t xml:space="preserve"> Donaldson and Howson (2009) sums this up this way “The men's responsibility as the breadwinners or key providers for the family household is a very strong part of their sense of self and masculinity”</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{"citationID":"vc6g11bn","properties":{"formattedCitation":"(2009, p. 211)","plainCitation":"(2009, p. 211)","dontUpdate":true,"noteIndex":0},"citationItems":[{"id":74,"uris":["http://zotero.org/users/5481489/items/B2234ZQS"],"uri":["http://zotero.org/users/5481489/items/B2234ZQS"],"itemData":{"id":74,"type":"article-journal","language":"en","page":"9","source":"Zotero","title":"Men, migration and hegemonic masculinity","author":[{"family":"Donaldson","given":"Mike"},{"family":"Howson","given":"R"}],"issued":{"date-parts":[["2009"]]}},"locator":"211","suppress-author":true}],"schema":"https://github.com/citation-style-language/schema/raw/master/csl-citation.json"}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211)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bookmarkStart w:id="41" w:name="_Hlk72370711"/>
      <w:r w:rsidRPr="00D542A1">
        <w:rPr>
          <w:rFonts w:ascii="Times New Roman" w:hAnsi="Times New Roman" w:cs="Times New Roman"/>
          <w:sz w:val="24"/>
          <w:szCs w:val="24"/>
        </w:rPr>
        <w:t xml:space="preserve">For this reason, men will often take any kind of work, even if dangerous, to fulfil the societal expectation </w:t>
      </w:r>
      <w:r w:rsidR="00BE62C1">
        <w:rPr>
          <w:rFonts w:ascii="Times New Roman" w:hAnsi="Times New Roman" w:cs="Times New Roman"/>
          <w:sz w:val="24"/>
          <w:szCs w:val="24"/>
        </w:rPr>
        <w:t>of</w:t>
      </w:r>
      <w:r w:rsidRPr="00D542A1">
        <w:rPr>
          <w:rFonts w:ascii="Times New Roman" w:hAnsi="Times New Roman" w:cs="Times New Roman"/>
          <w:sz w:val="24"/>
          <w:szCs w:val="24"/>
        </w:rPr>
        <w:t xml:space="preserve"> </w:t>
      </w:r>
      <w:proofErr w:type="spellStart"/>
      <w:r w:rsidRPr="00D542A1">
        <w:rPr>
          <w:rFonts w:ascii="Times New Roman" w:hAnsi="Times New Roman" w:cs="Times New Roman"/>
          <w:sz w:val="24"/>
          <w:szCs w:val="24"/>
        </w:rPr>
        <w:t>provid</w:t>
      </w:r>
      <w:proofErr w:type="spellEnd"/>
      <w:r w:rsidRPr="00D542A1">
        <w:rPr>
          <w:rFonts w:ascii="Times New Roman" w:hAnsi="Times New Roman" w:cs="Times New Roman"/>
          <w:sz w:val="24"/>
          <w:szCs w:val="24"/>
        </w:rPr>
        <w:t xml:space="preserve"> for his family. </w:t>
      </w:r>
    </w:p>
    <w:bookmarkEnd w:id="41"/>
    <w:p w14:paraId="773FD112" w14:textId="4D9055C3" w:rsidR="00D542A1" w:rsidRPr="00D542A1" w:rsidRDefault="00D542A1" w:rsidP="00BE37E2">
      <w:pPr>
        <w:tabs>
          <w:tab w:val="center" w:pos="4680"/>
        </w:tabs>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Furthermore, </w:t>
      </w:r>
      <w:bookmarkStart w:id="42" w:name="_Hlk72370817"/>
      <w:r w:rsidRPr="00D542A1">
        <w:rPr>
          <w:rFonts w:ascii="Times New Roman" w:hAnsi="Times New Roman" w:cs="Times New Roman"/>
          <w:sz w:val="24"/>
          <w:szCs w:val="24"/>
        </w:rPr>
        <w:t xml:space="preserve">masculinity theory emphasizes the social construct of socializing men as having higher tolerance to risk, independence, strength, and assertiveness. </w:t>
      </w:r>
      <w:bookmarkEnd w:id="42"/>
      <w:r w:rsidRPr="00D542A1">
        <w:rPr>
          <w:rFonts w:ascii="Times New Roman" w:hAnsi="Times New Roman" w:cs="Times New Roman"/>
          <w:sz w:val="24"/>
          <w:szCs w:val="24"/>
        </w:rPr>
        <w:t xml:space="preserve">Pawlowski et al., (2008) </w:t>
      </w:r>
      <w:bookmarkStart w:id="43" w:name="_Hlk72370911"/>
      <w:r w:rsidRPr="00D542A1">
        <w:rPr>
          <w:rFonts w:ascii="Times New Roman" w:hAnsi="Times New Roman" w:cs="Times New Roman"/>
          <w:sz w:val="24"/>
          <w:szCs w:val="24"/>
        </w:rPr>
        <w:t xml:space="preserve">explains societal and cultural validation of this ‘real man’ stating that “our culture discourages dependency in men, and valorizes ‘‘phallic illusions of machismo,’’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{"citationID":"yu5veGkG","properties":{"formattedCitation":"(Pawlowski et al., 2008, p. 216)","plainCitation":"(Pawlowski et al., 2008, p. 216)","dontUpdate":true,"noteIndex":0},"citationItems":[{"id":992,"uris":["http://zotero.org/users/5481489/items/69KZ47TM"],"uri":["http://zotero.org/users/5481489/items/69KZ47TM"],"itemData":{"id":992,"type":"article-journal","abstract":"Sexual selection theory predicts that males will tend to behave in ways that are more risky than females. We explored this in humans by studying two everyday situations (catching a bus and crossing a busy road). We show that humans are competent optimizers on such tasks, adjusting their arrival times at a bus stop so as to minimize waiting time. Nonetheless, single males pursue a more risky strategy than single females by cutting waiting times much finer. Males are also more likely than females to cross busy roads when it is risky to do so. More importantly, males are more likely to initiate a crossing in high risk conditions when there are females present in the immediate vicinity, but females do not show a comparable effect in relation to the number of males present. These results support the suggestion that risk-taking is a form of ?showing off? used as mate advertisement.","container-title":"Evolutionary Psychology","DOI":"10.1177/147470490800600104","ISSN":"1474-7049","issue":"1","journalAbbreviation":"Evol Psychol","note":"publisher: SAGE Publications Inc","page":"147470490800600104","source":"SAGE Journals","title":"Sex Differences in Everyday Risk-Taking Behavior in Humans","volume":"6","author":[{"family":"Pawlowski","given":"B."},{"family":"Atwal","given":"Rajinder"},{"family":"Dunbar","given":"R.I.M."}],"issued":{"date-parts":[["2008",1,1]]}},"locator":"216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216)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and this has an impact on the actual social relations around us. Risk taking thus constitute another expression of showing independence and courage to be a ‘man’ despite the circumstances. </w:t>
      </w:r>
      <w:bookmarkEnd w:id="43"/>
      <w:r w:rsidRPr="00D542A1">
        <w:rPr>
          <w:rFonts w:ascii="Times New Roman" w:hAnsi="Times New Roman" w:cs="Times New Roman"/>
          <w:sz w:val="24"/>
          <w:szCs w:val="24"/>
        </w:rPr>
        <w:t xml:space="preserve">This social construct also reflects in the type of work migrants are doing in the destination countries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{"citationID":"uzUshXYR","properties":{"formattedCitation":"(Mellstr\\uc0\\u246{}m &amp; Ericson, 2014; Orrenius &amp; Zavodny, 2009)","plainCitation":"(Mellström &amp; Ericson, 2014; Orrenius &amp; Zavodny, 2009)","noteIndex":0},"citationItems":[{"id":994,"uris":["http://zotero.org/users/5481489/items/RZ8BRE7S"],"uri":["http://zotero.org/users/5481489/items/RZ8BRE7S"],"itemData":{"id":994,"type":"article-journal","container-title":"NORMA","DOI":"10.1080/18902138.2014.951181","ISSN":"1890-2138","issue":"3","note":"publisher: Routledge\n_eprint: https://doi.org/10.1080/18902138.2014.951181","page":"147-150","source":"Taylor and Francis+NEJM","title":"Masculinity at risk","volume":"9","author":[{"family":"Mellström","given":"Ulf"},{"family":"Ericson","given":"Mathias"}],"issued":{"date-parts":[["2014",7,3]]}}},{"id":99,"uris":["http://zotero.org/users/5481489/items/L2WCF3HV"],"uri":["http://zotero.org/users/5481489/items/L2WCF3HV"],"itemData":{"id":99,"type":"article-journal","abstract":"Recent media and government reports suggest that immigrants are more likely to hold jobs with poor working conditions than U.S.-born workers, perhaps because immigrants work in jobs that \" natives don't want.\" Despite this widespread view, earlier studies have not found immigrants to be in riskier jobs than natives. This study combines individual-level data from the 2003-2005 American Community Survey with Bureau of Labor Statistics data on work-related injuries and fatalities to take a fresh look at whether foreign-born workers are employed in more dangerous jobs. The results indicate that immigrants are in fact more likely to work in risky jobs than U.S.-born workers, partly due to differences in average characteristics, such as immigrants' lower English-language ability and educational attainment. [PUBLICATION ABSTRACT]","container-title":"Demography (pre-2011); Silver Spring","ISSN":"00703370","issue":"3","language":"English","note":"number-of-pages: 17\npublisher-place: Silver Spring, United States, Silver Spring\npublisher: Population Association of America","page":"535-51","source":"ProQuest","title":"Do Immigrants Work in Riskier Jobs?*","title-short":"Do Immigrants Work in Riskier Jobs?","volume":"46","author":[{"family":"Orrenius","given":"Pia M."},{"family":"Zavodny","given":"Madeline"}],"issued":{"date-parts":[["2009",8]]}}}],"schema":"https://github.com/citation-style-language/schema/raw/master/csl-citation.json"}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(Mellström &amp; Ericson, 2014; Orrenius &amp; Zavodny, 2009)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‘breadwinner role’ and men’s tolerance for risk associated with societal expectations of </w:t>
      </w:r>
      <w:proofErr w:type="gramStart"/>
      <w:r w:rsidRPr="00D542A1">
        <w:rPr>
          <w:rFonts w:ascii="Times New Roman" w:hAnsi="Times New Roman" w:cs="Times New Roman"/>
          <w:sz w:val="24"/>
          <w:szCs w:val="24"/>
        </w:rPr>
        <w:t>men</w:t>
      </w:r>
      <w:r w:rsidR="00BE62C1">
        <w:rPr>
          <w:rFonts w:ascii="Times New Roman" w:hAnsi="Times New Roman" w:cs="Times New Roman"/>
          <w:sz w:val="24"/>
          <w:szCs w:val="24"/>
        </w:rPr>
        <w:t>, and</w:t>
      </w:r>
      <w:proofErr w:type="gramEnd"/>
      <w:r w:rsidR="00BE62C1">
        <w:rPr>
          <w:rFonts w:ascii="Times New Roman" w:hAnsi="Times New Roman" w:cs="Times New Roman"/>
          <w:sz w:val="24"/>
          <w:szCs w:val="24"/>
        </w:rPr>
        <w:t xml:space="preserve"> </w:t>
      </w:r>
      <w:r w:rsidRPr="00D542A1">
        <w:rPr>
          <w:rFonts w:ascii="Times New Roman" w:hAnsi="Times New Roman" w:cs="Times New Roman"/>
          <w:sz w:val="24"/>
          <w:szCs w:val="24"/>
        </w:rPr>
        <w:t xml:space="preserve">associated with masculinity theory will be useful in </w:t>
      </w:r>
      <w:r w:rsidRPr="00D542A1">
        <w:rPr>
          <w:rFonts w:ascii="Times New Roman" w:hAnsi="Times New Roman" w:cs="Times New Roman"/>
          <w:sz w:val="24"/>
          <w:szCs w:val="24"/>
        </w:rPr>
        <w:lastRenderedPageBreak/>
        <w:t>understanding how this theory intersects with migration, health, and work in the outcome of migrants’ health.</w:t>
      </w:r>
    </w:p>
    <w:p w14:paraId="66449FBD" w14:textId="1BE619FE" w:rsidR="00D542A1" w:rsidRPr="00BE62C1" w:rsidRDefault="00D542A1" w:rsidP="00BE62C1">
      <w:pPr>
        <w:rPr>
          <w:rFonts w:ascii="Times New Roman" w:eastAsiaTheme="majorEastAsia" w:hAnsi="Times New Roman" w:cs="Times New Roman"/>
          <w:color w:val="2F5496" w:themeColor="accent1" w:themeShade="BF"/>
          <w:sz w:val="24"/>
          <w:szCs w:val="24"/>
          <w:lang w:val="en-US"/>
        </w:rPr>
      </w:pPr>
      <w:r w:rsidRPr="00D542A1">
        <w:rPr>
          <w:rFonts w:ascii="Times New Roman" w:eastAsiaTheme="majorEastAsia" w:hAnsi="Times New Roman" w:cs="Times New Roman"/>
          <w:color w:val="2F5496" w:themeColor="accent1" w:themeShade="BF"/>
          <w:sz w:val="24"/>
          <w:szCs w:val="24"/>
          <w:lang w:val="en-US"/>
        </w:rPr>
        <w:t>Methodology</w:t>
      </w:r>
    </w:p>
    <w:p w14:paraId="71B10DC4"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Given that our understanding of COVID-19 is still evolving, there is a limited supply of statistical data for analysis, particularly of subpopulations. As such, I will focus on analysing the two cases using news articles, as well as feature stories and editorials from cultural journals such as news papers and editorial based on the theoretical frameworks and empirical evidence discussed above. The advantage of using a case study is that it provides an in-depth understanding of a specific group or context. Nahmias-</w:t>
      </w:r>
      <w:proofErr w:type="spellStart"/>
      <w:r w:rsidRPr="00D542A1">
        <w:rPr>
          <w:rFonts w:ascii="Times New Roman" w:hAnsi="Times New Roman" w:cs="Times New Roman"/>
          <w:sz w:val="24"/>
          <w:szCs w:val="24"/>
        </w:rPr>
        <w:t>Wolinsky</w:t>
      </w:r>
      <w:proofErr w:type="spellEnd"/>
      <w:r w:rsidRPr="00D542A1">
        <w:rPr>
          <w:rFonts w:ascii="Times New Roman" w:hAnsi="Times New Roman" w:cs="Times New Roman"/>
          <w:sz w:val="24"/>
          <w:szCs w:val="24"/>
        </w:rPr>
        <w:t xml:space="preserve"> (2004) states that case studies contribute to theory building, explaining the basis for the use of case study as “an explanation of a sequence of events that produce a particular historical outcome in which key steps in the sequence are in turn explained with reference to theories or causal mechanisms” (p.21). To effectively apply this and analyze how the COVID-19 context exacerbates health vulnerability for migrant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{"citationID":"vKHxVk3X","properties":{"formattedCitation":"(Wortham, 2020)","plainCitation":"(Wortham, 2020)","noteIndex":0},"citationItems":[{"id":234,"uris":["http://zotero.org/users/5481489/items/B9ZK2BM8"],"uri":["http://zotero.org/users/5481489/items/B9ZK2BM8"],"itemData":{"id":234,"type":"article-journal","abstract":"During January 1, 2020–May 18, 2020, approximately 1.3 million cases of coronavirus disease 2019 (COVID-19) and 83,000 COVID-19–associated deaths were reported in the United States (1).","container-title":"MMWR. Morbidity and Mortality Weekly Report","DOI":"10.15585/mmwr.mm6928e1","ISSN":"0149-21951545-861X","journalAbbreviation":"MMWR Morb Mortal Wkly Rep","language":"en-us","source":"www.cdc.gov","title":"Characteristics of Persons Who Died with COVID-19 — United States, February 12–May 18, 2020","URL":"https://www.cdc.gov/mmwr/volumes/69/wr/mm6928e1.htm","volume":"69","author":[{"family":"Wortham","given":"Jonathan M."}],"accessed":{"date-parts":[["2020",9,29]]},"issued":{"date-parts":[["2020"]]}}}],"schema":"https://github.com/citation-style-language/schema/raw/master/csl-citation.json"}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(Wortham,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I propose to study one of the sub section of migrants that are worst hit by the virus in Canada. The meatpacking plants, High River and JBS in Cargill, and farms in Southern Ontario were selected because they were identified as hot spots of COVID -19 in Canada.</w:t>
      </w:r>
    </w:p>
    <w:p w14:paraId="306A1EED" w14:textId="7B4AEE31"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recent spread of the virus and deaths of migrant workers have opened a new discussion in immigration policy in the country. The newness and the evolving nature of the pandemic was a deciding factor in using newspapers and editorials as well as other recent work on the effect of the pandemic. </w:t>
      </w:r>
      <w:r w:rsidR="00550DE9" w:rsidRPr="00D542A1">
        <w:rPr>
          <w:rFonts w:ascii="Times New Roman" w:hAnsi="Times New Roman" w:cs="Times New Roman"/>
          <w:sz w:val="24"/>
          <w:szCs w:val="24"/>
        </w:rPr>
        <w:t>To</w:t>
      </w:r>
      <w:r w:rsidRPr="00D542A1">
        <w:rPr>
          <w:rFonts w:ascii="Times New Roman" w:hAnsi="Times New Roman" w:cs="Times New Roman"/>
          <w:sz w:val="24"/>
          <w:szCs w:val="24"/>
        </w:rPr>
        <w:t xml:space="preserve"> get as much material as possible on the evolving spread of the virus, I searched the Factiva database which contains full documents of Canadian and foreign newspapers, magazines, and reports on the evolving pandemic.</w:t>
      </w:r>
    </w:p>
    <w:p w14:paraId="535CF977" w14:textId="77777777" w:rsidR="000A1AF2" w:rsidRDefault="000A1AF2">
      <w:pPr>
        <w:rPr>
          <w:rFonts w:ascii="Times New Roman" w:eastAsiaTheme="majorEastAsia" w:hAnsi="Times New Roman" w:cs="Times New Roman"/>
          <w:color w:val="2F5496" w:themeColor="accent1" w:themeShade="BF"/>
          <w:sz w:val="24"/>
          <w:szCs w:val="24"/>
          <w:lang w:val="en-US"/>
        </w:rPr>
      </w:pPr>
      <w:r>
        <w:rPr>
          <w:rFonts w:ascii="Times New Roman" w:eastAsiaTheme="majorEastAsia" w:hAnsi="Times New Roman" w:cs="Times New Roman"/>
          <w:color w:val="2F5496" w:themeColor="accent1" w:themeShade="BF"/>
          <w:sz w:val="24"/>
          <w:szCs w:val="24"/>
          <w:lang w:val="en-US"/>
        </w:rPr>
        <w:br w:type="page"/>
      </w:r>
    </w:p>
    <w:p w14:paraId="72313459" w14:textId="484327DC"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44" w:name="_Toc72494765"/>
      <w:r w:rsidRPr="00D542A1">
        <w:rPr>
          <w:rFonts w:ascii="Times New Roman" w:eastAsiaTheme="majorEastAsia" w:hAnsi="Times New Roman" w:cs="Times New Roman"/>
          <w:color w:val="2F5496" w:themeColor="accent1" w:themeShade="BF"/>
          <w:sz w:val="24"/>
          <w:szCs w:val="24"/>
          <w:lang w:val="en-US"/>
        </w:rPr>
        <w:lastRenderedPageBreak/>
        <w:t xml:space="preserve">Case #1: </w:t>
      </w:r>
      <w:bookmarkStart w:id="45" w:name="_Hlk72371595"/>
      <w:r w:rsidRPr="00D542A1">
        <w:rPr>
          <w:rFonts w:ascii="Times New Roman" w:eastAsiaTheme="majorEastAsia" w:hAnsi="Times New Roman" w:cs="Times New Roman"/>
          <w:color w:val="2F5496" w:themeColor="accent1" w:themeShade="BF"/>
          <w:sz w:val="24"/>
          <w:szCs w:val="24"/>
          <w:lang w:val="en-US"/>
        </w:rPr>
        <w:t>The Alberta Meat Packing Plant -Cargill and JBS</w:t>
      </w:r>
      <w:bookmarkEnd w:id="44"/>
    </w:p>
    <w:p w14:paraId="64B23AC2" w14:textId="77777777" w:rsidR="00D542A1" w:rsidRPr="00D542A1" w:rsidRDefault="00D542A1" w:rsidP="00BE37E2">
      <w:pPr>
        <w:jc w:val="both"/>
        <w:rPr>
          <w:rFonts w:ascii="Times New Roman" w:hAnsi="Times New Roman" w:cs="Times New Roman"/>
          <w:sz w:val="24"/>
          <w:szCs w:val="24"/>
          <w:lang w:val="en-US"/>
        </w:rPr>
      </w:pPr>
    </w:p>
    <w:bookmarkEnd w:id="45"/>
    <w:p w14:paraId="24850B35"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Canadian beef industry provides beef for domestic uses and contributes to the national GDP through export and job creation. According to recent statistics from the Canadian Cattlemen's Association (2020), the Canadian beef industry is the “second largest single source of farm cash receipts from cattle and calves, totalling $9.4 billion annually over the last five years (2015-2019). It has also created an “estimated 228,000 jobs in Canada”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{"citationID":"KmQ7CAmU","properties":{"formattedCitation":"(The Canadian Cattlemen\\uc0\\u8217{}s Association, 2020, p. 1)","plainCitation":"(The Canadian Cattlemen’s Association, 2020, p. 1)","noteIndex":0},"citationItems":[{"id":1109,"uris":["http://zotero.org/users/5481489/items/76MNZWEM"],"uri":["http://zotero.org/users/5481489/items/76MNZWEM"],"itemData":{"id":1109,"type":"webpage","title":"Industry Stats » The Canadian Cattlemen's Association","URL":"https://www.cattle.ca/cca-resources/industry-stats/","author":[{"family":"The Canadian Cattlemen's Association","given":""}],"accessed":{"date-parts":[["2021",3,23]]},"issued":{"date-parts":[["2020"]]}},"locator":"1"}],"schema":"https://github.com/citation-style-language/schema/raw/master/csl-citation.json"}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(The Canadian Cattlemen’s Association,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1F0BA4DB"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There are two major meatpacking plants, Cargill and JBS who together make up 70 percent of Canada's beef processing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{"citationID":"Ws7FMVGC","properties":{"formattedCitation":"(Edmiston, 2020; Neustaeter, 2020; The Canadian Cattlemen\\uc0\\u8217{}s Association, 2020)","plainCitation":"(Edmiston, 2020; Neustaeter, 2020; The Canadian Cattlemen’s Association, 2020)","noteIndex":0},"citationItems":[{"id":1106,"uris":["http://zotero.org/users/5481489/items/QBWJRGLH"],"uri":["http://zotero.org/users/5481489/items/QBWJRGLH"],"itemData":{"id":1106,"type":"webpage","abstract":"The vulnerability of relying on massive multinational slaughterhouses partially dates back to the outbreak of mad cow disease in the early 2000s","container-title":"financialpost","language":"en-CA","title":"Three meat-packing plants turn out 85% of Canada’s beef. How did this happen?","URL":"https://financialpost.com/commodities/agriculture/why-only-three-meat-packing-plants-process-the-vast-majority-of-canadas-beef","author":[{"family":"Edmiston","given":"Jake"}],"accessed":{"date-parts":[["2021",3,23]]},"issued":{"date-parts":[["2020"]]}}},{"id":1073,"uris":["http://zotero.org/users/5481489/items/WTGS8H73"],"uri":["http://zotero.org/users/5481489/items/WTGS8H73"],"itemData":{"id":1073,"type":"webpage","abstract":"Meat-packing plants in Alberta that are responsible for a substantial portion of Canada’s beef are shut or running reduced lines as they grapple with COVID-19 outbreaks. CTVNews.ca has compiled a list of meat processing plants experiencing outbreaks.","container-title":"Coronavirus","language":"en","title":"These are the meat plants in Canada affected by the coronavirus outbreak","URL":"https://www.ctvnews.ca/health/coronavirus/these-are-the-meat-plants-in-canada-affected-by-the-coronavirus-outbreak-1.4916957","author":[{"family":"Neustaeter","given":"Brooklyn"}],"accessed":{"date-parts":[["2021",3,23]]},"issued":{"date-parts":[["2020"]]}}},{"id":1109,"uris":["http://zotero.org/users/5481489/items/76MNZWEM"],"uri":["http://zotero.org/users/5481489/items/76MNZWEM"],"itemData":{"id":1109,"type":"webpage","title":"Industry Stats » The Canadian Cattlemen's Association","URL":"https://www.cattle.ca/cca-resources/industry-stats/","author":[{"family":"The Canadian Cattlemen's Association","given":""}],"accessed":{"date-parts":[["2021",3,23]]},"issued":{"date-parts":[["2020"]]}}}],"schema":"https://github.com/citation-style-language/schema/raw/master/csl-citation.json"}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(Edmiston, 2020; Neustaeter, 2020; The Canadian Cattlemen’s Association,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American multinational Cargill has plants in six provinces (Alberta, British Columbia, Manitoba, Ontario, Quebec, and Saskatchewan), whereas the world’s largest meat company, Brazilian JBS, has only one Canadian branch located in Brooks, Alberta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{"citationID":"u7uINSmn","properties":{"formattedCitation":"(National Farmers Union, 2020)","plainCitation":"(National Farmers Union, 2020)","noteIndex":0},"citationItems":[{"id":1117,"uris":["http://zotero.org/users/5481489/items/JM3ZQ87H"],"uri":["http://zotero.org/users/5481489/items/JM3ZQ87H"],"itemData":{"id":1117,"type":"webpage","abstract":"The National Farmers Union (NFU) offers heartfelt condolences to family and friends of the Cargill beef packing plant worker who lost her life to COVID-19 on April 20. The COVID-19 pandemic is…","container-title":"National Farmers Union","language":"en-CA","title":"Meat packing concentration makes Canada’s food system vulnerable","URL":"https://www.nfu.ca/policy/meat-packing-concentration-makes-canadas-food-system-vulnerable/","author":[{"family":"National Farmers Union","given":""}],"accessed":{"date-parts":[["2021",3,23]]},"issued":{"date-parts":[["2020"]]}}}],"schema":"https://github.com/citation-style-language/schema/raw/master/csl-citation.json"}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(National Farmers Union,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1CC02CAB" w14:textId="64F6ED3D"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According to their website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{"citationID":"2TZHPUMm","properties":{"formattedCitation":"(Cargill Canada, 2021)","plainCitation":"(Cargill Canada, 2021)","noteIndex":0},"citationItems":[{"id":1320,"uris":["http://zotero.org/users/5481489/items/44QKU49A"],"uri":["http://zotero.org/users/5481489/items/44QKU49A"],"itemData":{"id":1320,"type":"webpage","language":"en","title":"Cargill is committed to helping the world thrive. | Cargill Canada","URL":"https://www.cargill.ca/en/home","author":[{"family":"Cargill Canada","given":""}],"accessed":{"date-parts":[["2021",5,7]]},"issued":{"date-parts":[["2021"]]}}}],"schema":"https://github.com/citation-style-language/schema/raw/master/csl-citation.json"}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(Cargill Canada,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Cargill employs over 8,000 workers across Canada, though 2,000 of these workers are located at their High River facility. The High River facility is a fully integrated beef processing plant that engages in different aspects of beef processing like slaughter, fabrication, rendering and hide operations. The plant employs over 2,000 employees and processes over 4,500 head of cattle per day, which is more than one-third of all of Canada’s beef-processing capacity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{"citationID":"SEYzB4PV","properties":{"formattedCitation":"(Neustaeter, 2020)","plainCitation":"(Neustaeter, 2020)","noteIndex":0},"citationItems":[{"id":1073,"uris":["http://zotero.org/users/5481489/items/WTGS8H73"],"uri":["http://zotero.org/users/5481489/items/WTGS8H73"],"itemData":{"id":1073,"type":"webpage","abstract":"Meat-packing plants in Alberta that are responsible for a substantial portion of Canada’s beef are shut or running reduced lines as they grapple with COVID-19 outbreaks. CTVNews.ca has compiled a list of meat processing plants experiencing outbreaks.","container-title":"Coronavirus","language":"en","title":"These are the meat plants in Canada affected by the coronavirus outbreak","URL":"https://www.ctvnews.ca/health/coronavirus/these-are-the-meat-plants-in-canada-affected-by-the-coronavirus-outbreak-1.4916957","author":[{"family":"Neustaeter","given":"Brooklyn"}],"accessed":{"date-parts":[["2021",3,23]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(Neustaeter,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According to Frangou (2020), most of High River Cargill’s 2,000 unionized workers “are immigrants, refugees or temporary foreign workers” (p.8) 60 to 80 percent of whom are from the Philippines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{"citationID":"OW6iOcPm","properties":{"formattedCitation":"(Dryden, 2020a; Rieger, 2020; Turnbull, 2020)","plainCitation":"(Dryden, 2020a; Rieger, 2020; Turnbull, 2020)","noteIndex":0},"citationItems":[{"id":1172,"uris":["http://zotero.org/users/5481489/items/DUH8N5EV"],"uri":["http://zotero.org/users/5481489/items/DUH8N5EV"],"itemData":{"id":1172,"type":"webpage","abstract":"The COVID-19 outbreak at the Cargill meat plant in High River, Alta., is the largest linked to a single site in Canada, and the predominately Filipino employees at the plant say they're being unfairly blamed for the outbreak, which is up to 558 cases in workers and 798 cases overall.","container-title":"CBC","language":"en","title":"Filipino workers at meatpacking plant feel unfairly blamed for Canada's biggest COVID-19 outbreak | CBC News","URL":"https://www.cbc.ca/news/canada/calgary/cargill-high-river-jbs-brooks-deena-hinshaw-1.5545113","author":[{"family":"Dryden","given":"Joel"}],"accessed":{"date-parts":[["2021",3,30]]},"issued":{"date-parts":[["2020"]]}}},{"id":1111,"uris":["http://zotero.org/users/5481489/items/3C58CZTT"],"uri":["http://zotero.org/users/5481489/items/3C58CZTT"],"itemData":{"id":1111,"type":"webpage","abstract":"Alberta Occupational Health and Safety is investigating two outbreaks of COVID-19 at Alberta meat-processing plants, one of which is the largest outbreak linked to a single site in Canada.","container-title":"CBC","language":"en","title":"OHS investigating Canada's largest COVID-19 outbreak at meat plant after worker's death | CBC News","URL":"https://www.cbc.ca/news/canada/calgary/ohs-fatality-inquiry-cargill-1.5541655","author":[{"family":"Rieger","given":"Sarah"}],"accessed":{"date-parts":[["2021",3,23]]},"issued":{"date-parts":[["2020"]]}}},{"id":777,"uris":["http://zotero.org/users/5481489/items/SJ7XRVN8"],"uri":["http://zotero.org/users/5481489/items/SJ7XRVN8"],"itemData":{"id":777,"type":"webpage","abstract":"Many of the workers at an Alberta meat processing plant hit with COVID-19 are Filipino and new to Canada, and now face an increasing sense of isolation over the outbreak.","container-title":"CTVNews","language":"en","note":"section: Politics","title":"Cargill workers, many of them new to Canada, face isolation over COVID-19","URL":"https://www.ctvnews.ca/politics/cargill-workers-many-of-them-new-to-canada-face-isolation-over-covid-19-1.4929139","author":[{"family":"Turnbull","given":"sarah"}],"accessed":{"date-parts":[["2021",2,2]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2020a; Rieger, 2020; Turnbull,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137E5E10"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lastRenderedPageBreak/>
        <w:t>Despite each plant being in a strategic position for economic growth, they became well-known for reasons detrimental to their reputation. As a casualty of the novel Coronavirus global rampage, both the Cargill meatpacking plant in High River and the JBS meatpacking plant in Brooks, became notorious as hot spots of the Coronavirus in early 2020.</w:t>
      </w:r>
    </w:p>
    <w:p w14:paraId="71EB394B"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46" w:name="_Toc72494766"/>
      <w:r w:rsidRPr="00D542A1">
        <w:rPr>
          <w:rFonts w:ascii="Times New Roman" w:eastAsiaTheme="majorEastAsia" w:hAnsi="Times New Roman" w:cs="Times New Roman"/>
          <w:color w:val="2F5496" w:themeColor="accent1" w:themeShade="BF"/>
          <w:sz w:val="24"/>
          <w:szCs w:val="24"/>
        </w:rPr>
        <w:t>The Working Condition in the Meatpacking Plant</w:t>
      </w:r>
      <w:bookmarkEnd w:id="46"/>
    </w:p>
    <w:p w14:paraId="6801D5E6" w14:textId="77777777" w:rsidR="00D542A1" w:rsidRPr="00D542A1" w:rsidRDefault="00D542A1" w:rsidP="00BE37E2">
      <w:pPr>
        <w:jc w:val="both"/>
        <w:rPr>
          <w:rFonts w:ascii="Times New Roman" w:hAnsi="Times New Roman" w:cs="Times New Roman"/>
          <w:sz w:val="24"/>
          <w:szCs w:val="24"/>
        </w:rPr>
      </w:pPr>
    </w:p>
    <w:p w14:paraId="2977C8E0" w14:textId="22A8963B"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Meatpacking has been described as a dangerous, dirty and demanding (3-D) job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{"citationID":"lSmErIav","properties":{"formattedCitation":"(Ramos et al., 2021)","plainCitation":"(Ramos et al., 2021)","noteIndex":0},"citationItems":[{"id":1079,"uris":["http://zotero.org/users/5481489/items/U3AL7XBM"],"uri":["http://zotero.org/users/5481489/items/U3AL7XBM"],"itemData":{"id":1079,"type":"article-journal","abstract":"Background: Meatpacking is dangerous, dirty, and demanding (3‐D) work—much of which is done by immigrant workers. It is characterized by high rates of occupational injuries and illnesses due to the speed of the production line, repetitive motions, and other inherent exposures. The purpose of this qualitative study was to explore perceptions of safety culture among Hispanic/Latino meatpacking workers in the Midwest.\nMethods: Five focus groups with a total of 28 participants were conducted between March 2019 and February 2020 with Hispanic/Latino meatpacking workers in Nebraska. Workers were asked about the type of work performed, how the work was physically done, and perceptions of health risks and exposures. Thematic analysis was used to build a description of safety culture within the meatpacking industry.\nResults: Three main themes were found: (1) workers depicted a culture where companies cared more about production than people; (2) workers felt powerless in improving their situation; and (3) workers noted that the work was precarious, both dangerous and one where much of the responsibility for safety was shifted to the individual workers.\nConclusions: The meatpacking industry has a poor safety culture. Safety culture within the industry may be improved by ensuring that organizational values and artifacts are aligned with safety by addressing the critical role of supervisors, providing culturally and linguistically appropriate consistent safety training and messaging to the workforce, and enforcing and strengthening safety regulations.","container-title":"American Journal of Industrial Medicine","DOI":"10.1002/ajim.23206","ISSN":"0271-3586, 1097-0274","issue":"2","journalAbbreviation":"Am J Ind Med","language":"en","page":"84-96","source":"DOI.org (Crossref)","title":"“No somos máquinas” (We are not machines): Worker perspectives of safety culture in meatpacking plants in the Midwest","title-short":"“No somos máquinas” (We are not machines)","volume":"64","author":[{"family":"Ramos","given":"Athena K."},{"family":"Carvajal‐Suarez","given":"Marcela"},{"family":"Trinidad","given":"Natalia"},{"family":"Quintero","given":"Sophia"},{"family":"Molina","given":"Diana"},{"family":"Rowland","given":"Sheri A."}],"issued":{"date-parts":[["2021",2]]}}}],"schema":"https://github.com/citation-style-language/schema/raw/master/csl-citation.json"}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(Ramos et al.,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with a lot of associated health risks. Workers in the plants are regularly exposed to hazardous chemicals, safety risks, adverse ergonomic conditions, biological agents, and allergens, all of which affect their immune systems and make them vulnerable to infection, chronic musculoskeletal pain, and other health conditions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{"citationID":"LWkmaEfN","properties":{"formattedCitation":"(Dahlgren &amp; Whitehead, 2007; Ronda P\\uc0\\u233{}rez et al., 2012)","plainCitation":"(Dahlgren &amp; Whitehead, 2007; Ronda Pérez et al., 2012)","dontUpdate":true,"noteIndex":0},"citationItems":[{"id":862,"uris":["http://zotero.org/users/5481489/items/RQHG5VYK"],"uri":["http://zotero.org/users/5481489/items/RQHG5VYK"],"itemData":{"id":862,"type":"article-journal","language":"en","page":"149","source":"Zotero","title":"European strategies for tackling social inequities in health: Levelling up Part 2","author":[{"family":"Dahlgren","given":"Goran"},{"family":"Whitehead","given":"Margaret"}],"issued":{"date-parts":[["2007"]]}}},{"id":930,"uris":["http://zotero.org/users/5481489/items/643IXBTG"],"uri":["http://zotero.org/users/5481489/items/643IXBTG"],"itemData":{"id":930,"type":"article-journal","abstract":"Objective. To determine migrant workers’ exposure to select occupational risks and compare it with that of non-migrant workers in Europe. Design. Based on the European Working Conditions Survey (EWCS-2005, n 0 29,654 workers, 31 countries) we examined differential prevalence amongst migrant and non-migrant workers’ primary paid jobs in terms of employment arrangements (working  10 hours/day, working  5 days/week, on Sundays, without a contract, changes in the work schedule and not free to decide when to take holidays or days off) and working conditions (exposure to hazards including chemical, physical agents, physical load and psychological conditions). For the purpose of this study, a migrant is defined as a person without nationality of the country of residence (n 0926). Adjusted prevalence ratios (aPRs) for age, economic sector and education were calculated.\nResults. Differences in employment arrangements and working conditions were noted by migration status, gender and occupational status. Among non-manual workers, migrant males are more exposed than non-migrant males to negative psychosocial conditions Á working at a very high speed (aPR 1.23; 95% CI 1.07Á 1.42) and shift work (aPR 1.66; 95% CI 1.27Á2.17) Á and adverse employment arrangements: working on Sundays (aPR 1.91; 95% CI 1.42Á2.55), variable starting/finishing times (aPR 1.17; 95% CI 1.04Á1.32) and changes in work schedule (aPR 1.56; 95% CI 1.30Á1.88). Compared with non-migrant males, male migrant manual workers are the group with a greater number of disparities in terms of exposure to negative working conditions. Female migrant non-manual workers are more exposed to psychosocial conditions Á working at very high speed (aPR 1.26; 95% CI 1.10Á1.44) and shift work (aPR 1.61; 95% CI 1.29Á2.01) while female manual migrant workers were more likely to report standing or walking (aPR 2.43; 95% CI 1.98Á2.97), not having a contract (aPR 2.94; 95% CI 2.07Á4.10) and not being free to decide days off and holidays (aPR 1.25; 95% CI 1.07Á1.48) than non-migrants.\nConclusion. Migrant workers across Europe are more likely to be exposed to certain working and employment arrangements that may place them at higher risk of future health problems.","container-title":"Ethnicity &amp; Health","DOI":"10.1080/13557858.2012.730606","ISSN":"1355-7858, 1465-3419","issue":"6","journalAbbreviation":"Ethnicity &amp; Health","language":"en","page":"563-577","source":"DOI.org (Crossref)","title":"Differences in working conditions and employment arrangements among migrant and non-migrant workers in Europe","volume":"17","author":[{"family":"Ronda Pérez","given":"Elena"},{"family":"Benavides","given":"Fernando G."},{"family":"Levecque","given":"Katia"},{"family":"Love","given":"John G."},{"family":"Felt","given":"Emily"},{"family":"Van Rossem","given":"Ronan"}],"issued":{"date-parts":[["2012",12]]}}}],"schema":"https://github.com/citation-style-language/schema/raw/master/csl-citation.json"}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(Ronda Pérez et al., 2012)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Furthermore, the working conditions in the plant are such that viruses or other diseases can easily spread, given the physical proximity of workers to each other and the </w:t>
      </w:r>
      <w:r w:rsidR="00A24EBB">
        <w:rPr>
          <w:rFonts w:ascii="Times New Roman" w:hAnsi="Times New Roman" w:cs="Times New Roman"/>
          <w:sz w:val="24"/>
          <w:szCs w:val="24"/>
        </w:rPr>
        <w:t xml:space="preserve">already </w:t>
      </w:r>
      <w:r w:rsidRPr="00D542A1">
        <w:rPr>
          <w:rFonts w:ascii="Times New Roman" w:hAnsi="Times New Roman" w:cs="Times New Roman"/>
          <w:sz w:val="24"/>
          <w:szCs w:val="24"/>
        </w:rPr>
        <w:t xml:space="preserve">weakened immune systems of workers. The working conditions for migrant workers in meatpacking plants were described by </w:t>
      </w:r>
      <w:proofErr w:type="spellStart"/>
      <w:r w:rsidRPr="00D542A1">
        <w:rPr>
          <w:rFonts w:ascii="Times New Roman" w:hAnsi="Times New Roman" w:cs="Times New Roman"/>
          <w:sz w:val="24"/>
          <w:szCs w:val="24"/>
        </w:rPr>
        <w:t>Franguo</w:t>
      </w:r>
      <w:proofErr w:type="spellEnd"/>
      <w:r w:rsidRPr="00D542A1">
        <w:rPr>
          <w:rFonts w:ascii="Times New Roman" w:hAnsi="Times New Roman" w:cs="Times New Roman"/>
          <w:sz w:val="24"/>
          <w:szCs w:val="24"/>
        </w:rPr>
        <w:t xml:space="preserve"> (2020a) who wrote</w:t>
      </w:r>
    </w:p>
    <w:p w14:paraId="7361F790" w14:textId="2631F654" w:rsidR="00D542A1" w:rsidRPr="00D542A1" w:rsidRDefault="00D542A1" w:rsidP="00BE37E2">
      <w:pPr>
        <w:spacing w:line="240"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 xml:space="preserve">It’s physically exhausting work. For long hours and in cold conditions, he stands shoulder to shoulder with other workers, bumping up against the next body if anyone shifts in the line. Meat in various stages of processing makes first-timers at the plant retch from the pungency, while machines whir and bang in the background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{"citationID":"gNzZ7zbS","properties":{"formattedCitation":"(Frangou, 2020a, p. 2)","plainCitation":"(Frangou, 2020a, p. 2)","dontUpdate":true,"noteIndex":0},"citationItems":[{"id":834,"uris":["http://zotero.org/users/5481489/items/XT8WZ8TU"],"uri":["http://zotero.org/users/5481489/items/XT8WZ8TU"],"itemData":{"id":834,"type":"webpage","abstract":"Explore millions of resources from scholarly journals, books, newspapers, videos and more, on the ProQuest Platform.","language":"en","title":"Lives on the line: As Cargill employees return to the site of Canada’s largest COVID-19 outbreak, fear lingers still - ProQuest","title-short":"Lives on the line","URL":"https://search-proquest-com.proxy.bib.uottawa.ca/docview/2401926777/E0A56D1DD6154ACDPQ/8?accountid=14701","author":[{"family":"Frangou","given":"Christina"}],"accessed":{"date-parts":[["2021",2,13]]},"issued":{"date-parts":[["2020"]]}},"locator":"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2)</w:t>
      </w:r>
      <w:r w:rsidRPr="00D542A1">
        <w:rPr>
          <w:rFonts w:ascii="Times New Roman" w:hAnsi="Times New Roman" w:cs="Times New Roman"/>
          <w:sz w:val="24"/>
          <w:szCs w:val="24"/>
        </w:rPr>
        <w:fldChar w:fldCharType="end"/>
      </w:r>
    </w:p>
    <w:p w14:paraId="10634660" w14:textId="12209390"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Ramos et al., (2021) discusses conditions prevalent in meat packing plants in detail, based on the lived experiences of some of</w:t>
      </w:r>
      <w:r w:rsidR="004213CC">
        <w:rPr>
          <w:rFonts w:ascii="Times New Roman" w:hAnsi="Times New Roman" w:cs="Times New Roman"/>
          <w:sz w:val="24"/>
          <w:szCs w:val="24"/>
        </w:rPr>
        <w:t xml:space="preserve"> the </w:t>
      </w:r>
      <w:r w:rsidRPr="00D542A1">
        <w:rPr>
          <w:rFonts w:ascii="Times New Roman" w:hAnsi="Times New Roman" w:cs="Times New Roman"/>
          <w:sz w:val="24"/>
          <w:szCs w:val="24"/>
        </w:rPr>
        <w:t xml:space="preserve">workers in the plant. The workers felt that they were being treated like an “animal or machine”. For instance, they highlighted some of the feedback from the migrant workers with comments like, “workers discussed feeling as if they were disposable and that it did not matter if they got hurt or became ill on the job; they had to keep working”. Others commented, “we are not as important as a bag of meat, I can put it this way because for them if you let a bag </w:t>
      </w:r>
      <w:r w:rsidRPr="00D542A1">
        <w:rPr>
          <w:rFonts w:ascii="Times New Roman" w:hAnsi="Times New Roman" w:cs="Times New Roman"/>
          <w:sz w:val="24"/>
          <w:szCs w:val="24"/>
        </w:rPr>
        <w:lastRenderedPageBreak/>
        <w:t>of meat fall or it is ripped, it is a lot worse than if you injure a finger or if you are cut”. Another worker lamented</w:t>
      </w:r>
    </w:p>
    <w:p w14:paraId="4B8F9C7A" w14:textId="77777777" w:rsidR="00D542A1" w:rsidRPr="00D542A1" w:rsidRDefault="00D542A1" w:rsidP="00BE37E2">
      <w:pPr>
        <w:spacing w:line="240" w:lineRule="auto"/>
        <w:ind w:left="567" w:right="1138"/>
        <w:jc w:val="both"/>
        <w:rPr>
          <w:rFonts w:ascii="Times New Roman" w:hAnsi="Times New Roman" w:cs="Times New Roman"/>
          <w:sz w:val="24"/>
          <w:szCs w:val="24"/>
        </w:rPr>
      </w:pPr>
      <w:r w:rsidRPr="00D542A1">
        <w:rPr>
          <w:rFonts w:ascii="Times New Roman" w:hAnsi="Times New Roman" w:cs="Times New Roman"/>
          <w:sz w:val="24"/>
          <w:szCs w:val="24"/>
        </w:rPr>
        <w:t xml:space="preserve">the owners or the companies are always looking out for their welfare, and they do not care what we as human beings feel…they do not care how long you have been working or if you just started. They treat you as if you were, as you say, a machine. But really, our body is made of flesh and blood, we are human beings, and we need to be treated as such, as human beings, not as machines”,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{"citationID":"s24CeBWC","properties":{"formattedCitation":"(Ramos et al., 2021, p. 87)","plainCitation":"(Ramos et al., 2021, p. 87)","dontUpdate":true,"noteIndex":0},"citationItems":[{"id":1079,"uris":["http://zotero.org/users/5481489/items/U3AL7XBM"],"uri":["http://zotero.org/users/5481489/items/U3AL7XBM"],"itemData":{"id":1079,"type":"article-journal","abstract":"Background: Meatpacking is dangerous, dirty, and demanding (3‐D) work—much of which is done by immigrant workers. It is characterized by high rates of occupational injuries and illnesses due to the speed of the production line, repetitive motions, and other inherent exposures. The purpose of this qualitative study was to explore perceptions of safety culture among Hispanic/Latino meatpacking workers in the Midwest.\nMethods: Five focus groups with a total of 28 participants were conducted between March 2019 and February 2020 with Hispanic/Latino meatpacking workers in Nebraska. Workers were asked about the type of work performed, how the work was physically done, and perceptions of health risks and exposures. Thematic analysis was used to build a description of safety culture within the meatpacking industry.\nResults: Three main themes were found: (1) workers depicted a culture where companies cared more about production than people; (2) workers felt powerless in improving their situation; and (3) workers noted that the work was precarious, both dangerous and one where much of the responsibility for safety was shifted to the individual workers.\nConclusions: The meatpacking industry has a poor safety culture. Safety culture within the industry may be improved by ensuring that organizational values and artifacts are aligned with safety by addressing the critical role of supervisors, providing culturally and linguistically appropriate consistent safety training and messaging to the workforce, and enforcing and strengthening safety regulations.","container-title":"American Journal of Industrial Medicine","DOI":"10.1002/ajim.23206","ISSN":"0271-3586, 1097-0274","issue":"2","journalAbbreviation":"Am J Ind Med","language":"en","page":"84-96","source":"DOI.org (Crossref)","title":"“No somos máquinas” (We are not machines): Worker perspectives of safety culture in meatpacking plants in the Midwest","title-short":"“No somos máquinas” (We are not machines)","volume":"64","author":[{"family":"Ramos","given":"Athena K."},{"family":"Carvajal‐Suarez","given":"Marcela"},{"family":"Trinidad","given":"Natalia"},{"family":"Quintero","given":"Sophia"},{"family":"Molina","given":"Diana"},{"family":"Rowland","given":"Sheri A."}],"issued":{"date-parts":[["2021",2]]}},"locator":"87"}],"schema":"https://github.com/citation-style-language/schema/raw/master/csl-citation.json"}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87)</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5F72D8B9" w14:textId="77777777" w:rsidR="00D542A1" w:rsidRPr="00D542A1" w:rsidRDefault="00D542A1" w:rsidP="00BE37E2">
      <w:pPr>
        <w:spacing w:line="240" w:lineRule="auto"/>
        <w:ind w:left="567" w:right="1138"/>
        <w:jc w:val="both"/>
        <w:rPr>
          <w:rFonts w:ascii="Times New Roman" w:hAnsi="Times New Roman" w:cs="Times New Roman"/>
          <w:sz w:val="24"/>
          <w:szCs w:val="24"/>
        </w:rPr>
      </w:pPr>
    </w:p>
    <w:p w14:paraId="53F11A55"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Other workers complained about the speed of the line, the repetitive nature of the tasks, and the understaffing that is prevalent in many plants. Additionally, a lack of adequate and proper training and unsanitary conditions in the plants were seen as potential breeding grounds for the incubation and nurturing of diseases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{"citationID":"5j3FQMTS","properties":{"formattedCitation":"(Ramos et al., 2020a; Wherry, 2020)","plainCitation":"(Ramos et al., 2020a; Wherry, 2020)","noteIndex":0},"citationItems":[{"id":1122,"uris":["http://zotero.org/users/5481489/items/YBCM548A"],"uri":["http://zotero.org/users/5481489/items/YBCM548A"],"itemData":{"id":1122,"type":"article-journal","abstract":"ABSTRACT From the farms to the packing plants, essential workers in critical food production industries keep food on our tables while risking their and their families’ health and well-being to bring home a paycheck. They work in essential industries but are often invisible. The disparities illuminated by COVID-19 are not new. Instead, they are the result of years of inequities built into practices, policies, and systems that reinforce societal power structures. As a society, we are now at an antagonizing moment where we can change our collective trajectory to focus forward and promote equity and justice for workers in agriculture and food-related industries. To that end, we describe our experience and approach in addressing COVID-19 outbreaks in meat processing facilities, which included three pillars of action based on public health ethics and international human rights: (1) worksite prevention and control, (2) community-based prevention and control, and (3) treatment. Our approach can be translated to promote the health, safety, and well-being of the broader agricultural workforce.","container-title":"Journal of Agromedicine","DOI":"10.1080/1059924X.2020.1814925","ISSN":"1059-924X","issue":"4","journalAbbreviation":"Journal of Agromedicine","note":"publisher: Taylor &amp; Francis","page":"378-382","source":"Scholars Portal Journals","title":"Invisible No More: The Impact of COVID-19 on Essential Food Production Workers","title-short":"Invisible No More","volume":"25","author":[{"family":"Ramos","given":"Athena K."},{"family":"Lowe","given":"Abigail E."},{"family":"Herstein","given":"Jocelyn J."},{"family":"Schwedhelm","given":"Shelly"},{"family":"Dineen","given":"Kelly K."},{"family":"Lowe","given":"John J."}],"issued":{"date-parts":[["2020"]]}}},{"id":1178,"uris":["http://zotero.org/users/5481489/items/UJR8FNAL"],"uri":["http://zotero.org/users/5481489/items/UJR8FNAL"],"itemData":{"id":1178,"type":"webpage","abstract":"When the pandemic crisis ends, Canadians are going to have to reckon with the fact that the 'essential' workers who got them through it are some of the lowest-paid people among us.","container-title":"CBC","language":"en","title":"The wages of fear: The pandemic and the future of low-paid 'essential' work | CBC News","title-short":"The wages of fear","URL":"https://www.cbc.ca/news/politics/coronavirus-pandemic-covid-minimum-wage-essential-workers-1.5562318","author":[{"family":"Wherry","given":"Aaron"}],"accessed":{"date-parts":[["2021",3,31]]},"issued":{"date-parts":[["2020",5,10]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(Ramos et al., 2020a; Wherry,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(Citations?). </w:t>
      </w:r>
    </w:p>
    <w:p w14:paraId="638C02A6"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The pictures below were taken before the pandemic but were likely to be the norm during the early stages of the pandemic. The pictures are a graphic representation of the working condition that wreak havoc on migrants’ health and made physical distancing impossible during the pandemic.</w:t>
      </w:r>
      <w:bookmarkStart w:id="47" w:name="_Hlk69263330"/>
      <w:bookmarkStart w:id="48" w:name="_Hlk69837270"/>
    </w:p>
    <w:p w14:paraId="0D4E76FF" w14:textId="77777777" w:rsidR="00D542A1" w:rsidRPr="00D542A1" w:rsidRDefault="00D542A1" w:rsidP="00BE37E2">
      <w:pPr>
        <w:jc w:val="both"/>
      </w:pPr>
      <w:r w:rsidRPr="00D542A1">
        <w:br w:type="page"/>
      </w:r>
    </w:p>
    <w:tbl>
      <w:tblPr>
        <w:tblW w:w="0" w:type="auto"/>
        <w:tblLook w:val="04A0" w:firstRow="1" w:lastRow="0" w:firstColumn="1" w:lastColumn="0" w:noHBand="0" w:noVBand="1"/>
      </w:tblPr>
      <w:tblGrid>
        <w:gridCol w:w="9350"/>
      </w:tblGrid>
      <w:tr w:rsidR="00D542A1" w:rsidRPr="00D542A1" w14:paraId="57455007" w14:textId="77777777" w:rsidTr="005D7832">
        <w:tc>
          <w:tcPr>
            <w:tcW w:w="9350" w:type="dxa"/>
          </w:tcPr>
          <w:p w14:paraId="1637BC34" w14:textId="77777777" w:rsidR="00D542A1" w:rsidRPr="00D542A1" w:rsidRDefault="00D542A1" w:rsidP="00BE37E2">
            <w:pPr>
              <w:spacing w:after="0" w:line="240" w:lineRule="auto"/>
              <w:jc w:val="both"/>
              <w:rPr>
                <w:rFonts w:ascii="Times New Roman" w:hAnsi="Times New Roman" w:cs="Times New Roman"/>
                <w:b/>
                <w:bCs/>
                <w:sz w:val="24"/>
                <w:szCs w:val="24"/>
              </w:rPr>
            </w:pPr>
          </w:p>
          <w:p w14:paraId="733BC6C4" w14:textId="77777777" w:rsidR="00D542A1" w:rsidRPr="00D542A1" w:rsidRDefault="00D542A1" w:rsidP="00BE37E2">
            <w:pPr>
              <w:spacing w:after="0" w:line="240" w:lineRule="auto"/>
              <w:jc w:val="both"/>
              <w:rPr>
                <w:rFonts w:ascii="Times New Roman" w:hAnsi="Times New Roman" w:cs="Times New Roman"/>
                <w:b/>
                <w:bCs/>
                <w:sz w:val="24"/>
                <w:szCs w:val="24"/>
              </w:rPr>
            </w:pPr>
            <w:r w:rsidRPr="00D542A1">
              <w:rPr>
                <w:rFonts w:ascii="Times New Roman" w:hAnsi="Times New Roman" w:cs="Times New Roman"/>
                <w:b/>
                <w:bCs/>
                <w:sz w:val="24"/>
                <w:szCs w:val="24"/>
              </w:rPr>
              <w:t xml:space="preserve">Image </w:t>
            </w:r>
            <w:r w:rsidRPr="00D542A1">
              <w:rPr>
                <w:rFonts w:ascii="Times New Roman" w:hAnsi="Times New Roman" w:cs="Times New Roman"/>
                <w:b/>
                <w:bCs/>
                <w:sz w:val="24"/>
                <w:szCs w:val="24"/>
              </w:rPr>
              <w:fldChar w:fldCharType="begin"/>
            </w:r>
            <w:r w:rsidRPr="00D542A1">
              <w:rPr>
                <w:rFonts w:ascii="Times New Roman" w:hAnsi="Times New Roman" w:cs="Times New Roman"/>
                <w:b/>
                <w:bCs/>
                <w:sz w:val="24"/>
                <w:szCs w:val="24"/>
              </w:rPr>
              <w:instrText xml:space="preserve"> SEQ Figure \* ARABIC </w:instrText>
            </w:r>
            <w:r w:rsidRPr="00D542A1">
              <w:rPr>
                <w:rFonts w:ascii="Times New Roman" w:hAnsi="Times New Roman" w:cs="Times New Roman"/>
                <w:b/>
                <w:bCs/>
                <w:sz w:val="24"/>
                <w:szCs w:val="24"/>
              </w:rPr>
              <w:fldChar w:fldCharType="separate"/>
            </w:r>
            <w:r w:rsidRPr="00D542A1">
              <w:rPr>
                <w:rFonts w:ascii="Times New Roman" w:hAnsi="Times New Roman" w:cs="Times New Roman"/>
                <w:b/>
                <w:bCs/>
                <w:noProof/>
                <w:sz w:val="24"/>
                <w:szCs w:val="24"/>
              </w:rPr>
              <w:t>1</w:t>
            </w:r>
            <w:r w:rsidRPr="00D542A1">
              <w:rPr>
                <w:rFonts w:ascii="Times New Roman" w:hAnsi="Times New Roman" w:cs="Times New Roman"/>
                <w:b/>
                <w:bCs/>
                <w:sz w:val="24"/>
                <w:szCs w:val="24"/>
              </w:rPr>
              <w:fldChar w:fldCharType="end"/>
            </w:r>
            <w:r w:rsidRPr="00D542A1">
              <w:rPr>
                <w:rFonts w:ascii="Times New Roman" w:hAnsi="Times New Roman" w:cs="Times New Roman"/>
                <w:b/>
                <w:bCs/>
                <w:sz w:val="24"/>
                <w:szCs w:val="24"/>
              </w:rPr>
              <w:t>: Inside the Cargill Meat Packing plant, High River Alberta</w:t>
            </w:r>
          </w:p>
        </w:tc>
      </w:tr>
      <w:tr w:rsidR="00D542A1" w:rsidRPr="00D542A1" w14:paraId="61A25571" w14:textId="77777777" w:rsidTr="005D7832">
        <w:tc>
          <w:tcPr>
            <w:tcW w:w="9350" w:type="dxa"/>
          </w:tcPr>
          <w:p w14:paraId="191BFC14" w14:textId="77777777" w:rsidR="00D542A1" w:rsidRPr="00D542A1" w:rsidRDefault="00D542A1" w:rsidP="00BE37E2">
            <w:pPr>
              <w:spacing w:after="0" w:line="240" w:lineRule="auto"/>
              <w:jc w:val="both"/>
              <w:rPr>
                <w:rFonts w:ascii="Times New Roman" w:hAnsi="Times New Roman" w:cs="Times New Roman"/>
                <w:sz w:val="24"/>
                <w:szCs w:val="24"/>
              </w:rPr>
            </w:pPr>
            <w:r w:rsidRPr="00D542A1">
              <w:rPr>
                <w:rFonts w:ascii="Times New Roman" w:hAnsi="Times New Roman" w:cs="Times New Roman"/>
                <w:noProof/>
                <w:sz w:val="24"/>
                <w:szCs w:val="24"/>
                <w:lang w:val="en-US"/>
              </w:rPr>
              <w:drawing>
                <wp:anchor distT="0" distB="0" distL="114300" distR="114300" simplePos="0" relativeHeight="251661312" behindDoc="0" locked="0" layoutInCell="1" allowOverlap="1" wp14:anchorId="1F586FB5" wp14:editId="1EC23D16">
                  <wp:simplePos x="0" y="0"/>
                  <wp:positionH relativeFrom="margin">
                    <wp:posOffset>-5080</wp:posOffset>
                  </wp:positionH>
                  <wp:positionV relativeFrom="paragraph">
                    <wp:posOffset>55880</wp:posOffset>
                  </wp:positionV>
                  <wp:extent cx="5565775" cy="451485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565775" cy="4514850"/>
                          </a:xfrm>
                          <a:prstGeom prst="rect">
                            <a:avLst/>
                          </a:prstGeom>
                        </pic:spPr>
                      </pic:pic>
                    </a:graphicData>
                  </a:graphic>
                  <wp14:sizeRelH relativeFrom="margin">
                    <wp14:pctWidth>0</wp14:pctWidth>
                  </wp14:sizeRelH>
                  <wp14:sizeRelV relativeFrom="margin">
                    <wp14:pctHeight>0</wp14:pctHeight>
                  </wp14:sizeRelV>
                </wp:anchor>
              </w:drawing>
            </w:r>
          </w:p>
        </w:tc>
      </w:tr>
      <w:tr w:rsidR="00D542A1" w:rsidRPr="00D542A1" w14:paraId="51A36AEC" w14:textId="77777777" w:rsidTr="005D7832">
        <w:tc>
          <w:tcPr>
            <w:tcW w:w="9350" w:type="dxa"/>
          </w:tcPr>
          <w:p w14:paraId="2BB4C983" w14:textId="77777777" w:rsidR="00D542A1" w:rsidRPr="00D542A1" w:rsidRDefault="00D542A1" w:rsidP="00BE37E2">
            <w:pPr>
              <w:keepNext/>
              <w:spacing w:after="0" w:line="276" w:lineRule="auto"/>
              <w:jc w:val="both"/>
              <w:rPr>
                <w:rFonts w:ascii="Times New Roman" w:hAnsi="Times New Roman" w:cs="Times New Roman"/>
                <w:sz w:val="24"/>
                <w:szCs w:val="24"/>
              </w:rPr>
            </w:pPr>
            <w:r w:rsidRPr="00D542A1">
              <w:rPr>
                <w:rFonts w:ascii="Times New Roman" w:hAnsi="Times New Roman" w:cs="Times New Roman"/>
                <w:i/>
                <w:iCs/>
                <w:sz w:val="24"/>
                <w:szCs w:val="24"/>
              </w:rPr>
              <w:t xml:space="preserve">Source: CBC News, “Workers prepare beef to be packaged at the Cargill facility near High River, Alta. The plant is the site of what became the largest COVID-19 outbreak in North America” </w:t>
            </w:r>
            <w:r w:rsidRPr="00D542A1">
              <w:rPr>
                <w:rFonts w:ascii="Times New Roman" w:hAnsi="Times New Roman" w:cs="Times New Roman"/>
                <w:i/>
                <w:iCs/>
                <w:sz w:val="24"/>
                <w:szCs w:val="24"/>
              </w:rPr>
              <w:fldChar w:fldCharType="begin"/>
            </w:r>
            <w:r w:rsidRPr="00D542A1">
              <w:rPr>
                <w:rFonts w:ascii="Times New Roman" w:hAnsi="Times New Roman" w:cs="Times New Roman"/>
                <w:i/>
                <w:iCs/>
                <w:sz w:val="24"/>
                <w:szCs w:val="24"/>
              </w:rPr>
              <w:instrText xml:space="preserve"> ADDIN ZOTERO_ITEM CSL_CITATION {"citationID":"JcGiwwJt","properties":{"formattedCitation":"(Wherry, 2020)","plainCitation":"(Wherry, 2020)","noteIndex":0},"citationItems":[{"id":1178,"uris":["http://zotero.org/users/5481489/items/UJR8FNAL"],"uri":["http://zotero.org/users/5481489/items/UJR8FNAL"],"itemData":{"id":1178,"type":"webpage","abstract":"When the pandemic crisis ends, Canadians are going to have to reckon with the fact that the 'essential' workers who got them through it are some of the lowest-paid people among us.","container-title":"CBC","language":"en","title":"The wages of fear: The pandemic and the future of low-paid 'essential' work | CBC News","title-short":"The wages of fear","URL":"https://www.cbc.ca/news/politics/coronavirus-pandemic-covid-minimum-wage-essential-workers-1.5562318","author":[{"family":"Wherry","given":"Aaron"}],"accessed":{"date-parts":[["2021",3,31]]},"issued":{"date-parts":[["2020",5,10]]}}}],"schema":"https://github.com/citation-style-language/schema/raw/master/csl-citation.json"} </w:instrText>
            </w:r>
            <w:r w:rsidRPr="00D542A1">
              <w:rPr>
                <w:rFonts w:ascii="Times New Roman" w:hAnsi="Times New Roman" w:cs="Times New Roman"/>
                <w:i/>
                <w:iCs/>
                <w:sz w:val="24"/>
                <w:szCs w:val="24"/>
              </w:rPr>
              <w:fldChar w:fldCharType="separate"/>
            </w:r>
            <w:r w:rsidRPr="00D542A1">
              <w:rPr>
                <w:rFonts w:ascii="Times New Roman" w:hAnsi="Times New Roman" w:cs="Times New Roman"/>
                <w:i/>
                <w:iCs/>
                <w:sz w:val="24"/>
                <w:szCs w:val="24"/>
              </w:rPr>
              <w:t>(Wherry, 2020)</w:t>
            </w:r>
            <w:r w:rsidRPr="00D542A1">
              <w:rPr>
                <w:rFonts w:ascii="Times New Roman" w:hAnsi="Times New Roman" w:cs="Times New Roman"/>
                <w:i/>
                <w:iCs/>
                <w:sz w:val="24"/>
                <w:szCs w:val="24"/>
              </w:rPr>
              <w:fldChar w:fldCharType="end"/>
            </w:r>
            <w:r w:rsidRPr="00D542A1">
              <w:rPr>
                <w:rFonts w:ascii="Times New Roman" w:hAnsi="Times New Roman" w:cs="Times New Roman"/>
                <w:sz w:val="24"/>
                <w:szCs w:val="24"/>
              </w:rPr>
              <w:t xml:space="preserve">. </w:t>
            </w:r>
          </w:p>
        </w:tc>
      </w:tr>
      <w:bookmarkEnd w:id="47"/>
      <w:bookmarkEnd w:id="48"/>
    </w:tbl>
    <w:p w14:paraId="0549D2C1" w14:textId="77777777"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p>
    <w:p w14:paraId="7C26E29E" w14:textId="77777777" w:rsidR="00D542A1" w:rsidRPr="00D542A1" w:rsidRDefault="00D542A1" w:rsidP="00BE37E2">
      <w:pPr>
        <w:jc w:val="both"/>
      </w:pPr>
      <w:r w:rsidRPr="00D542A1">
        <w:rPr>
          <w:i/>
          <w:iCs/>
        </w:rPr>
        <w:br w:type="page"/>
      </w:r>
    </w:p>
    <w:tbl>
      <w:tblPr>
        <w:tblW w:w="0" w:type="auto"/>
        <w:tblLook w:val="04A0" w:firstRow="1" w:lastRow="0" w:firstColumn="1" w:lastColumn="0" w:noHBand="0" w:noVBand="1"/>
      </w:tblPr>
      <w:tblGrid>
        <w:gridCol w:w="9350"/>
      </w:tblGrid>
      <w:tr w:rsidR="00D542A1" w:rsidRPr="00D542A1" w14:paraId="122C80A4" w14:textId="77777777" w:rsidTr="005D7832">
        <w:tc>
          <w:tcPr>
            <w:tcW w:w="9350" w:type="dxa"/>
          </w:tcPr>
          <w:p w14:paraId="7AD0C38D" w14:textId="77777777" w:rsidR="00D542A1" w:rsidRPr="00D542A1" w:rsidRDefault="00D542A1" w:rsidP="00BE37E2">
            <w:pPr>
              <w:spacing w:after="0" w:line="240" w:lineRule="auto"/>
              <w:jc w:val="both"/>
            </w:pPr>
            <w:r w:rsidRPr="00D542A1">
              <w:rPr>
                <w:rFonts w:ascii="Times New Roman" w:hAnsi="Times New Roman" w:cs="Times New Roman"/>
                <w:b/>
                <w:bCs/>
                <w:sz w:val="24"/>
                <w:szCs w:val="24"/>
              </w:rPr>
              <w:lastRenderedPageBreak/>
              <w:t xml:space="preserve">Image </w:t>
            </w:r>
            <w:r w:rsidRPr="00D542A1">
              <w:rPr>
                <w:rFonts w:ascii="Times New Roman" w:hAnsi="Times New Roman" w:cs="Times New Roman"/>
                <w:b/>
                <w:bCs/>
                <w:sz w:val="24"/>
                <w:szCs w:val="24"/>
              </w:rPr>
              <w:fldChar w:fldCharType="begin"/>
            </w:r>
            <w:r w:rsidRPr="00D542A1">
              <w:rPr>
                <w:rFonts w:ascii="Times New Roman" w:hAnsi="Times New Roman" w:cs="Times New Roman"/>
                <w:b/>
                <w:bCs/>
                <w:sz w:val="24"/>
                <w:szCs w:val="24"/>
              </w:rPr>
              <w:instrText xml:space="preserve"> SEQ Figure \* ARABIC </w:instrText>
            </w:r>
            <w:r w:rsidRPr="00D542A1">
              <w:rPr>
                <w:rFonts w:ascii="Times New Roman" w:hAnsi="Times New Roman" w:cs="Times New Roman"/>
                <w:b/>
                <w:bCs/>
                <w:sz w:val="24"/>
                <w:szCs w:val="24"/>
              </w:rPr>
              <w:fldChar w:fldCharType="separate"/>
            </w:r>
            <w:r w:rsidRPr="00D542A1">
              <w:rPr>
                <w:rFonts w:ascii="Times New Roman" w:hAnsi="Times New Roman" w:cs="Times New Roman"/>
                <w:b/>
                <w:bCs/>
                <w:iCs/>
                <w:noProof/>
                <w:sz w:val="24"/>
                <w:szCs w:val="24"/>
              </w:rPr>
              <w:t>2</w:t>
            </w:r>
            <w:r w:rsidRPr="00D542A1">
              <w:rPr>
                <w:rFonts w:ascii="Times New Roman" w:hAnsi="Times New Roman" w:cs="Times New Roman"/>
                <w:b/>
                <w:bCs/>
                <w:sz w:val="24"/>
                <w:szCs w:val="24"/>
              </w:rPr>
              <w:fldChar w:fldCharType="end"/>
            </w:r>
            <w:r w:rsidRPr="00D542A1">
              <w:rPr>
                <w:rFonts w:ascii="Times New Roman" w:hAnsi="Times New Roman" w:cs="Times New Roman"/>
                <w:b/>
                <w:bCs/>
                <w:sz w:val="24"/>
                <w:szCs w:val="24"/>
              </w:rPr>
              <w:t>: High River Meat Packing plant Cargill</w:t>
            </w:r>
          </w:p>
          <w:p w14:paraId="35EAF7AD" w14:textId="77777777" w:rsidR="00D542A1" w:rsidRPr="00D542A1" w:rsidRDefault="00D542A1" w:rsidP="00BE37E2">
            <w:pPr>
              <w:spacing w:after="0" w:line="240" w:lineRule="auto"/>
              <w:jc w:val="both"/>
              <w:rPr>
                <w:rFonts w:ascii="Times New Roman" w:hAnsi="Times New Roman" w:cs="Times New Roman"/>
                <w:iCs/>
                <w:color w:val="44546A" w:themeColor="text2"/>
                <w:sz w:val="24"/>
                <w:szCs w:val="24"/>
              </w:rPr>
            </w:pPr>
          </w:p>
        </w:tc>
      </w:tr>
      <w:tr w:rsidR="00D542A1" w:rsidRPr="00D542A1" w14:paraId="20FB8598" w14:textId="77777777" w:rsidTr="005D7832">
        <w:tc>
          <w:tcPr>
            <w:tcW w:w="9350" w:type="dxa"/>
          </w:tcPr>
          <w:p w14:paraId="504FD06B" w14:textId="77777777" w:rsidR="00D542A1" w:rsidRPr="00D542A1" w:rsidRDefault="00D542A1" w:rsidP="00BE37E2">
            <w:pPr>
              <w:spacing w:after="0" w:line="240" w:lineRule="auto"/>
              <w:jc w:val="both"/>
              <w:rPr>
                <w:rFonts w:ascii="Times New Roman" w:hAnsi="Times New Roman" w:cs="Times New Roman"/>
                <w:iCs/>
                <w:color w:val="44546A" w:themeColor="text2"/>
                <w:sz w:val="24"/>
                <w:szCs w:val="24"/>
              </w:rPr>
            </w:pPr>
            <w:r w:rsidRPr="00D542A1">
              <w:rPr>
                <w:rFonts w:ascii="Times New Roman" w:hAnsi="Times New Roman" w:cs="Times New Roman"/>
                <w:iCs/>
                <w:noProof/>
                <w:color w:val="44546A" w:themeColor="text2"/>
                <w:sz w:val="24"/>
                <w:szCs w:val="24"/>
                <w:lang w:val="en-US"/>
              </w:rPr>
              <w:drawing>
                <wp:inline distT="0" distB="0" distL="0" distR="0" wp14:anchorId="1CAE2FAA" wp14:editId="616748D9">
                  <wp:extent cx="5149850" cy="4639733"/>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53122" cy="4642681"/>
                          </a:xfrm>
                          <a:prstGeom prst="rect">
                            <a:avLst/>
                          </a:prstGeom>
                          <a:noFill/>
                        </pic:spPr>
                      </pic:pic>
                    </a:graphicData>
                  </a:graphic>
                </wp:inline>
              </w:drawing>
            </w:r>
          </w:p>
        </w:tc>
      </w:tr>
      <w:tr w:rsidR="00D542A1" w:rsidRPr="00D542A1" w14:paraId="100C3839" w14:textId="77777777" w:rsidTr="005D7832">
        <w:tc>
          <w:tcPr>
            <w:tcW w:w="9350" w:type="dxa"/>
          </w:tcPr>
          <w:p w14:paraId="6C40E132" w14:textId="77777777" w:rsidR="00D542A1" w:rsidRPr="00D542A1" w:rsidRDefault="00D542A1" w:rsidP="00BE37E2">
            <w:pPr>
              <w:keepNext/>
              <w:spacing w:after="0" w:line="240" w:lineRule="auto"/>
              <w:jc w:val="both"/>
              <w:rPr>
                <w:rFonts w:ascii="Times New Roman" w:hAnsi="Times New Roman" w:cs="Times New Roman"/>
                <w:b/>
                <w:bCs/>
                <w:sz w:val="24"/>
                <w:szCs w:val="24"/>
              </w:rPr>
            </w:pPr>
            <w:r w:rsidRPr="00D542A1">
              <w:rPr>
                <w:rFonts w:ascii="Times New Roman" w:hAnsi="Times New Roman" w:cs="Times New Roman"/>
                <w:iCs/>
                <w:sz w:val="24"/>
                <w:szCs w:val="24"/>
              </w:rPr>
              <w:t xml:space="preserve">Source: The Tyee News : Inside Cargill’s High River meat-packing plant before the COVID-19 pandemic. </w:t>
            </w:r>
            <w:r w:rsidRPr="00D542A1">
              <w:rPr>
                <w:rFonts w:ascii="Times New Roman" w:hAnsi="Times New Roman" w:cs="Times New Roman"/>
                <w:iCs/>
                <w:sz w:val="24"/>
                <w:szCs w:val="24"/>
              </w:rPr>
              <w:fldChar w:fldCharType="begin"/>
            </w:r>
            <w:r w:rsidRPr="00D542A1">
              <w:rPr>
                <w:rFonts w:ascii="Times New Roman" w:hAnsi="Times New Roman" w:cs="Times New Roman"/>
                <w:iCs/>
                <w:sz w:val="24"/>
                <w:szCs w:val="24"/>
              </w:rPr>
              <w:instrText xml:space="preserve"> ADDIN ZOTERO_ITEM CSL_CITATION {"citationID":"hA39raVZ","properties":{"formattedCitation":"(Nikiforuk, 2020)","plainCitation":"(Nikiforuk, 2020)","noteIndex":0},"citationItems":[{"id":1083,"uris":["http://zotero.org/users/5481489/items/TPY28ZBA"],"uri":["http://zotero.org/users/5481489/items/TPY28ZBA"],"itemData":{"id":1083,"type":"webpage","abstract":"As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schema":"https://github.com/citation-style-language/schema/raw/master/csl-citation.json"} </w:instrText>
            </w:r>
            <w:r w:rsidRPr="00D542A1">
              <w:rPr>
                <w:rFonts w:ascii="Times New Roman" w:hAnsi="Times New Roman" w:cs="Times New Roman"/>
                <w:iCs/>
                <w:sz w:val="24"/>
                <w:szCs w:val="24"/>
              </w:rPr>
              <w:fldChar w:fldCharType="separate"/>
            </w:r>
            <w:r w:rsidRPr="00D542A1">
              <w:rPr>
                <w:rFonts w:ascii="Times New Roman" w:hAnsi="Times New Roman" w:cs="Times New Roman"/>
                <w:sz w:val="24"/>
              </w:rPr>
              <w:t>(Nikiforuk, 2020)</w:t>
            </w:r>
            <w:r w:rsidRPr="00D542A1">
              <w:rPr>
                <w:rFonts w:ascii="Times New Roman" w:hAnsi="Times New Roman" w:cs="Times New Roman"/>
                <w:iCs/>
                <w:sz w:val="24"/>
                <w:szCs w:val="24"/>
              </w:rPr>
              <w:fldChar w:fldCharType="end"/>
            </w:r>
          </w:p>
        </w:tc>
      </w:tr>
    </w:tbl>
    <w:p w14:paraId="3FD59C54" w14:textId="77777777"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p>
    <w:p w14:paraId="00DB1025"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ab/>
        <w:t xml:space="preserve">Because of the nature of their work visas, majority of workers in the plant are confined to a specific employer to remain in Canada, which means that migrants end up putting up with poor working condition that exposes them to health risk. Sylvain Charlebois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{"citationID":"a8KeYW6U","properties":{"formattedCitation":"(Frangou, 2020a)","plainCitation":"(Frangou, 2020a)","noteIndex":0},"citationItems":[{"id":834,"uris":["http://zotero.org/users/5481489/items/XT8WZ8TU"],"uri":["http://zotero.org/users/5481489/items/XT8WZ8TU"],"itemData":{"id":834,"type":"webpage","abstract":"Explore millions of resources from scholarly journals, books, newspapers, videos and more, on the ProQuest Platform.","language":"en","title":"Lives on the line: As Cargill employees return to the site of Canada’s largest COVID-19 outbreak, fear lingers still - ProQuest","title-short":"Lives on the line","URL":"https://search-proquest-com.proxy.bib.uottawa.ca/docview/2401926777/E0A56D1DD6154ACDPQ/8?accountid=14701","author":[{"family":"Frangou","given":"Christina"}],"accessed":{"date-parts":[["2021",2,13]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(Frangou,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scientific director of the Agri-food Analytics Lab at Dalhousie University, stated that the “safety protocols for the plant were not designed to reduce infection risk during a pandemic. The chief safety considerations in a meat processing plant are food safety and the safety of workers from injury. Physical distancing isn’t something they were thinking about,”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{"citationID":"b9puIJ6B","properties":{"formattedCitation":"(Dryden, 2020b; Frangou, 2020a, p. 2)","plainCitation":"(Dryden, 2020b; Frangou, 2020a, p. 2)","noteIndex":0},"citationItems":[{"id":1113,"uris":["http://zotero.org/users/5481489/items/W54HYEKY"],"uri":["http://zotero.org/users/5481489/items/W54HYEKY"],"itemData":{"id":1113,"type":"webpage","abstract":"How did numbers connected to the Cargill meat plant outbreak increase so drastically over a period of days? That's the obvious question posed after Dr. Deena Hinshaw, Alberta's chief medical officer of health, announced new numbers Friday.","container-title":"CBC","language":"en","title":"What led to Alberta's biggest outbreak? Cargill meat plant's hundreds of COVID-19 cases | CBC News","title-short":"What led to Alberta's biggest outbreak?","URL":"https://www.cbc.ca/news/canada/calgary/cargill-alberta-covid-19-deena-hinshaw-1.5537377","author":[{"family":"Dryden","given":"Joel"}],"accessed":{"date-parts":[["2021",3,23]]},"issued":{"date-parts":[["2020"]]}}},{"id":834,"uris":["http://zotero.org/users/5481489/items/XT8WZ8TU"],"uri":["http://zotero.org/users/5481489/items/XT8WZ8TU"],"itemData":{"id":834,"type":"webpage","abstract":"Explore millions of resources from scholarly journals, books, newspapers, videos and more, on the ProQuest Platform.","language":"en","title":"Lives on the line: As Cargill employees return to the site of Canada’s largest COVID-19 outbreak, fear lingers still - ProQuest","title-short":"Lives on the line","URL":"https://search-proquest-com.proxy.bib.uottawa.ca/docview/2401926777/E0A56D1DD6154ACDPQ/8?accountid=14701","author":[{"family":"Frangou","given":"Christina"}],"accessed":{"date-parts":[["2021",2,13]]},"issued":{"date-parts":[["2020"]]}},"locator":"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xml:space="preserve">(Dryden, 2020b; Frangou, 2020a, </w:t>
      </w:r>
      <w:r w:rsidRPr="00D542A1">
        <w:rPr>
          <w:rFonts w:ascii="Times New Roman" w:hAnsi="Times New Roman" w:cs="Times New Roman"/>
          <w:sz w:val="24"/>
          <w:szCs w:val="24"/>
        </w:rPr>
        <w:lastRenderedPageBreak/>
        <w:t>p. 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correlates with the general feedback from both union leaders and the workers. According to Frangou (2020b) migrants are powerless to change their working conditions because their work visas were tied to one employer. Without the option of changing employment inside Canada, they are regularly threatened with deportation for complaining about their plight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{"citationID":"SW1thIrA","properties":{"formattedCitation":"(K. Harris, 2020a; Noticias Financieras News, 2020)","plainCitation":"(K. Harris, 2020a; Noticias Financieras News, 2020)","dontUpdate":true,"noteIndex":0},"citationItems":[{"id":956,"uris":["http://zotero.org/users/5481489/items/3DZ54PT2"],"uri":["http://zotero.org/users/5481489/items/3DZ54PT2"],"itemData":{"id":956,"type":"webpage","abstract":"Migrant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id":1188,"uris":["http://zotero.org/users/5481489/items/WC79KKTA"],"uri":["http://zotero.org/users/5481489/items/WC79KKTA"],"itemData":{"id":1188,"type":"article-newspaper","abstract":"Toronto, Canada, 19 Aug (EFE News).- The dismissal of Mexican tempist Luis Gabriel Flores, who is hidden for fear of being expelled from Canada after denouncing the working and health conditions in the country's day laborers, reveals a system that favors retaliation and coercion. Negotiations to arrange an interview with Flores are lengthy: people who provide shelter in southern Canada fear that any detail will reveal where he is and that The Canadian immigration authorities will proceed with the worker's fulminant expulsion.","container-title":"CE NoticiasFinancieras","language":"English","note":"publisher: Content Engine LLC","section":"CE Noticias Financieras English","source":"Factiva","title":"Mexican temporary dismissal reveals reprisals and coercion in Canada","URL":"http://global.factiva.com/redir/default.aspx?P=sa&amp;an=NFINCE0020200820eg8j002br&amp;cat=a&amp;ep=ASE","author":[{"family":"Noticias Financieras News","given":""}],"accessed":{"date-parts":[["2021",4,1]]},"issued":{"date-parts":[["2020",8,19]]}}}],"schema":"https://github.com/citation-style-language/schema/raw/master/csl-citation.json"}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Harris, 2020a; Noticias Financieras News,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6F0715CF"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 Given these constraints they also risked losing their jobs and being repatriated or blacklisted with other employers if they fell sick. This meant that workers were reporting to work regardless of their health symptoms and status because of the fear of loosing their job, repatriation, and blacklisting. Dr Annalee Coakley, the medical director at Calgary’s Mosaic Refugee Health Clinic, reiterated that migrants work despite being sick for fear of losing their jobs based on his interaction with the migrants’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{"citationID":"qv5JxRjl","properties":{"formattedCitation":"(Frangou, 2020b)","plainCitation":"(Frangou, 2020b)","noteIndex":0},"citationItems":[{"id":835,"uris":["http://zotero.org/users/5481489/items/XR6I9JWM"],"uri":["http://zotero.org/users/5481489/items/XR6I9JWM"],"itemData":{"id":835,"type":"article-magazine","abstract":"In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(Frangou,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Syed </w:t>
      </w:r>
      <w:proofErr w:type="spellStart"/>
      <w:r w:rsidRPr="00D542A1">
        <w:rPr>
          <w:rFonts w:ascii="Times New Roman" w:hAnsi="Times New Roman" w:cs="Times New Roman"/>
          <w:sz w:val="24"/>
          <w:szCs w:val="24"/>
        </w:rPr>
        <w:t>Hussan</w:t>
      </w:r>
      <w:proofErr w:type="spellEnd"/>
      <w:r w:rsidRPr="00D542A1">
        <w:rPr>
          <w:rFonts w:ascii="Times New Roman" w:hAnsi="Times New Roman" w:cs="Times New Roman"/>
          <w:sz w:val="24"/>
          <w:szCs w:val="24"/>
        </w:rPr>
        <w:t>,</w:t>
      </w:r>
      <w:r w:rsidRPr="00D542A1">
        <w:t xml:space="preserve"> </w:t>
      </w:r>
      <w:r w:rsidRPr="00D542A1">
        <w:rPr>
          <w:rFonts w:ascii="Times New Roman" w:hAnsi="Times New Roman" w:cs="Times New Roman"/>
          <w:sz w:val="24"/>
          <w:szCs w:val="24"/>
        </w:rPr>
        <w:t xml:space="preserve">the executive director of the Migrant Workers Alliance for Change, in an interview with CBC also alluded to immigrant status as a reason the working conditions in the plant are deplorable and worst still, workers are powerless to change things. He stated, </w:t>
      </w:r>
    </w:p>
    <w:p w14:paraId="7DDC9325" w14:textId="77777777" w:rsidR="00D542A1" w:rsidRPr="00D542A1" w:rsidRDefault="00D542A1" w:rsidP="00BE37E2">
      <w:pPr>
        <w:spacing w:line="240" w:lineRule="auto"/>
        <w:ind w:left="567" w:right="1422"/>
        <w:jc w:val="both"/>
        <w:rPr>
          <w:rFonts w:ascii="Times New Roman" w:hAnsi="Times New Roman" w:cs="Times New Roman"/>
          <w:sz w:val="24"/>
          <w:szCs w:val="24"/>
        </w:rPr>
      </w:pPr>
      <w:r w:rsidRPr="00D542A1">
        <w:rPr>
          <w:rFonts w:ascii="Times New Roman" w:hAnsi="Times New Roman" w:cs="Times New Roman"/>
          <w:sz w:val="24"/>
          <w:szCs w:val="24"/>
        </w:rPr>
        <w:t xml:space="preserve">If you leave a job right now, or you refuse unsafe work, you face termination, homelessness, deportation and you can't come back in the future. Permanent residence status takes away those limitations on you so you can keep yourself safe,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{"citationID":"zs1gk1Y0","properties":{"formattedCitation":"(K. Harris, 2020, p. 1)","plainCitation":"(K. Harris, 2020, p. 1)","dontUpdate":true,"noteIndex":0},"citationItems":[{"id":956,"uris":["http://zotero.org/users/5481489/items/3DZ54PT2"],"uri":["http://zotero.org/users/5481489/items/3DZ54PT2"],"itemData":{"id":956,"type":"webpage","abstract":"Migrant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1205DBDE" w14:textId="77777777" w:rsidR="00D542A1" w:rsidRPr="00D542A1" w:rsidRDefault="00D542A1" w:rsidP="00BE37E2">
      <w:pPr>
        <w:spacing w:line="240" w:lineRule="auto"/>
        <w:ind w:left="567" w:right="1422"/>
        <w:jc w:val="both"/>
        <w:rPr>
          <w:rFonts w:ascii="Times New Roman" w:hAnsi="Times New Roman" w:cs="Times New Roman"/>
          <w:sz w:val="24"/>
          <w:szCs w:val="24"/>
        </w:rPr>
      </w:pPr>
    </w:p>
    <w:p w14:paraId="05D09D02" w14:textId="6619A33E"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Ces</w:t>
      </w:r>
      <w:r w:rsidR="004213CC">
        <w:rPr>
          <w:rFonts w:ascii="Times New Roman" w:hAnsi="Times New Roman" w:cs="Times New Roman"/>
          <w:sz w:val="24"/>
          <w:szCs w:val="24"/>
        </w:rPr>
        <w:t>a</w:t>
      </w:r>
      <w:r w:rsidRPr="00D542A1">
        <w:rPr>
          <w:rFonts w:ascii="Times New Roman" w:hAnsi="Times New Roman" w:cs="Times New Roman"/>
          <w:sz w:val="24"/>
          <w:szCs w:val="24"/>
        </w:rPr>
        <w:t xml:space="preserve">r Cala of the Philippines Emergency Response Taskforce on the COVID-19 outbreak at the Cargill plant, shared the same sentiment that the workers were treated poorly by their employers because of their immigration status given that their stay/work permit are linked directly to specific employer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{"citationID":"XYJctglH","properties":{"formattedCitation":"(Dryden, 2020a; Perry, 2018)","plainCitation":"(Dryden, 2020a; Perry, 2018)","noteIndex":0},"citationItems":[{"id":1172,"uris":["http://zotero.org/users/5481489/items/DUH8N5EV"],"uri":["http://zotero.org/users/5481489/items/DUH8N5EV"],"itemData":{"id":1172,"type":"webpage","abstract":"The COVID-19 outbreak at the Cargill meat plant in High River, Alta., is the largest linked to a single site in Canada, and the predominately Filipino employees at the plant say they're being unfairly blamed for the outbreak, which is up to 558 cases in workers and 798 cases overall.","container-title":"CBC","language":"en","title":"Filipino workers at meatpacking plant feel unfairly blamed for Canada's biggest COVID-19 outbreak | CBC News","URL":"https://www.cbc.ca/news/canada/calgary/cargill-high-river-jbs-brooks-deena-hinshaw-1.5545113","author":[{"family":"Dryden","given":"Joel"}],"accessed":{"date-parts":[["2021",3,30]]},"issued":{"date-parts":[["2020"]]}}},{"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2020a;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uncertain condition affects migrant mental health acting as </w:t>
      </w:r>
      <w:r w:rsidR="00BB478C">
        <w:rPr>
          <w:rFonts w:ascii="Times New Roman" w:hAnsi="Times New Roman" w:cs="Times New Roman"/>
          <w:sz w:val="24"/>
          <w:szCs w:val="24"/>
        </w:rPr>
        <w:t xml:space="preserve">an </w:t>
      </w:r>
      <w:r w:rsidRPr="00D542A1">
        <w:rPr>
          <w:rFonts w:ascii="Times New Roman" w:hAnsi="Times New Roman" w:cs="Times New Roman"/>
          <w:sz w:val="24"/>
          <w:szCs w:val="24"/>
        </w:rPr>
        <w:t xml:space="preserve">additional stressor to their already complicated life. </w:t>
      </w:r>
    </w:p>
    <w:p w14:paraId="2F240289"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49" w:name="_Toc72494767"/>
      <w:r w:rsidRPr="00D542A1">
        <w:rPr>
          <w:rFonts w:ascii="Times New Roman" w:eastAsiaTheme="majorEastAsia" w:hAnsi="Times New Roman" w:cs="Times New Roman"/>
          <w:color w:val="2F5496" w:themeColor="accent1" w:themeShade="BF"/>
          <w:sz w:val="24"/>
          <w:szCs w:val="24"/>
        </w:rPr>
        <w:lastRenderedPageBreak/>
        <w:t>The Pandemic Strikes</w:t>
      </w:r>
      <w:bookmarkEnd w:id="49"/>
    </w:p>
    <w:p w14:paraId="13820D13" w14:textId="77777777" w:rsidR="00D542A1" w:rsidRPr="00D542A1" w:rsidRDefault="00D542A1" w:rsidP="00BE37E2">
      <w:pPr>
        <w:jc w:val="both"/>
        <w:rPr>
          <w:rFonts w:ascii="Times New Roman" w:hAnsi="Times New Roman" w:cs="Times New Roman"/>
          <w:sz w:val="24"/>
          <w:szCs w:val="24"/>
        </w:rPr>
      </w:pPr>
    </w:p>
    <w:p w14:paraId="7F3C5A6E"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As shown in Table 3 below, the first case of COVID-19 was confirmed at Cargill’s meat-packing plant near High River, Alta, on April 6, 2020, followed closely by two more confirmed cases on April 8</w:t>
      </w:r>
      <w:r w:rsidRPr="00D542A1">
        <w:rPr>
          <w:rFonts w:ascii="Times New Roman" w:hAnsi="Times New Roman" w:cs="Times New Roman"/>
          <w:sz w:val="24"/>
          <w:szCs w:val="24"/>
          <w:vertAlign w:val="superscript"/>
        </w:rPr>
        <w:t>th</w:t>
      </w:r>
      <w:r w:rsidRPr="00D542A1">
        <w:rPr>
          <w:rFonts w:ascii="Times New Roman" w:hAnsi="Times New Roman" w:cs="Times New Roman"/>
          <w:sz w:val="24"/>
          <w:szCs w:val="24"/>
        </w:rPr>
        <w:t>, 2020. By April 13</w:t>
      </w:r>
      <w:r w:rsidRPr="00D542A1">
        <w:rPr>
          <w:rFonts w:ascii="Times New Roman" w:hAnsi="Times New Roman" w:cs="Times New Roman"/>
          <w:sz w:val="24"/>
          <w:szCs w:val="24"/>
          <w:vertAlign w:val="superscript"/>
        </w:rPr>
        <w:t>th</w:t>
      </w:r>
      <w:r w:rsidRPr="00D542A1">
        <w:rPr>
          <w:rFonts w:ascii="Times New Roman" w:hAnsi="Times New Roman" w:cs="Times New Roman"/>
          <w:sz w:val="24"/>
          <w:szCs w:val="24"/>
        </w:rPr>
        <w:t>, 38 more cases were recorded by the union, and within a few more days, by April 16</w:t>
      </w:r>
      <w:r w:rsidRPr="00D542A1">
        <w:rPr>
          <w:rFonts w:ascii="Times New Roman" w:hAnsi="Times New Roman" w:cs="Times New Roman"/>
          <w:sz w:val="24"/>
          <w:szCs w:val="24"/>
          <w:vertAlign w:val="superscript"/>
        </w:rPr>
        <w:t>th</w:t>
      </w:r>
      <w:r w:rsidRPr="00D542A1">
        <w:rPr>
          <w:rFonts w:ascii="Times New Roman" w:hAnsi="Times New Roman" w:cs="Times New Roman"/>
          <w:sz w:val="24"/>
          <w:szCs w:val="24"/>
        </w:rPr>
        <w:t>, 2020, more than 250 more cases were confirmed. The union demanded a two-week shutdown of the facilities on April 12, 2020, but their call was ignored. In its place, inspectors from the Alberta Health Services conducted virtual inspection of the facility on April 12</w:t>
      </w:r>
      <w:r w:rsidRPr="00D542A1">
        <w:rPr>
          <w:rFonts w:ascii="Times New Roman" w:hAnsi="Times New Roman" w:cs="Times New Roman"/>
          <w:sz w:val="24"/>
          <w:szCs w:val="24"/>
          <w:vertAlign w:val="superscript"/>
        </w:rPr>
        <w:t>th</w:t>
      </w:r>
      <w:r w:rsidRPr="00D542A1">
        <w:rPr>
          <w:rFonts w:ascii="Times New Roman" w:hAnsi="Times New Roman" w:cs="Times New Roman"/>
          <w:sz w:val="24"/>
          <w:szCs w:val="24"/>
        </w:rPr>
        <w:t xml:space="preserve">, 2020, with the judgment that “it will not release specifics about cases at Cargill, because it says it will only announce cases where there is a risk to the public”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{"citationID":"KnAvlsLL","properties":{"formattedCitation":"(Dryden &amp; Rieger, 2021)","plainCitation":"(Dryden &amp; Rieger, 2021)","noteIndex":0},"citationItems":[{"id":1162,"uris":["http://zotero.org/users/5481489/items/L86Y7YR4"],"uri":["http://zotero.org/users/5481489/items/L86Y7YR4"],"itemData":{"id":1162,"type":"webpage","abstract":"The site of the largest COVID-19 outbreak in Canada is now facing a new spate of cases. Alberta Health Services confirmed there are 11 cases linked to the Cargill meat-processing plant near High River, Alta., as of Saturday. Of those, seven cases are active.","container-title":"CBC","language":"en","title":"New COVID-19 outbreak declared at Cargill meat plant in Alberta — site of Canada's largest outbreak | CBC News","URL":"https://www.cbc.ca/news/canada/calgary/cargill-high-river-outbreak-1.5904444","author":[{"family":"Dryden","given":"Joel"},{"family":"Rieger","given":"Sarah"}],"accessed":{"date-parts":[["2021",3,28]]},"issued":{"date-parts":[["2021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&amp; Rieger,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statement suggests that the government official placed little value on the health of migrant workers themselves.  Both the company and government officials were reluctant to shut down the facility and both continued to downplay the evolving pandemic that had begun to overrun the plant, doing little to provide the safe environment the workers needed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{"citationID":"aBbSPgoQ","properties":{"formattedCitation":"(Ramos et al., 2020b)","plainCitation":"(Ramos et al., 2020b)","noteIndex":0},"citationItems":[{"id":1121,"uris":["http://zotero.org/users/5481489/items/D5JKCWND"],"uri":["http://zotero.org/users/5481489/items/D5JKCWND"],"itemData":{"id":1121,"type":"article-journal","abstract":"From the farms to the packing plants, essential workers in critical food production industries keep food on our tables while risking their and their families’ health and well-being to bring home a paycheck. They work in essential industries but are often invisible. The disparities illuminated by COVID-19 are not new. Instead, they are the result of years of inequities built into practices, policies, and systems that reinforce societal power structures. As a society, we are now at an antagonizing moment where we can change our collective trajectory to focus forward and promote equity and justice for workers in agriculture and food-related industries. To that end, we describe our experience and approach in addressing COVID-19 outbreaks in meat processing facilities, which included three pillars of action based on public health ethics and international human rights: (1) worksite prevention and control, (2) community-based prevention and control, and (3) treatment. Our approach can be translated to promote the health, safety, and well-being of the broader agricultural workforce.","container-title":"Journal of Agromedicine","DOI":"10.1080/1059924X.2020.1814925","ISSN":"1059-924X, 1545-0813","issue":"4","journalAbbreviation":"Journal of Agromedicine","language":"en","page":"378-382","source":"DOI.org (Crossref)","title":"Invisible No More: The Impact of COVID-19 on Essential Food Production Workers","title-short":"Invisible No More","volume":"25","author":[{"family":"Ramos","given":"Athena K."},{"family":"Lowe","given":"Abigail E."},{"family":"Herstein","given":"Jocelyn J."},{"family":"Schwedhelm","given":"Shelly"},{"family":"Dineen","given":"Kelly K."},{"family":"Lowe","given":"John J."}],"issued":{"date-parts":[["2020",10,1]]}}}],"schema":"https://github.com/citation-style-language/schema/raw/master/csl-citation.json"}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(Ramos et al.,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As a result, on April 19</w:t>
      </w:r>
      <w:r w:rsidRPr="00D542A1">
        <w:rPr>
          <w:rFonts w:ascii="Times New Roman" w:hAnsi="Times New Roman" w:cs="Times New Roman"/>
          <w:sz w:val="24"/>
          <w:szCs w:val="24"/>
          <w:vertAlign w:val="superscript"/>
        </w:rPr>
        <w:t>th</w:t>
      </w:r>
      <w:r w:rsidRPr="00D542A1">
        <w:rPr>
          <w:rFonts w:ascii="Times New Roman" w:hAnsi="Times New Roman" w:cs="Times New Roman"/>
          <w:sz w:val="24"/>
          <w:szCs w:val="24"/>
        </w:rPr>
        <w:t xml:space="preserve">, 2020, COVID-19 claimed </w:t>
      </w:r>
      <w:proofErr w:type="spellStart"/>
      <w:r w:rsidRPr="00D542A1">
        <w:rPr>
          <w:rFonts w:ascii="Times New Roman" w:hAnsi="Times New Roman" w:cs="Times New Roman"/>
          <w:sz w:val="24"/>
          <w:szCs w:val="24"/>
        </w:rPr>
        <w:t>Hiep</w:t>
      </w:r>
      <w:proofErr w:type="spellEnd"/>
      <w:r w:rsidRPr="00D542A1">
        <w:rPr>
          <w:rFonts w:ascii="Times New Roman" w:hAnsi="Times New Roman" w:cs="Times New Roman"/>
          <w:sz w:val="24"/>
          <w:szCs w:val="24"/>
        </w:rPr>
        <w:t xml:space="preserve"> Bui as its first casualty. </w:t>
      </w:r>
    </w:p>
    <w:p w14:paraId="49662792" w14:textId="77777777" w:rsidR="00D542A1" w:rsidRPr="00D542A1" w:rsidRDefault="00D542A1" w:rsidP="00BE37E2">
      <w:pPr>
        <w:jc w:val="both"/>
        <w:rPr>
          <w:rFonts w:ascii="Times New Roman" w:hAnsi="Times New Roman" w:cs="Times New Roman"/>
          <w:i/>
          <w:iCs/>
          <w:color w:val="44546A" w:themeColor="text2"/>
          <w:sz w:val="24"/>
          <w:szCs w:val="24"/>
        </w:rPr>
      </w:pPr>
      <w:r w:rsidRPr="00D542A1">
        <w:rPr>
          <w:rFonts w:ascii="Times New Roman" w:hAnsi="Times New Roman" w:cs="Times New Roman"/>
          <w:sz w:val="24"/>
          <w:szCs w:val="24"/>
        </w:rPr>
        <w:br w:type="page"/>
      </w:r>
    </w:p>
    <w:p w14:paraId="6F08DE62" w14:textId="77777777" w:rsidR="00D542A1" w:rsidRPr="00D542A1" w:rsidRDefault="00D542A1" w:rsidP="00BE37E2">
      <w:pPr>
        <w:spacing w:after="200" w:line="240" w:lineRule="auto"/>
        <w:jc w:val="both"/>
        <w:rPr>
          <w:rFonts w:ascii="Times New Roman" w:hAnsi="Times New Roman" w:cs="Times New Roman"/>
          <w:b/>
          <w:bCs/>
          <w:color w:val="44546A" w:themeColor="text2"/>
          <w:sz w:val="24"/>
          <w:szCs w:val="24"/>
        </w:rPr>
      </w:pPr>
      <w:r w:rsidRPr="00D542A1">
        <w:rPr>
          <w:rFonts w:ascii="Times New Roman" w:hAnsi="Times New Roman" w:cs="Times New Roman"/>
          <w:b/>
          <w:bCs/>
          <w:color w:val="44546A" w:themeColor="text2"/>
          <w:sz w:val="24"/>
          <w:szCs w:val="24"/>
        </w:rPr>
        <w:lastRenderedPageBreak/>
        <w:t xml:space="preserve">Table </w:t>
      </w:r>
      <w:r w:rsidRPr="00D542A1">
        <w:rPr>
          <w:rFonts w:ascii="Times New Roman" w:hAnsi="Times New Roman" w:cs="Times New Roman"/>
          <w:b/>
          <w:bCs/>
          <w:color w:val="44546A" w:themeColor="text2"/>
          <w:sz w:val="24"/>
          <w:szCs w:val="24"/>
        </w:rPr>
        <w:fldChar w:fldCharType="begin"/>
      </w:r>
      <w:r w:rsidRPr="00D542A1">
        <w:rPr>
          <w:rFonts w:ascii="Times New Roman" w:hAnsi="Times New Roman" w:cs="Times New Roman"/>
          <w:b/>
          <w:bCs/>
          <w:color w:val="44546A" w:themeColor="text2"/>
          <w:sz w:val="24"/>
          <w:szCs w:val="24"/>
        </w:rPr>
        <w:instrText xml:space="preserve"> SEQ Table \* ARABIC </w:instrText>
      </w:r>
      <w:r w:rsidRPr="00D542A1">
        <w:rPr>
          <w:rFonts w:ascii="Times New Roman" w:hAnsi="Times New Roman" w:cs="Times New Roman"/>
          <w:b/>
          <w:bCs/>
          <w:color w:val="44546A" w:themeColor="text2"/>
          <w:sz w:val="24"/>
          <w:szCs w:val="24"/>
        </w:rPr>
        <w:fldChar w:fldCharType="separate"/>
      </w:r>
      <w:r w:rsidRPr="00D542A1">
        <w:rPr>
          <w:rFonts w:ascii="Times New Roman" w:hAnsi="Times New Roman" w:cs="Times New Roman"/>
          <w:b/>
          <w:bCs/>
          <w:noProof/>
          <w:color w:val="44546A" w:themeColor="text2"/>
          <w:sz w:val="24"/>
          <w:szCs w:val="24"/>
        </w:rPr>
        <w:t>3</w:t>
      </w:r>
      <w:r w:rsidRPr="00D542A1">
        <w:rPr>
          <w:rFonts w:ascii="Times New Roman" w:hAnsi="Times New Roman" w:cs="Times New Roman"/>
          <w:b/>
          <w:bCs/>
          <w:color w:val="44546A" w:themeColor="text2"/>
          <w:sz w:val="24"/>
          <w:szCs w:val="24"/>
        </w:rPr>
        <w:fldChar w:fldCharType="end"/>
      </w:r>
      <w:r w:rsidRPr="00D542A1">
        <w:rPr>
          <w:rFonts w:ascii="Times New Roman" w:hAnsi="Times New Roman" w:cs="Times New Roman"/>
          <w:b/>
          <w:bCs/>
          <w:color w:val="44546A" w:themeColor="text2"/>
          <w:sz w:val="24"/>
          <w:szCs w:val="24"/>
        </w:rPr>
        <w:t>: Timeline of the COVID-19 Outbreak at Cargill's High River Plant</w:t>
      </w:r>
    </w:p>
    <w:tbl>
      <w:tblPr>
        <w:tblW w:w="0" w:type="auto"/>
        <w:tblInd w:w="851" w:type="dxa"/>
        <w:tblLook w:val="04A0" w:firstRow="1" w:lastRow="0" w:firstColumn="1" w:lastColumn="0" w:noHBand="0" w:noVBand="1"/>
      </w:tblPr>
      <w:tblGrid>
        <w:gridCol w:w="889"/>
        <w:gridCol w:w="1683"/>
        <w:gridCol w:w="2216"/>
      </w:tblGrid>
      <w:tr w:rsidR="00D542A1" w:rsidRPr="00D542A1" w14:paraId="656E3545" w14:textId="77777777" w:rsidTr="005D7832">
        <w:trPr>
          <w:trHeight w:val="340"/>
        </w:trPr>
        <w:tc>
          <w:tcPr>
            <w:tcW w:w="0" w:type="auto"/>
            <w:vAlign w:val="center"/>
          </w:tcPr>
          <w:p w14:paraId="42484758" w14:textId="77777777" w:rsidR="00D542A1" w:rsidRPr="00D542A1" w:rsidRDefault="00D542A1" w:rsidP="00BE37E2">
            <w:pPr>
              <w:spacing w:after="0" w:line="240" w:lineRule="auto"/>
              <w:jc w:val="both"/>
              <w:rPr>
                <w:rFonts w:ascii="Times New Roman" w:hAnsi="Times New Roman" w:cs="Times New Roman"/>
                <w:b/>
                <w:bCs/>
                <w:sz w:val="20"/>
                <w:szCs w:val="20"/>
              </w:rPr>
            </w:pPr>
            <w:bookmarkStart w:id="50" w:name="_Hlk70548471"/>
            <w:r w:rsidRPr="00D542A1">
              <w:rPr>
                <w:rFonts w:ascii="Times New Roman" w:hAnsi="Times New Roman" w:cs="Times New Roman"/>
                <w:b/>
                <w:bCs/>
                <w:sz w:val="20"/>
                <w:szCs w:val="20"/>
              </w:rPr>
              <w:t>Date</w:t>
            </w:r>
          </w:p>
        </w:tc>
        <w:tc>
          <w:tcPr>
            <w:tcW w:w="0" w:type="auto"/>
            <w:vAlign w:val="center"/>
          </w:tcPr>
          <w:p w14:paraId="69E5CA9E" w14:textId="77777777" w:rsidR="00D542A1" w:rsidRPr="00D542A1" w:rsidRDefault="00D542A1" w:rsidP="00BE37E2">
            <w:pPr>
              <w:spacing w:after="0" w:line="240" w:lineRule="auto"/>
              <w:jc w:val="both"/>
              <w:rPr>
                <w:rFonts w:ascii="Times New Roman" w:hAnsi="Times New Roman" w:cs="Times New Roman"/>
                <w:b/>
                <w:bCs/>
                <w:sz w:val="20"/>
                <w:szCs w:val="20"/>
              </w:rPr>
            </w:pPr>
            <w:r w:rsidRPr="00D542A1">
              <w:rPr>
                <w:rFonts w:ascii="Times New Roman" w:hAnsi="Times New Roman" w:cs="Times New Roman"/>
                <w:b/>
                <w:bCs/>
                <w:sz w:val="20"/>
                <w:szCs w:val="20"/>
              </w:rPr>
              <w:t>Number of Cases</w:t>
            </w:r>
          </w:p>
        </w:tc>
        <w:tc>
          <w:tcPr>
            <w:tcW w:w="2216" w:type="dxa"/>
            <w:vAlign w:val="center"/>
          </w:tcPr>
          <w:p w14:paraId="2F9AEC76" w14:textId="77777777" w:rsidR="00D542A1" w:rsidRPr="00D542A1" w:rsidRDefault="00D542A1" w:rsidP="00BE37E2">
            <w:pPr>
              <w:spacing w:after="0" w:line="240" w:lineRule="auto"/>
              <w:jc w:val="both"/>
              <w:rPr>
                <w:rFonts w:ascii="Times New Roman" w:hAnsi="Times New Roman" w:cs="Times New Roman"/>
                <w:b/>
                <w:bCs/>
                <w:sz w:val="20"/>
                <w:szCs w:val="20"/>
              </w:rPr>
            </w:pPr>
            <w:r w:rsidRPr="00D542A1">
              <w:rPr>
                <w:rFonts w:ascii="Times New Roman" w:hAnsi="Times New Roman" w:cs="Times New Roman"/>
                <w:b/>
                <w:bCs/>
                <w:sz w:val="20"/>
                <w:szCs w:val="20"/>
              </w:rPr>
              <w:t>Deceased</w:t>
            </w:r>
          </w:p>
        </w:tc>
      </w:tr>
      <w:tr w:rsidR="00D542A1" w:rsidRPr="00D542A1" w14:paraId="60B1EB9A" w14:textId="77777777" w:rsidTr="005D7832">
        <w:trPr>
          <w:trHeight w:val="340"/>
        </w:trPr>
        <w:tc>
          <w:tcPr>
            <w:tcW w:w="0" w:type="auto"/>
            <w:vAlign w:val="center"/>
          </w:tcPr>
          <w:p w14:paraId="4FFE8011"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06</w:t>
            </w:r>
          </w:p>
        </w:tc>
        <w:tc>
          <w:tcPr>
            <w:tcW w:w="0" w:type="auto"/>
            <w:vAlign w:val="center"/>
          </w:tcPr>
          <w:p w14:paraId="7183EA82"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1</w:t>
            </w:r>
          </w:p>
        </w:tc>
        <w:tc>
          <w:tcPr>
            <w:tcW w:w="2216" w:type="dxa"/>
            <w:vAlign w:val="center"/>
          </w:tcPr>
          <w:p w14:paraId="6CC8715D"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0616C6EC" w14:textId="77777777" w:rsidTr="005D7832">
        <w:trPr>
          <w:trHeight w:val="333"/>
        </w:trPr>
        <w:tc>
          <w:tcPr>
            <w:tcW w:w="0" w:type="auto"/>
            <w:vAlign w:val="center"/>
          </w:tcPr>
          <w:p w14:paraId="24A865AA"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08</w:t>
            </w:r>
          </w:p>
        </w:tc>
        <w:tc>
          <w:tcPr>
            <w:tcW w:w="0" w:type="auto"/>
            <w:vAlign w:val="center"/>
          </w:tcPr>
          <w:p w14:paraId="6B50E1C1"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2</w:t>
            </w:r>
          </w:p>
        </w:tc>
        <w:tc>
          <w:tcPr>
            <w:tcW w:w="2216" w:type="dxa"/>
            <w:vAlign w:val="center"/>
          </w:tcPr>
          <w:p w14:paraId="18F18F65"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3FE59AE2" w14:textId="77777777" w:rsidTr="005D7832">
        <w:trPr>
          <w:trHeight w:val="340"/>
        </w:trPr>
        <w:tc>
          <w:tcPr>
            <w:tcW w:w="0" w:type="auto"/>
            <w:vAlign w:val="center"/>
          </w:tcPr>
          <w:p w14:paraId="32DA0C2D"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13</w:t>
            </w:r>
          </w:p>
        </w:tc>
        <w:tc>
          <w:tcPr>
            <w:tcW w:w="0" w:type="auto"/>
            <w:vAlign w:val="center"/>
          </w:tcPr>
          <w:p w14:paraId="7211D5EA"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38</w:t>
            </w:r>
          </w:p>
        </w:tc>
        <w:tc>
          <w:tcPr>
            <w:tcW w:w="2216" w:type="dxa"/>
            <w:vAlign w:val="center"/>
          </w:tcPr>
          <w:p w14:paraId="31485B5C"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536D5145" w14:textId="77777777" w:rsidTr="005D7832">
        <w:trPr>
          <w:trHeight w:val="340"/>
        </w:trPr>
        <w:tc>
          <w:tcPr>
            <w:tcW w:w="0" w:type="auto"/>
            <w:vAlign w:val="center"/>
          </w:tcPr>
          <w:p w14:paraId="6673AE5C"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16</w:t>
            </w:r>
          </w:p>
        </w:tc>
        <w:tc>
          <w:tcPr>
            <w:tcW w:w="0" w:type="auto"/>
            <w:vAlign w:val="center"/>
          </w:tcPr>
          <w:p w14:paraId="7EF4EC97"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250</w:t>
            </w:r>
          </w:p>
        </w:tc>
        <w:tc>
          <w:tcPr>
            <w:tcW w:w="2216" w:type="dxa"/>
            <w:vAlign w:val="center"/>
          </w:tcPr>
          <w:p w14:paraId="15254FA6"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50FB57A3" w14:textId="77777777" w:rsidTr="005D7832">
        <w:trPr>
          <w:trHeight w:val="340"/>
        </w:trPr>
        <w:tc>
          <w:tcPr>
            <w:tcW w:w="0" w:type="auto"/>
            <w:vAlign w:val="center"/>
          </w:tcPr>
          <w:p w14:paraId="23D3A639"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17</w:t>
            </w:r>
          </w:p>
        </w:tc>
        <w:tc>
          <w:tcPr>
            <w:tcW w:w="0" w:type="auto"/>
            <w:vAlign w:val="center"/>
          </w:tcPr>
          <w:p w14:paraId="099CB09A"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358</w:t>
            </w:r>
          </w:p>
        </w:tc>
        <w:tc>
          <w:tcPr>
            <w:tcW w:w="2216" w:type="dxa"/>
            <w:vAlign w:val="center"/>
          </w:tcPr>
          <w:p w14:paraId="5B2FB9E4"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3FD2B3E7" w14:textId="77777777" w:rsidTr="005D7832">
        <w:trPr>
          <w:trHeight w:val="340"/>
        </w:trPr>
        <w:tc>
          <w:tcPr>
            <w:tcW w:w="0" w:type="auto"/>
            <w:vAlign w:val="center"/>
          </w:tcPr>
          <w:p w14:paraId="555DF310"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19</w:t>
            </w:r>
          </w:p>
        </w:tc>
        <w:tc>
          <w:tcPr>
            <w:tcW w:w="0" w:type="auto"/>
            <w:vAlign w:val="center"/>
          </w:tcPr>
          <w:p w14:paraId="10428767"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p>
        </w:tc>
        <w:tc>
          <w:tcPr>
            <w:tcW w:w="2216" w:type="dxa"/>
            <w:vAlign w:val="center"/>
          </w:tcPr>
          <w:p w14:paraId="6351450B" w14:textId="77777777" w:rsidR="00D542A1" w:rsidRPr="00D542A1" w:rsidRDefault="00D542A1" w:rsidP="00BE37E2">
            <w:pPr>
              <w:spacing w:after="0" w:line="360" w:lineRule="auto"/>
              <w:jc w:val="both"/>
              <w:rPr>
                <w:rFonts w:ascii="Times New Roman" w:hAnsi="Times New Roman" w:cs="Times New Roman"/>
                <w:sz w:val="20"/>
                <w:szCs w:val="20"/>
              </w:rPr>
            </w:pPr>
            <w:proofErr w:type="spellStart"/>
            <w:r w:rsidRPr="00D542A1">
              <w:rPr>
                <w:rFonts w:ascii="Times New Roman" w:hAnsi="Times New Roman" w:cs="Times New Roman"/>
                <w:sz w:val="20"/>
                <w:szCs w:val="20"/>
              </w:rPr>
              <w:t>Hiep</w:t>
            </w:r>
            <w:proofErr w:type="spellEnd"/>
            <w:r w:rsidRPr="00D542A1">
              <w:rPr>
                <w:rFonts w:ascii="Times New Roman" w:hAnsi="Times New Roman" w:cs="Times New Roman"/>
                <w:sz w:val="20"/>
                <w:szCs w:val="20"/>
              </w:rPr>
              <w:t xml:space="preserve"> Bui</w:t>
            </w:r>
          </w:p>
        </w:tc>
      </w:tr>
      <w:tr w:rsidR="00D542A1" w:rsidRPr="00D542A1" w14:paraId="274C601A" w14:textId="77777777" w:rsidTr="005D7832">
        <w:trPr>
          <w:trHeight w:val="333"/>
        </w:trPr>
        <w:tc>
          <w:tcPr>
            <w:tcW w:w="0" w:type="auto"/>
            <w:vAlign w:val="center"/>
          </w:tcPr>
          <w:p w14:paraId="114C76E5"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20</w:t>
            </w:r>
          </w:p>
        </w:tc>
        <w:tc>
          <w:tcPr>
            <w:tcW w:w="0" w:type="auto"/>
            <w:vAlign w:val="center"/>
          </w:tcPr>
          <w:p w14:paraId="3D79D7BA"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484</w:t>
            </w:r>
          </w:p>
        </w:tc>
        <w:tc>
          <w:tcPr>
            <w:tcW w:w="2216" w:type="dxa"/>
            <w:vAlign w:val="center"/>
          </w:tcPr>
          <w:p w14:paraId="0655DEAE"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09E68466" w14:textId="77777777" w:rsidTr="005D7832">
        <w:trPr>
          <w:trHeight w:val="340"/>
        </w:trPr>
        <w:tc>
          <w:tcPr>
            <w:tcW w:w="0" w:type="auto"/>
            <w:vAlign w:val="center"/>
          </w:tcPr>
          <w:p w14:paraId="380F8356"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21</w:t>
            </w:r>
          </w:p>
        </w:tc>
        <w:tc>
          <w:tcPr>
            <w:tcW w:w="0" w:type="auto"/>
            <w:vAlign w:val="center"/>
          </w:tcPr>
          <w:p w14:paraId="462E556E"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515</w:t>
            </w:r>
          </w:p>
        </w:tc>
        <w:tc>
          <w:tcPr>
            <w:tcW w:w="2216" w:type="dxa"/>
            <w:vAlign w:val="center"/>
          </w:tcPr>
          <w:p w14:paraId="7A9038F8"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405AE105" w14:textId="77777777" w:rsidTr="005D7832">
        <w:trPr>
          <w:trHeight w:val="340"/>
        </w:trPr>
        <w:tc>
          <w:tcPr>
            <w:tcW w:w="0" w:type="auto"/>
            <w:vAlign w:val="center"/>
          </w:tcPr>
          <w:p w14:paraId="6B71EBBC"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April 28</w:t>
            </w:r>
          </w:p>
        </w:tc>
        <w:tc>
          <w:tcPr>
            <w:tcW w:w="0" w:type="auto"/>
            <w:vAlign w:val="center"/>
          </w:tcPr>
          <w:p w14:paraId="0C6D6B5C" w14:textId="77777777" w:rsidR="00D542A1" w:rsidRPr="00D542A1" w:rsidRDefault="00D542A1" w:rsidP="00BE37E2">
            <w:pPr>
              <w:tabs>
                <w:tab w:val="decimal" w:pos="936"/>
              </w:tabs>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1,167</w:t>
            </w:r>
            <w:r w:rsidRPr="00D542A1">
              <w:rPr>
                <w:vertAlign w:val="superscript"/>
              </w:rPr>
              <w:footnoteReference w:id="1"/>
            </w:r>
          </w:p>
        </w:tc>
        <w:tc>
          <w:tcPr>
            <w:tcW w:w="2216" w:type="dxa"/>
            <w:vAlign w:val="center"/>
          </w:tcPr>
          <w:p w14:paraId="5CBC56CD" w14:textId="77777777" w:rsidR="00D542A1" w:rsidRPr="00D542A1" w:rsidRDefault="00D542A1" w:rsidP="00BE37E2">
            <w:pPr>
              <w:spacing w:after="0" w:line="360" w:lineRule="auto"/>
              <w:jc w:val="both"/>
              <w:rPr>
                <w:rFonts w:ascii="Times New Roman" w:hAnsi="Times New Roman" w:cs="Times New Roman"/>
                <w:sz w:val="20"/>
                <w:szCs w:val="20"/>
              </w:rPr>
            </w:pPr>
          </w:p>
        </w:tc>
      </w:tr>
      <w:tr w:rsidR="00D542A1" w:rsidRPr="00D542A1" w14:paraId="2C642B5F" w14:textId="77777777" w:rsidTr="005D7832">
        <w:trPr>
          <w:trHeight w:val="340"/>
        </w:trPr>
        <w:tc>
          <w:tcPr>
            <w:tcW w:w="0" w:type="auto"/>
            <w:vAlign w:val="center"/>
          </w:tcPr>
          <w:p w14:paraId="797761E4"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May 5</w:t>
            </w:r>
          </w:p>
        </w:tc>
        <w:tc>
          <w:tcPr>
            <w:tcW w:w="0" w:type="auto"/>
            <w:vAlign w:val="center"/>
          </w:tcPr>
          <w:p w14:paraId="73F3694D" w14:textId="77777777" w:rsidR="00D542A1" w:rsidRPr="00D542A1" w:rsidRDefault="00D542A1" w:rsidP="00BE37E2">
            <w:pPr>
              <w:spacing w:after="0" w:line="360" w:lineRule="auto"/>
              <w:jc w:val="both"/>
              <w:rPr>
                <w:rFonts w:ascii="Times New Roman" w:hAnsi="Times New Roman" w:cs="Times New Roman"/>
                <w:sz w:val="20"/>
                <w:szCs w:val="20"/>
              </w:rPr>
            </w:pPr>
          </w:p>
        </w:tc>
        <w:tc>
          <w:tcPr>
            <w:tcW w:w="2216" w:type="dxa"/>
            <w:vAlign w:val="center"/>
          </w:tcPr>
          <w:p w14:paraId="5C1BAA61"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 xml:space="preserve">Armando </w:t>
            </w:r>
            <w:proofErr w:type="spellStart"/>
            <w:r w:rsidRPr="00D542A1">
              <w:rPr>
                <w:rFonts w:ascii="Times New Roman" w:hAnsi="Times New Roman" w:cs="Times New Roman"/>
                <w:sz w:val="20"/>
                <w:szCs w:val="20"/>
              </w:rPr>
              <w:t>Sallegue</w:t>
            </w:r>
            <w:proofErr w:type="spellEnd"/>
          </w:p>
        </w:tc>
      </w:tr>
      <w:tr w:rsidR="00D542A1" w:rsidRPr="00D542A1" w14:paraId="62484B05" w14:textId="77777777" w:rsidTr="005D7832">
        <w:trPr>
          <w:trHeight w:val="60"/>
        </w:trPr>
        <w:tc>
          <w:tcPr>
            <w:tcW w:w="0" w:type="auto"/>
            <w:vAlign w:val="center"/>
          </w:tcPr>
          <w:p w14:paraId="19E0B714"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May 9</w:t>
            </w:r>
          </w:p>
        </w:tc>
        <w:tc>
          <w:tcPr>
            <w:tcW w:w="0" w:type="auto"/>
            <w:vAlign w:val="center"/>
          </w:tcPr>
          <w:p w14:paraId="5CDC2C64" w14:textId="77777777" w:rsidR="00D542A1" w:rsidRPr="00D542A1" w:rsidRDefault="00D542A1" w:rsidP="00BE37E2">
            <w:pPr>
              <w:spacing w:after="0" w:line="360" w:lineRule="auto"/>
              <w:jc w:val="both"/>
              <w:rPr>
                <w:rFonts w:ascii="Times New Roman" w:hAnsi="Times New Roman" w:cs="Times New Roman"/>
                <w:sz w:val="20"/>
                <w:szCs w:val="20"/>
              </w:rPr>
            </w:pPr>
          </w:p>
        </w:tc>
        <w:tc>
          <w:tcPr>
            <w:tcW w:w="2216" w:type="dxa"/>
            <w:vAlign w:val="center"/>
          </w:tcPr>
          <w:p w14:paraId="059FE607" w14:textId="77777777" w:rsidR="00D542A1" w:rsidRPr="00D542A1" w:rsidRDefault="00D542A1" w:rsidP="00BE37E2">
            <w:pPr>
              <w:spacing w:after="0" w:line="360" w:lineRule="auto"/>
              <w:jc w:val="both"/>
              <w:rPr>
                <w:rFonts w:ascii="Times New Roman" w:hAnsi="Times New Roman" w:cs="Times New Roman"/>
                <w:sz w:val="20"/>
                <w:szCs w:val="20"/>
              </w:rPr>
            </w:pPr>
            <w:r w:rsidRPr="00D542A1">
              <w:rPr>
                <w:rFonts w:ascii="Times New Roman" w:hAnsi="Times New Roman" w:cs="Times New Roman"/>
                <w:sz w:val="20"/>
                <w:szCs w:val="20"/>
              </w:rPr>
              <w:t>Benito Quesada</w:t>
            </w:r>
          </w:p>
        </w:tc>
      </w:tr>
    </w:tbl>
    <w:p w14:paraId="0A72ECAA" w14:textId="77777777" w:rsidR="00D542A1" w:rsidRPr="00D542A1" w:rsidRDefault="00D542A1" w:rsidP="00BE37E2">
      <w:pPr>
        <w:spacing w:line="240" w:lineRule="auto"/>
        <w:jc w:val="both"/>
        <w:rPr>
          <w:rFonts w:ascii="Times New Roman" w:hAnsi="Times New Roman" w:cs="Times New Roman"/>
          <w:i/>
          <w:iCs/>
          <w:sz w:val="24"/>
          <w:szCs w:val="24"/>
        </w:rPr>
      </w:pPr>
      <w:r w:rsidRPr="00D542A1">
        <w:rPr>
          <w:rFonts w:ascii="Times New Roman" w:hAnsi="Times New Roman" w:cs="Times New Roman"/>
          <w:i/>
          <w:iCs/>
          <w:sz w:val="20"/>
          <w:szCs w:val="20"/>
        </w:rPr>
        <w:t>Source: New COVID – 19 outbreaks declared at Cargill meat plant in Canada-CBC News (Dryden &amp; Rieger, 2021)</w:t>
      </w:r>
      <w:bookmarkEnd w:id="50"/>
    </w:p>
    <w:p w14:paraId="75EDF42C" w14:textId="77777777" w:rsidR="00D542A1" w:rsidRPr="00D542A1" w:rsidRDefault="00D542A1" w:rsidP="00BE37E2">
      <w:pPr>
        <w:spacing w:line="480" w:lineRule="auto"/>
        <w:jc w:val="both"/>
        <w:rPr>
          <w:rFonts w:ascii="Times New Roman" w:hAnsi="Times New Roman" w:cs="Times New Roman"/>
          <w:sz w:val="24"/>
          <w:szCs w:val="24"/>
        </w:rPr>
      </w:pPr>
    </w:p>
    <w:p w14:paraId="44BD2196" w14:textId="04A0D2BA"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As shown in in Table 4 below, 43 percent, or 950 of the 2,200 workers tested positive for Covid 19 at High River. At the same time 24 percent, or 600 of the 2500 workers, at JBS contracted the virus. At this point it is pertinent to ask what led to the massive spread of the virus in both plants, why was it not curtailed, or the plant shut down even though almost half of the workforce was down? The major themes resonating in the meatpacking case are discussed in detail below.</w:t>
      </w:r>
    </w:p>
    <w:p w14:paraId="26BE5D06" w14:textId="77777777" w:rsidR="00D542A1" w:rsidRPr="00D542A1" w:rsidRDefault="00D542A1" w:rsidP="00BE37E2">
      <w:pPr>
        <w:spacing w:after="200" w:line="240" w:lineRule="auto"/>
        <w:jc w:val="both"/>
        <w:rPr>
          <w:rFonts w:ascii="Times New Roman" w:hAnsi="Times New Roman" w:cs="Times New Roman"/>
          <w:b/>
          <w:bCs/>
          <w:color w:val="44546A" w:themeColor="text2"/>
          <w:sz w:val="24"/>
          <w:szCs w:val="24"/>
        </w:rPr>
      </w:pPr>
      <w:r w:rsidRPr="00D542A1">
        <w:rPr>
          <w:rFonts w:ascii="Times New Roman" w:hAnsi="Times New Roman" w:cs="Times New Roman"/>
          <w:b/>
          <w:bCs/>
          <w:color w:val="44546A" w:themeColor="text2"/>
          <w:sz w:val="24"/>
          <w:szCs w:val="24"/>
        </w:rPr>
        <w:t xml:space="preserve">Table </w:t>
      </w:r>
      <w:r w:rsidRPr="00D542A1">
        <w:rPr>
          <w:rFonts w:ascii="Times New Roman" w:hAnsi="Times New Roman" w:cs="Times New Roman"/>
          <w:b/>
          <w:bCs/>
          <w:color w:val="44546A" w:themeColor="text2"/>
          <w:sz w:val="24"/>
          <w:szCs w:val="24"/>
        </w:rPr>
        <w:fldChar w:fldCharType="begin"/>
      </w:r>
      <w:r w:rsidRPr="00D542A1">
        <w:rPr>
          <w:rFonts w:ascii="Times New Roman" w:hAnsi="Times New Roman" w:cs="Times New Roman"/>
          <w:b/>
          <w:bCs/>
          <w:color w:val="44546A" w:themeColor="text2"/>
          <w:sz w:val="24"/>
          <w:szCs w:val="24"/>
        </w:rPr>
        <w:instrText xml:space="preserve"> SEQ Table \* ARABIC </w:instrText>
      </w:r>
      <w:r w:rsidRPr="00D542A1">
        <w:rPr>
          <w:rFonts w:ascii="Times New Roman" w:hAnsi="Times New Roman" w:cs="Times New Roman"/>
          <w:b/>
          <w:bCs/>
          <w:color w:val="44546A" w:themeColor="text2"/>
          <w:sz w:val="24"/>
          <w:szCs w:val="24"/>
        </w:rPr>
        <w:fldChar w:fldCharType="separate"/>
      </w:r>
      <w:r w:rsidRPr="00D542A1">
        <w:rPr>
          <w:rFonts w:ascii="Times New Roman" w:hAnsi="Times New Roman" w:cs="Times New Roman"/>
          <w:b/>
          <w:bCs/>
          <w:noProof/>
          <w:color w:val="44546A" w:themeColor="text2"/>
          <w:sz w:val="24"/>
          <w:szCs w:val="24"/>
        </w:rPr>
        <w:t>4</w:t>
      </w:r>
      <w:r w:rsidRPr="00D542A1">
        <w:rPr>
          <w:rFonts w:ascii="Times New Roman" w:hAnsi="Times New Roman" w:cs="Times New Roman"/>
          <w:b/>
          <w:bCs/>
          <w:color w:val="44546A" w:themeColor="text2"/>
          <w:sz w:val="24"/>
          <w:szCs w:val="24"/>
        </w:rPr>
        <w:fldChar w:fldCharType="end"/>
      </w:r>
      <w:r w:rsidRPr="00D542A1">
        <w:rPr>
          <w:rFonts w:ascii="Times New Roman" w:hAnsi="Times New Roman" w:cs="Times New Roman"/>
          <w:b/>
          <w:bCs/>
          <w:color w:val="44546A" w:themeColor="text2"/>
          <w:sz w:val="24"/>
          <w:szCs w:val="24"/>
        </w:rPr>
        <w:t>. Summary of cases and deaths at the Cargill High River and JBS Plants - Spring 2020 (Dryden &amp; Rieger, 2021)</w:t>
      </w:r>
    </w:p>
    <w:tbl>
      <w:tblPr>
        <w:tblW w:w="0" w:type="auto"/>
        <w:tblInd w:w="-142" w:type="dxa"/>
        <w:tblLook w:val="04A0" w:firstRow="1" w:lastRow="0" w:firstColumn="1" w:lastColumn="0" w:noHBand="0" w:noVBand="1"/>
      </w:tblPr>
      <w:tblGrid>
        <w:gridCol w:w="1418"/>
        <w:gridCol w:w="2126"/>
        <w:gridCol w:w="3119"/>
        <w:gridCol w:w="1701"/>
      </w:tblGrid>
      <w:tr w:rsidR="00D542A1" w:rsidRPr="00D542A1" w14:paraId="68A4DBFD" w14:textId="77777777" w:rsidTr="005D7832">
        <w:trPr>
          <w:trHeight w:val="340"/>
        </w:trPr>
        <w:tc>
          <w:tcPr>
            <w:tcW w:w="1418" w:type="dxa"/>
            <w:tcBorders>
              <w:bottom w:val="single" w:sz="4" w:space="0" w:color="auto"/>
            </w:tcBorders>
          </w:tcPr>
          <w:p w14:paraId="70036760" w14:textId="77777777" w:rsidR="00D542A1" w:rsidRPr="00D542A1" w:rsidRDefault="00D542A1" w:rsidP="00BE37E2">
            <w:pPr>
              <w:spacing w:after="0" w:line="240" w:lineRule="auto"/>
              <w:jc w:val="both"/>
              <w:rPr>
                <w:rFonts w:ascii="Times New Roman" w:hAnsi="Times New Roman" w:cs="Times New Roman"/>
                <w:b/>
                <w:bCs/>
                <w:sz w:val="24"/>
                <w:szCs w:val="24"/>
              </w:rPr>
            </w:pPr>
            <w:r w:rsidRPr="00D542A1">
              <w:rPr>
                <w:rFonts w:ascii="Times New Roman" w:hAnsi="Times New Roman" w:cs="Times New Roman"/>
                <w:b/>
                <w:bCs/>
                <w:sz w:val="24"/>
                <w:szCs w:val="24"/>
              </w:rPr>
              <w:t>Plant</w:t>
            </w:r>
          </w:p>
        </w:tc>
        <w:tc>
          <w:tcPr>
            <w:tcW w:w="2126" w:type="dxa"/>
            <w:tcBorders>
              <w:bottom w:val="single" w:sz="4" w:space="0" w:color="auto"/>
            </w:tcBorders>
          </w:tcPr>
          <w:p w14:paraId="4DA1B08E" w14:textId="77777777" w:rsidR="00D542A1" w:rsidRPr="00D542A1" w:rsidRDefault="00D542A1" w:rsidP="00BE37E2">
            <w:pPr>
              <w:spacing w:after="0" w:line="240" w:lineRule="auto"/>
              <w:jc w:val="both"/>
              <w:rPr>
                <w:rFonts w:ascii="Times New Roman" w:hAnsi="Times New Roman" w:cs="Times New Roman"/>
                <w:b/>
                <w:bCs/>
                <w:sz w:val="24"/>
                <w:szCs w:val="24"/>
              </w:rPr>
            </w:pPr>
            <w:r w:rsidRPr="00D542A1">
              <w:rPr>
                <w:rFonts w:ascii="Times New Roman" w:hAnsi="Times New Roman" w:cs="Times New Roman"/>
                <w:b/>
                <w:bCs/>
                <w:sz w:val="24"/>
                <w:szCs w:val="24"/>
              </w:rPr>
              <w:t>Number of Cases</w:t>
            </w:r>
          </w:p>
        </w:tc>
        <w:tc>
          <w:tcPr>
            <w:tcW w:w="3119" w:type="dxa"/>
            <w:tcBorders>
              <w:bottom w:val="single" w:sz="4" w:space="0" w:color="auto"/>
            </w:tcBorders>
          </w:tcPr>
          <w:p w14:paraId="4EFF19F7" w14:textId="77777777" w:rsidR="00D542A1" w:rsidRPr="00D542A1" w:rsidRDefault="00D542A1" w:rsidP="00BE37E2">
            <w:pPr>
              <w:spacing w:after="0" w:line="240" w:lineRule="auto"/>
              <w:ind w:right="316"/>
              <w:jc w:val="both"/>
              <w:rPr>
                <w:rFonts w:ascii="Times New Roman" w:hAnsi="Times New Roman" w:cs="Times New Roman"/>
                <w:b/>
                <w:bCs/>
                <w:sz w:val="24"/>
                <w:szCs w:val="24"/>
              </w:rPr>
            </w:pPr>
            <w:r w:rsidRPr="00D542A1">
              <w:rPr>
                <w:rFonts w:ascii="Times New Roman" w:hAnsi="Times New Roman" w:cs="Times New Roman"/>
                <w:b/>
                <w:bCs/>
                <w:sz w:val="24"/>
                <w:szCs w:val="24"/>
              </w:rPr>
              <w:t>Total number of workers</w:t>
            </w:r>
          </w:p>
        </w:tc>
        <w:tc>
          <w:tcPr>
            <w:tcW w:w="1701" w:type="dxa"/>
            <w:tcBorders>
              <w:bottom w:val="single" w:sz="4" w:space="0" w:color="auto"/>
            </w:tcBorders>
          </w:tcPr>
          <w:p w14:paraId="2B940587" w14:textId="77777777" w:rsidR="00D542A1" w:rsidRPr="00D542A1" w:rsidRDefault="00D542A1" w:rsidP="00BE37E2">
            <w:pPr>
              <w:spacing w:after="0" w:line="240" w:lineRule="auto"/>
              <w:ind w:right="316"/>
              <w:jc w:val="both"/>
              <w:rPr>
                <w:rFonts w:ascii="Times New Roman" w:hAnsi="Times New Roman" w:cs="Times New Roman"/>
                <w:b/>
                <w:bCs/>
                <w:sz w:val="24"/>
                <w:szCs w:val="24"/>
              </w:rPr>
            </w:pPr>
            <w:r w:rsidRPr="00D542A1">
              <w:rPr>
                <w:rFonts w:ascii="Times New Roman" w:hAnsi="Times New Roman" w:cs="Times New Roman"/>
                <w:b/>
                <w:bCs/>
                <w:sz w:val="24"/>
                <w:szCs w:val="24"/>
              </w:rPr>
              <w:t>Percent</w:t>
            </w:r>
          </w:p>
        </w:tc>
      </w:tr>
      <w:tr w:rsidR="00D542A1" w:rsidRPr="00D542A1" w14:paraId="23B83F95" w14:textId="77777777" w:rsidTr="005D7832">
        <w:trPr>
          <w:trHeight w:val="340"/>
        </w:trPr>
        <w:tc>
          <w:tcPr>
            <w:tcW w:w="1418" w:type="dxa"/>
            <w:tcBorders>
              <w:top w:val="single" w:sz="4" w:space="0" w:color="auto"/>
            </w:tcBorders>
          </w:tcPr>
          <w:p w14:paraId="179871D9" w14:textId="77777777" w:rsidR="00D542A1" w:rsidRPr="00D542A1" w:rsidRDefault="00D542A1" w:rsidP="00BE37E2">
            <w:pPr>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High River</w:t>
            </w:r>
          </w:p>
        </w:tc>
        <w:tc>
          <w:tcPr>
            <w:tcW w:w="2126" w:type="dxa"/>
            <w:tcBorders>
              <w:top w:val="single" w:sz="4" w:space="0" w:color="auto"/>
            </w:tcBorders>
          </w:tcPr>
          <w:p w14:paraId="4E544BC0" w14:textId="77777777" w:rsidR="00D542A1" w:rsidRPr="00D542A1" w:rsidRDefault="00D542A1" w:rsidP="00BE37E2">
            <w:pPr>
              <w:tabs>
                <w:tab w:val="decimal" w:pos="1020"/>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950</w:t>
            </w:r>
          </w:p>
        </w:tc>
        <w:tc>
          <w:tcPr>
            <w:tcW w:w="3119" w:type="dxa"/>
            <w:tcBorders>
              <w:top w:val="single" w:sz="4" w:space="0" w:color="auto"/>
            </w:tcBorders>
          </w:tcPr>
          <w:p w14:paraId="12EAEE41" w14:textId="77777777" w:rsidR="00D542A1" w:rsidRPr="00D542A1" w:rsidRDefault="00D542A1" w:rsidP="00BE37E2">
            <w:pPr>
              <w:tabs>
                <w:tab w:val="decimal" w:pos="1456"/>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2200</w:t>
            </w:r>
          </w:p>
        </w:tc>
        <w:tc>
          <w:tcPr>
            <w:tcW w:w="1701" w:type="dxa"/>
            <w:tcBorders>
              <w:top w:val="single" w:sz="4" w:space="0" w:color="auto"/>
            </w:tcBorders>
          </w:tcPr>
          <w:p w14:paraId="59C2DD7F" w14:textId="77777777" w:rsidR="00D542A1" w:rsidRPr="00D542A1" w:rsidRDefault="00D542A1" w:rsidP="00BE37E2">
            <w:pPr>
              <w:tabs>
                <w:tab w:val="decimal" w:pos="606"/>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43.2</w:t>
            </w:r>
          </w:p>
        </w:tc>
      </w:tr>
      <w:tr w:rsidR="00D542A1" w:rsidRPr="00D542A1" w14:paraId="243135B9" w14:textId="77777777" w:rsidTr="005D7832">
        <w:trPr>
          <w:trHeight w:val="340"/>
        </w:trPr>
        <w:tc>
          <w:tcPr>
            <w:tcW w:w="1418" w:type="dxa"/>
            <w:tcBorders>
              <w:bottom w:val="single" w:sz="4" w:space="0" w:color="auto"/>
            </w:tcBorders>
          </w:tcPr>
          <w:p w14:paraId="6E6C06ED" w14:textId="77777777" w:rsidR="00D542A1" w:rsidRPr="00D542A1" w:rsidRDefault="00D542A1" w:rsidP="00BE37E2">
            <w:pPr>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JBS</w:t>
            </w:r>
          </w:p>
        </w:tc>
        <w:tc>
          <w:tcPr>
            <w:tcW w:w="2126" w:type="dxa"/>
            <w:tcBorders>
              <w:bottom w:val="single" w:sz="4" w:space="0" w:color="auto"/>
            </w:tcBorders>
          </w:tcPr>
          <w:p w14:paraId="41529D18" w14:textId="77777777" w:rsidR="00D542A1" w:rsidRPr="00D542A1" w:rsidRDefault="00D542A1" w:rsidP="00BE37E2">
            <w:pPr>
              <w:tabs>
                <w:tab w:val="decimal" w:pos="1020"/>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600</w:t>
            </w:r>
          </w:p>
        </w:tc>
        <w:tc>
          <w:tcPr>
            <w:tcW w:w="3119" w:type="dxa"/>
            <w:tcBorders>
              <w:bottom w:val="single" w:sz="4" w:space="0" w:color="auto"/>
            </w:tcBorders>
          </w:tcPr>
          <w:p w14:paraId="19618A3F" w14:textId="77777777" w:rsidR="00D542A1" w:rsidRPr="00D542A1" w:rsidRDefault="00D542A1" w:rsidP="00BE37E2">
            <w:pPr>
              <w:tabs>
                <w:tab w:val="decimal" w:pos="1456"/>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2500</w:t>
            </w:r>
          </w:p>
        </w:tc>
        <w:tc>
          <w:tcPr>
            <w:tcW w:w="1701" w:type="dxa"/>
            <w:tcBorders>
              <w:bottom w:val="single" w:sz="4" w:space="0" w:color="auto"/>
            </w:tcBorders>
          </w:tcPr>
          <w:p w14:paraId="4E015546" w14:textId="77777777" w:rsidR="00D542A1" w:rsidRPr="00D542A1" w:rsidRDefault="00D542A1" w:rsidP="00BE37E2">
            <w:pPr>
              <w:tabs>
                <w:tab w:val="decimal" w:pos="606"/>
              </w:tabs>
              <w:spacing w:after="0" w:line="240" w:lineRule="auto"/>
              <w:jc w:val="both"/>
              <w:rPr>
                <w:rFonts w:ascii="Times New Roman" w:hAnsi="Times New Roman" w:cs="Times New Roman"/>
                <w:sz w:val="24"/>
                <w:szCs w:val="24"/>
              </w:rPr>
            </w:pPr>
            <w:r w:rsidRPr="00D542A1">
              <w:rPr>
                <w:rFonts w:ascii="Times New Roman" w:hAnsi="Times New Roman" w:cs="Times New Roman"/>
                <w:sz w:val="24"/>
                <w:szCs w:val="24"/>
              </w:rPr>
              <w:t>24.0</w:t>
            </w:r>
          </w:p>
        </w:tc>
      </w:tr>
    </w:tbl>
    <w:p w14:paraId="0EE6C523"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lang w:val="en-US"/>
        </w:rPr>
      </w:pPr>
      <w:bookmarkStart w:id="51" w:name="_Toc72494768"/>
      <w:bookmarkStart w:id="52" w:name="_Hlk68258730"/>
      <w:r w:rsidRPr="00D542A1">
        <w:rPr>
          <w:rFonts w:ascii="Times New Roman" w:eastAsiaTheme="majorEastAsia" w:hAnsi="Times New Roman" w:cs="Times New Roman"/>
          <w:color w:val="2F5496" w:themeColor="accent1" w:themeShade="BF"/>
          <w:sz w:val="24"/>
          <w:szCs w:val="24"/>
          <w:lang w:val="en-US"/>
        </w:rPr>
        <w:lastRenderedPageBreak/>
        <w:t>Key Findings from Case Study #1</w:t>
      </w:r>
      <w:bookmarkEnd w:id="51"/>
    </w:p>
    <w:p w14:paraId="46259BC4"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lang w:val="en-US"/>
        </w:rPr>
      </w:pPr>
    </w:p>
    <w:p w14:paraId="2BD5960E"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53" w:name="_Toc72494769"/>
      <w:r w:rsidRPr="00D542A1">
        <w:rPr>
          <w:rFonts w:ascii="Times New Roman" w:eastAsiaTheme="majorEastAsia" w:hAnsi="Times New Roman" w:cs="Times New Roman"/>
          <w:color w:val="2F5496" w:themeColor="accent1" w:themeShade="BF"/>
          <w:sz w:val="24"/>
          <w:szCs w:val="24"/>
        </w:rPr>
        <w:t>Designation as an ‘Essential Worker</w:t>
      </w:r>
      <w:bookmarkEnd w:id="52"/>
      <w:r w:rsidRPr="00D542A1">
        <w:rPr>
          <w:rFonts w:ascii="Times New Roman" w:eastAsiaTheme="majorEastAsia" w:hAnsi="Times New Roman" w:cs="Times New Roman"/>
          <w:color w:val="2F5496" w:themeColor="accent1" w:themeShade="BF"/>
          <w:sz w:val="24"/>
          <w:szCs w:val="24"/>
        </w:rPr>
        <w:t>’</w:t>
      </w:r>
      <w:bookmarkEnd w:id="53"/>
    </w:p>
    <w:p w14:paraId="3BEA677C" w14:textId="77777777" w:rsidR="00D542A1" w:rsidRPr="00D542A1" w:rsidRDefault="00D542A1" w:rsidP="00BE37E2">
      <w:pPr>
        <w:jc w:val="both"/>
        <w:rPr>
          <w:rFonts w:ascii="Times New Roman" w:hAnsi="Times New Roman" w:cs="Times New Roman"/>
          <w:sz w:val="24"/>
          <w:szCs w:val="24"/>
        </w:rPr>
      </w:pPr>
    </w:p>
    <w:p w14:paraId="2A90D611"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On March 25, 2020 workers at the meatpacking plant were officially designated as ‘essential workers’, although any financial benefits granted to other essential workers were denied to those working in the plant. For instance, the financial benefit the Canadian Government provided for COVID-19 related absence from work was not applied to them, because  first,</w:t>
      </w:r>
      <w:r w:rsidRPr="00D542A1">
        <w:t xml:space="preserve"> “</w:t>
      </w:r>
      <w:r w:rsidRPr="00D542A1">
        <w:rPr>
          <w:rFonts w:ascii="Times New Roman" w:hAnsi="Times New Roman" w:cs="Times New Roman"/>
          <w:sz w:val="24"/>
          <w:szCs w:val="24"/>
        </w:rPr>
        <w:t xml:space="preserve">CERB currently does not provide for those who "voluntarily" quit their jobs or refuse to work because of unsafe conditions”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{"citationID":"dLLhuut1","properties":{"formattedCitation":"(Wherry, 2020, p. 1)","plainCitation":"(Wherry, 2020, p. 1)","noteIndex":0},"citationItems":[{"id":1178,"uris":["http://zotero.org/users/5481489/items/UJR8FNAL"],"uri":["http://zotero.org/users/5481489/items/UJR8FNAL"],"itemData":{"id":1178,"type":"webpage","abstract":"When the pandemic crisis ends, Canadians are going to have to reckon with the fact that the 'essential' workers who got them through it are some of the lowest-paid people among us.","container-title":"CBC","language":"en","title":"The wages of fear: The pandemic and the future of low-paid 'essential' work | CBC News","title-short":"The wages of fear","URL":"https://www.cbc.ca/news/politics/coronavirus-pandemic-covid-minimum-wage-essential-workers-1.5562318","author":[{"family":"Wherry","given":"Aaron"}],"accessed":{"date-parts":[["2021",3,31]]},"issued":{"date-parts":[["2020",5,10]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(Wherry,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second, such paid leaves were argued to be not part of the contractual agreements with their employer or home country. Given that migrant workers who stayed off work because of COVID-19 would not be paid, many migrants continued working despite being sick which significantly contributed to the fast spread of virus at the plant.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{"citationID":"eqqH22Ke","properties":{"formattedCitation":"(Dryden, 2020b, 2020c; Frangou, 2020a)","plainCitation":"(Dryden, 2020b, 2020c; Frangou, 2020a)","noteIndex":0},"citationItems":[{"id":1113,"uris":["http://zotero.org/users/5481489/items/W54HYEKY"],"uri":["http://zotero.org/users/5481489/items/W54HYEKY"],"itemData":{"id":1113,"type":"webpage","abstract":"How did numbers connected to the Cargill meat plant outbreak increase so drastically over a period of days? That's the obvious question posed after Dr. Deena Hinshaw, Alberta's chief medical officer of health, announced new numbers Friday.","container-title":"CBC","language":"en","title":"What led to Alberta's biggest outbreak? Cargill meat plant's hundreds of COVID-19 cases | CBC News","title-short":"What led to Alberta's biggest outbreak?","URL":"https://www.cbc.ca/news/canada/calgary/cargill-alberta-covid-19-deena-hinshaw-1.5537377","author":[{"family":"Dryden","given":"Joel"}],"accessed":{"date-parts":[["2021",3,23]]},"issued":{"date-parts":[["2020"]]}}},{"id":50,"uris":["http://zotero.org/users/5481489/items/S6RHJTKT"],"uri":["http://zotero.org/users/5481489/items/S6RHJTKT"],"itemData":{"id":50,"type":"webpage","abstract":"An Alberta meat-packing plant hit by the largest single-site COVID-19 outbreak in Canada plans to reopen within days, after shutting down for two weeks when hundreds of workers fell ill with the virus and one woman died.","container-title":"CBC","language":"en","title":"Alberta meat-processing plant tied to Canada's largest COVID-19 outbreak to reopen within days | CBC News","URL":"https://www.cbc.ca/news/canada/calgary/cargill-high-river-jon-nash-meat-packing-plant-covid-19-1.5549774","author":[{"family":"Dryden","given":"Joel"}],"accessed":{"date-parts":[["2020",12,5]]},"issued":{"date-parts":[["2020",4,29]]}}},{"id":834,"uris":["http://zotero.org/users/5481489/items/XT8WZ8TU"],"uri":["http://zotero.org/users/5481489/items/XT8WZ8TU"],"itemData":{"id":834,"type":"webpage","abstract":"Explore millions of resources from scholarly journals, books, newspapers, videos and more, on the ProQuest Platform.","language":"en","title":"Lives on the line: As Cargill employees return to the site of Canada’s largest COVID-19 outbreak, fear lingers still - ProQuest","title-short":"Lives on the line","URL":"https://search-proquest-com.proxy.bib.uottawa.ca/docview/2401926777/E0A56D1DD6154ACDPQ/8?accountid=14701","author":[{"family":"Frangou","given":"Christina"}],"accessed":{"date-parts":[["2021",2,13]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2020b, 2020c; Frangou,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117111BC"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Frangou (2020) also points to the exclusion of migrants from getting COVID-19 tests provided to other essential workers until the situation had taken a turn for the worse. Additionally, at present, health workers, as essential workers, were scheduled to take the first batch of vaccines, and migrant workers were again excluded. One of the reasons given for this was provided by an official with Cargill who stated that the “company is working with health authorities and medical experts to make sure its employees have access to vaccines when they become available without jeopardizing the priority being given to health-care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{"citationID":"oSwWEMaw","properties":{"formattedCitation":"(Pennell, 2021, p. 1)","plainCitation":"(Pennell, 2021, p. 1)","noteIndex":0},"citationItems":[{"id":1244,"uris":["http://zotero.org/users/5481489/items/P3U3Y5DQ"],"uri":["http://zotero.org/users/5481489/items/P3U3Y5DQ"],"itemData":{"id":1244,"type":"webpage","abstract":"The president of a union representing employees at some of the largest meat-packing plants in the country says there needs to be a discussion about making the COVID-19 vaccine more readily available to essential workers.","container-title":"CBC","language":"en","title":"Union official wants meat-plant workers on early COVID-19 vaccine list | CBC News","URL":"https://www.cbc.ca/news/canada/calgary/alberta-meatpacking-workers-covid-19-vaccine-union-cargill-jbs-1.5889640","author":[{"family":"Pennell","given":"Justine"}],"accessed":{"date-parts":[["2021",4,8]]},"issued":{"date-parts":[["2021"]]}},"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(Pennell, 2021,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Agriculture Minister, Marie-Claude Bibeau in a statement to CTVNews.ca emphasised the important position of these workers, as with all essential workers, and emphasised that proper measures must be put in place if workers in the agricultural sector are going to feed Canadians during these difficult times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{"citationID":"kkEhO7lT","properties":{"formattedCitation":"(K. Harris, 2020a)","plainCitation":"(K. Harris, 2020a)","dontUpdate":true,"noteIndex":0},"citationItems":[{"id":956,"uris":["http://zotero.org/users/5481489/items/3DZ54PT2"],"uri":["http://zotero.org/users/5481489/items/3DZ54PT2"],"itemData":{"id":956,"type":"webpage","abstract":"Migrant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(Harris,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This has yet to be resolved.</w:t>
      </w:r>
    </w:p>
    <w:p w14:paraId="39C21EAE"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54" w:name="_Toc72494770"/>
      <w:bookmarkStart w:id="55" w:name="_Hlk68258634"/>
      <w:r w:rsidRPr="00D542A1">
        <w:rPr>
          <w:rFonts w:ascii="Times New Roman" w:eastAsiaTheme="majorEastAsia" w:hAnsi="Times New Roman" w:cs="Times New Roman"/>
          <w:color w:val="2F5496" w:themeColor="accent1" w:themeShade="BF"/>
          <w:sz w:val="24"/>
          <w:szCs w:val="24"/>
        </w:rPr>
        <w:lastRenderedPageBreak/>
        <w:t>Lack of Implementation of Safe Working Condition</w:t>
      </w:r>
      <w:bookmarkEnd w:id="54"/>
      <w:r w:rsidRPr="00D542A1">
        <w:rPr>
          <w:rFonts w:ascii="Times New Roman" w:eastAsiaTheme="majorEastAsia" w:hAnsi="Times New Roman" w:cs="Times New Roman"/>
          <w:color w:val="2F5496" w:themeColor="accent1" w:themeShade="BF"/>
          <w:sz w:val="24"/>
          <w:szCs w:val="24"/>
        </w:rPr>
        <w:t xml:space="preserve"> </w:t>
      </w:r>
    </w:p>
    <w:p w14:paraId="671FDAB1" w14:textId="77777777" w:rsidR="00D542A1" w:rsidRPr="00D542A1" w:rsidRDefault="00D542A1" w:rsidP="00BE37E2">
      <w:pPr>
        <w:jc w:val="both"/>
        <w:rPr>
          <w:rFonts w:ascii="Times New Roman" w:hAnsi="Times New Roman" w:cs="Times New Roman"/>
          <w:sz w:val="24"/>
          <w:szCs w:val="24"/>
        </w:rPr>
      </w:pPr>
    </w:p>
    <w:bookmarkEnd w:id="55"/>
    <w:p w14:paraId="4C159E34" w14:textId="12EBF7B3"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 response to demands by union leaders to shut down the plant for two weeks on April 13, Jon Nash of Cargill Protein informed CBC News in an email that safety measure had been put in places. The feedback from the workers indicated otherwise. For instance, one of the key public health guidelines to keep the virus at bay – social distancing – </w:t>
      </w:r>
      <w:r w:rsidR="00BB478C">
        <w:rPr>
          <w:rFonts w:ascii="Times New Roman" w:hAnsi="Times New Roman" w:cs="Times New Roman"/>
          <w:sz w:val="24"/>
          <w:szCs w:val="24"/>
        </w:rPr>
        <w:t>wa</w:t>
      </w:r>
      <w:r w:rsidRPr="00D542A1">
        <w:rPr>
          <w:rFonts w:ascii="Times New Roman" w:hAnsi="Times New Roman" w:cs="Times New Roman"/>
          <w:sz w:val="24"/>
          <w:szCs w:val="24"/>
        </w:rPr>
        <w:t xml:space="preserve">s difficult to implement at the plant. In describing the structures of the plant originally, the scientific director of the Agri-food Analytics Lab at Dalhousie University, Sylvain Charlebois states that “the safety protocols for the plant were not designed to reduce infection risk during a pandemic”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{"citationID":"HvjEcDcY","properties":{"formattedCitation":"(Frangou, 2020b, p. 3)","plainCitation":"(Frangou, 2020b, p. 3)","noteIndex":0},"citationItems":[{"id":835,"uris":["http://zotero.org/users/5481489/items/XR6I9JWM"],"uri":["http://zotero.org/users/5481489/items/XR6I9JWM"],"itemData":{"id":835,"type":"article-magazine","abstract":"In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locator":"3"}],"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(Frangou, 2020b, p. 3)</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74630BED" w14:textId="707C4189"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 xml:space="preserve">There were also reports of a lack of masks and personal protective equipment (PPE), combined with little or no encouragement by the employers of the use of mask, despite a public health mandate. </w:t>
      </w:r>
      <w:bookmarkStart w:id="56" w:name="_Hlk68258681"/>
      <w:proofErr w:type="spellStart"/>
      <w:r w:rsidRPr="00D542A1">
        <w:rPr>
          <w:rFonts w:ascii="Times New Roman" w:hAnsi="Times New Roman" w:cs="Times New Roman"/>
          <w:sz w:val="24"/>
          <w:szCs w:val="24"/>
        </w:rPr>
        <w:t>Gillo</w:t>
      </w:r>
      <w:proofErr w:type="spellEnd"/>
      <w:r w:rsidRPr="00D542A1">
        <w:rPr>
          <w:rFonts w:ascii="Times New Roman" w:hAnsi="Times New Roman" w:cs="Times New Roman"/>
          <w:sz w:val="24"/>
          <w:szCs w:val="24"/>
        </w:rPr>
        <w:t xml:space="preserve">, a migrant worker at the Cargill plant was denied a mask by a plant supervisor with the explanation “that social distancing measure was in place”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{"citationID":"O8zj1cFZ","properties":{"formattedCitation":"(Frangou, 2020b)","plainCitation":"(Frangou, 2020b)","noteIndex":0},"citationItems":[{"id":835,"uris":["http://zotero.org/users/5481489/items/XR6I9JWM"],"uri":["http://zotero.org/users/5481489/items/XR6I9JWM"],"itemData":{"id":835,"type":"article-magazine","abstract":"In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(Frangou,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The migrants made a private arrangement to get disposable masks, but they had to be reused several times.</w:t>
      </w:r>
      <w:bookmarkEnd w:id="56"/>
      <w:r w:rsidRPr="00D542A1">
        <w:rPr>
          <w:rFonts w:ascii="Times New Roman" w:hAnsi="Times New Roman" w:cs="Times New Roman"/>
          <w:sz w:val="24"/>
          <w:szCs w:val="24"/>
        </w:rPr>
        <w:t xml:space="preserve"> Additionally, the request of the union leaders to shutdown the plant was not honored </w:t>
      </w:r>
      <w:r w:rsidR="0032313B">
        <w:rPr>
          <w:rFonts w:ascii="Times New Roman" w:hAnsi="Times New Roman" w:cs="Times New Roman"/>
          <w:sz w:val="24"/>
          <w:szCs w:val="24"/>
        </w:rPr>
        <w:t>un</w:t>
      </w:r>
      <w:r w:rsidRPr="00D542A1">
        <w:rPr>
          <w:rFonts w:ascii="Times New Roman" w:hAnsi="Times New Roman" w:cs="Times New Roman"/>
          <w:sz w:val="24"/>
          <w:szCs w:val="24"/>
        </w:rPr>
        <w:t xml:space="preserve">til a migrant worker died. </w:t>
      </w:r>
      <w:bookmarkStart w:id="57" w:name="_Hlk68042481"/>
      <w:r w:rsidRPr="00D542A1">
        <w:rPr>
          <w:rFonts w:ascii="Times New Roman" w:hAnsi="Times New Roman" w:cs="Times New Roman"/>
          <w:sz w:val="24"/>
          <w:szCs w:val="24"/>
        </w:rPr>
        <w:t>Michael Hughes</w:t>
      </w:r>
      <w:bookmarkEnd w:id="57"/>
      <w:r w:rsidRPr="00D542A1">
        <w:rPr>
          <w:rFonts w:ascii="Times New Roman" w:hAnsi="Times New Roman" w:cs="Times New Roman"/>
          <w:sz w:val="24"/>
          <w:szCs w:val="24"/>
        </w:rPr>
        <w:t xml:space="preserve">, spokesperson of United Food and Commercial Workers Local 401 at the plant, explained that the closure was not out of concern for the workers but because the workers refused to come to work, which forced the employer to close the plant for two weeks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{"citationID":"gd33R1N3","properties":{"formattedCitation":"(Nikiforuk, 2020, p. 1)","plainCitation":"(Nikiforuk, 2020, p. 1)","noteIndex":0},"citationItems":[{"id":1083,"uris":["http://zotero.org/users/5481489/items/TPY28ZBA"],"uri":["http://zotero.org/users/5481489/items/TPY28ZBA"],"itemData":{"id":1083,"type":"webpage","abstract":"As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(Nikiforuk,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initial refusal to close the plant for safety reasons further highlights the view of migrants as useful but expendable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{"citationID":"w6hDKHW8","properties":{"formattedCitation":"(Dryden, 2020b)","plainCitation":"(Dryden, 2020b)","noteIndex":0},"citationItems":[{"id":1113,"uris":["http://zotero.org/users/5481489/items/W54HYEKY"],"uri":["http://zotero.org/users/5481489/items/W54HYEKY"],"itemData":{"id":1113,"type":"webpage","abstract":"How did numbers connected to the Cargill meat plant outbreak increase so drastically over a period of days? That's the obvious question posed after Dr. Deena Hinshaw, Alberta's chief medical officer of health, announced new numbers Friday.","container-title":"CBC","language":"en","title":"What led to Alberta's biggest outbreak? Cargill meat plant's hundreds of COVID-19 cases | CBC News","title-short":"What led to Alberta's biggest outbreak?","URL":"https://www.cbc.ca/news/canada/calgary/cargill-alberta-covid-19-deena-hinshaw-1.5537377","author":[{"family":"Dryden","given":"Joel"}],"accessed":{"date-parts":[["2021",3,23]]},"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16CD778A"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In another instance it was discovered that migrant workers were mandated to work despite testing positive for COVID -19. Writing for an investigation, into the Cargill outbreak in The Globe and Mail, Grant et al (2020), uncovered this disturbing working scenario, writing</w:t>
      </w:r>
    </w:p>
    <w:p w14:paraId="636FA719" w14:textId="77777777" w:rsidR="00D542A1" w:rsidRPr="00D542A1" w:rsidRDefault="00D542A1" w:rsidP="00BE37E2">
      <w:pPr>
        <w:spacing w:line="276" w:lineRule="auto"/>
        <w:ind w:left="851" w:right="1280"/>
        <w:contextualSpacing/>
        <w:jc w:val="both"/>
        <w:rPr>
          <w:rFonts w:ascii="Times New Roman" w:hAnsi="Times New Roman" w:cs="Times New Roman"/>
          <w:sz w:val="24"/>
          <w:szCs w:val="24"/>
        </w:rPr>
      </w:pPr>
      <w:r w:rsidRPr="00D542A1">
        <w:rPr>
          <w:rFonts w:ascii="Times New Roman" w:hAnsi="Times New Roman" w:cs="Times New Roman"/>
          <w:sz w:val="24"/>
          <w:szCs w:val="24"/>
        </w:rPr>
        <w:lastRenderedPageBreak/>
        <w:t xml:space="preserve"> an environment in which employees, who are largely immigrants and temporary foreign workers, said they felt pressured to continue working even as the COVID-19 numbers continued to rise. A number of employees said the company's medical staff cleared them to continue working despite symptoms, positive COVID-19 test results, incomplete isolation periods and recent travel abroad. Employees said they were not provided with adequate personal protective equipment; masks were not required until April 16.?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{"citationID":"0VHoRVIh","properties":{"formattedCitation":"(Grant et al., 2020, p. 1)","plainCitation":"(Grant et al., 2020, p. 1)","dontUpdate":true,"noteIndex":0},"citationItems":[{"id":841,"uris":["http://zotero.org/users/5481489/items/E5VXLS6D"],"uri":["http://zotero.org/users/5481489/items/E5VXLS6D"],"itemData":{"id":841,"type":"webpage","container-title":"The Globe and Mail (Online)","language":"English","note":"publisher-place: Toronto, Canada\npublisher: The Globe and Mail","title":"Cargill meat plant, site of Canada's largest COVID-19 outbreak, prepares to reopen: Negotiations between facility and union continue late into night as poll shows most workers are afraid to return","title-short":"Cargill meat plant, site of Canada's largest COVID-19 outbreak, prepares to reopen","URL":"http://search.proquest.com/docview/2397460803/citation/596205CEFD0B445DPQ/1","author":[{"family":"Grant","given":"Tavia"},{"family":"Ha","given":"Tu Thanh"},{"family":"Tait","given":"Carrie"},{"family":"Baum","given":"Kathryn Blaze"}],"accessed":{"date-parts":[["2021",2,13]]},"issued":{"date-parts":[["2020",5,4]]}},"locator":"1"}],"schema":"https://github.com/citation-style-language/schema/raw/master/csl-citation.json"}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p>
    <w:p w14:paraId="4D6A4C3D" w14:textId="77777777" w:rsidR="00D542A1" w:rsidRPr="00D542A1" w:rsidRDefault="00D542A1" w:rsidP="00BE37E2">
      <w:pPr>
        <w:spacing w:line="276" w:lineRule="auto"/>
        <w:contextualSpacing/>
        <w:jc w:val="both"/>
        <w:rPr>
          <w:rFonts w:ascii="Times New Roman" w:hAnsi="Times New Roman" w:cs="Times New Roman"/>
          <w:i/>
          <w:iCs/>
          <w:sz w:val="24"/>
          <w:szCs w:val="24"/>
        </w:rPr>
      </w:pPr>
    </w:p>
    <w:p w14:paraId="01FB980E" w14:textId="74F210CB" w:rsidR="00D542A1" w:rsidRPr="00D542A1" w:rsidRDefault="00D542A1" w:rsidP="00BE37E2">
      <w:pPr>
        <w:spacing w:line="480" w:lineRule="auto"/>
        <w:ind w:firstLine="720"/>
        <w:jc w:val="both"/>
        <w:rPr>
          <w:rFonts w:ascii="Times New Roman" w:hAnsi="Times New Roman" w:cs="Times New Roman"/>
          <w:sz w:val="24"/>
          <w:szCs w:val="24"/>
        </w:rPr>
      </w:pPr>
      <w:r w:rsidRPr="00D542A1">
        <w:rPr>
          <w:rFonts w:ascii="Times New Roman" w:hAnsi="Times New Roman" w:cs="Times New Roman"/>
          <w:sz w:val="24"/>
          <w:szCs w:val="24"/>
        </w:rPr>
        <w:t xml:space="preserve">Others accused the employer in the meatpacking plant of being more inclined towards profit maximization and economic growth than on the hardships experienced by migrants both prior and during the pandemic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{"citationID":"XW7BSlo8","properties":{"formattedCitation":"(Frangou, 2020b; Ramos et al., 2020b, 2021)","plainCitation":"(Frangou, 2020b; Ramos et al., 2020b, 2021)","noteIndex":0},"citationItems":[{"id":835,"uris":["http://zotero.org/users/5481489/items/XR6I9JWM"],"uri":["http://zotero.org/users/5481489/items/XR6I9JWM"],"itemData":{"id":835,"type":"article-magazine","abstract":"In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id":1121,"uris":["http://zotero.org/users/5481489/items/D5JKCWND"],"uri":["http://zotero.org/users/5481489/items/D5JKCWND"],"itemData":{"id":1121,"type":"article-journal","abstract":"From the farms to the packing plants, essential workers in critical food production industries keep food on our tables while risking their and their families’ health and well-being to bring home a paycheck. They work in essential industries but are often invisible. The disparities illuminated by COVID-19 are not new. Instead, they are the result of years of inequities built into practices, policies, and systems that reinforce societal power structures. As a society, we are now at an antagonizing moment where we can change our collective trajectory to focus forward and promote equity and justice for workers in agriculture and food-related industries. To that end, we describe our experience and approach in addressing COVID-19 outbreaks in meat processing facilities, which included three pillars of action based on public health ethics and international human rights: (1) worksite prevention and control, (2) community-based prevention and control, and (3) treatment. Our approach can be translated to promote the health, safety, and well-being of the broader agricultural workforce.","container-title":"Journal of Agromedicine","DOI":"10.1080/1059924X.2020.1814925","ISSN":"1059-924X, 1545-0813","issue":"4","journalAbbreviation":"Journal of Agromedicine","language":"en","page":"378-382","source":"DOI.org (Crossref)","title":"Invisible No More: The Impact of COVID-19 on Essential Food Production Workers","title-short":"Invisible No More","volume":"25","author":[{"family":"Ramos","given":"Athena K."},{"family":"Lowe","given":"Abigail E."},{"family":"Herstein","given":"Jocelyn J."},{"family":"Schwedhelm","given":"Shelly"},{"family":"Dineen","given":"Kelly K."},{"family":"Lowe","given":"John J."}],"issued":{"date-parts":[["2020",10,1]]}}},{"id":1079,"uris":["http://zotero.org/users/5481489/items/U3AL7XBM"],"uri":["http://zotero.org/users/5481489/items/U3AL7XBM"],"itemData":{"id":1079,"type":"article-journal","abstract":"Background: Meatpacking is dangerous, dirty, and demanding (3‐D) work—much of which is done by immigrant workers. It is characterized by high rates of occupational injuries and illnesses due to the speed of the production line, repetitive motions, and other inherent exposures. The purpose of this qualitative study was to explore perceptions of safety culture among Hispanic/Latino meatpacking workers in the Midwest.\nMethods: Five focus groups with a total of 28 participants were conducted between March 2019 and February 2020 with Hispanic/Latino meatpacking workers in Nebraska. Workers were asked about the type of work performed, how the work was physically done, and perceptions of health risks and exposures. Thematic analysis was used to build a description of safety culture within the meatpacking industry.\nResults: Three main themes were found: (1) workers depicted a culture where companies cared more about production than people; (2) workers felt powerless in improving their situation; and (3) workers noted that the work was precarious, both dangerous and one where much of the responsibility for safety was shifted to the individual workers.\nConclusions: The meatpacking industry has a poor safety culture. Safety culture within the industry may be improved by ensuring that organizational values and artifacts are aligned with safety by addressing the critical role of supervisors, providing culturally and linguistically appropriate consistent safety training and messaging to the workforce, and enforcing and strengthening safety regulations.","container-title":"American Journal of Industrial Medicine","DOI":"10.1002/ajim.23206","ISSN":"0271-3586, 1097-0274","issue":"2","journalAbbreviation":"Am J Ind Med","language":"en","page":"84-96","source":"DOI.org (Crossref)","title":"“No somos máquinas” (We are not machines): Worker perspectives of safety culture in meatpacking plants in the Midwest","title-short":"“No somos máquinas” (We are not machines)","volume":"64","author":[{"family":"Ramos","given":"Athena K."},{"family":"Carvajal‐Suarez","given":"Marcela"},{"family":"Trinidad","given":"Natalia"},{"family":"Quintero","given":"Sophia"},{"family":"Molina","given":"Diana"},{"family":"Rowland","given":"Sheri A."}],"issued":{"date-parts":[["2021",2]]}}}],"schema":"https://github.com/citation-style-language/schema/raw/master/csl-citation.json"}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(Frangou, 2020b; Ramos et al., 2020b,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Similarly, the University of Ottawa lawyer and public health expert Amir Attaran, stated in an interview to The Tyee news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{"citationID":"vZxziL3F","properties":{"formattedCitation":"(Nikiforuk, 2020)","plainCitation":"(Nikiforuk, 2020)","noteIndex":0},"citationItems":[{"id":1083,"uris":["http://zotero.org/users/5481489/items/TPY28ZBA"],"uri":["http://zotero.org/users/5481489/items/TPY28ZBA"],"itemData":{"id":1083,"type":"webpage","abstract":"As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(Nikiforuk,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that the outbreak at the plant “definitely should have been predicted by the health and safety inspectors [and] that these would be hot spots. Alberta was doing inspections by video, raising questions whether there was an effort to prevent the inspectors doing their jobs”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{"citationID":"4cf0DFs5","properties":{"formattedCitation":"(Nikiforuk, 2020, p. 1)","plainCitation":"(Nikiforuk, 2020, p. 1)","dontUpdate":true,"noteIndex":0},"citationItems":[{"id":1083,"uris":["http://zotero.org/users/5481489/items/TPY28ZBA"],"uri":["http://zotero.org/users/5481489/items/TPY28ZBA"],"itemData":{"id":1083,"type":"webpage","abstract":"As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suggests a potential of collusion between the government officials and the company to protect </w:t>
      </w:r>
      <w:r w:rsidR="0032313B">
        <w:rPr>
          <w:rFonts w:ascii="Times New Roman" w:hAnsi="Times New Roman" w:cs="Times New Roman"/>
          <w:sz w:val="24"/>
          <w:szCs w:val="24"/>
        </w:rPr>
        <w:t xml:space="preserve">the </w:t>
      </w:r>
      <w:r w:rsidRPr="00D542A1">
        <w:rPr>
          <w:rFonts w:ascii="Times New Roman" w:hAnsi="Times New Roman" w:cs="Times New Roman"/>
          <w:sz w:val="24"/>
          <w:szCs w:val="24"/>
        </w:rPr>
        <w:t xml:space="preserve">company interest while devaluing the health and welfare of its workers. Nikiforuk (2020) further indicated that the general concern of the Cargill plant was to ensure that work at the plant was not disrupted, keeping “our facilities open and operating because now, more than ever, families across Canada and around the world are relying on us to deliver safe, affordable protein”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{"citationID":"ia3Eu4Tx","properties":{"formattedCitation":"(2020, p. 1)","plainCitation":"(2020, p. 1)","dontUpdate":true,"noteIndex":0},"citationItems":[{"id":1083,"uris":["http://zotero.org/users/5481489/items/TPY28ZBA"],"uri":["http://zotero.org/users/5481489/items/TPY28ZBA"],"itemData":{"id":1083,"type":"webpage","abstract":"As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locator":"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Additionally, the Alberta Agriculture Minister Devin </w:t>
      </w:r>
      <w:proofErr w:type="spellStart"/>
      <w:r w:rsidRPr="00D542A1">
        <w:rPr>
          <w:rFonts w:ascii="Times New Roman" w:hAnsi="Times New Roman" w:cs="Times New Roman"/>
          <w:sz w:val="24"/>
          <w:szCs w:val="24"/>
        </w:rPr>
        <w:t>Dreeshen</w:t>
      </w:r>
      <w:proofErr w:type="spellEnd"/>
      <w:r w:rsidRPr="00D542A1">
        <w:rPr>
          <w:rFonts w:ascii="Times New Roman" w:hAnsi="Times New Roman" w:cs="Times New Roman"/>
          <w:sz w:val="24"/>
          <w:szCs w:val="24"/>
        </w:rPr>
        <w:t xml:space="preserve">, in her tweet on April 14, indicated the importance that the plants should be operational at all cost stating that “these plants need to be operational in order for our food-supply system to operate,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{"citationID":"arWYdsgs","properties":{"formattedCitation":"(Nikiforuk, 2020, p. 1)","plainCitation":"(Nikiforuk, 2020, p. 1)","noteIndex":0},"citationItems":[{"id":1083,"uris":["http://zotero.org/users/5481489/items/TPY28ZBA"],"uri":["http://zotero.org/users/5481489/items/TPY28ZBA"],"itemData":{"id":1083,"type":"webpage","abstract":"As the virus gripped US plants, the union pleaded for a shutdown. They were rebuffed.","container-title":"The Tyee","language":"English","note":"publisher: The Tyee","title":"Ignoring US Alarms, Alberta Meat Packers Spawned Canada’s Biggest Outbreak","URL":"https://thetyee.ca/News/2020/04/24/Alberta-Meat-Packers-COVID-Outbreak/","author":[{"family":"Nikiforuk","given":"Andrew"}],"accessed":{"date-parts":[["2021",3,23]]},"issued":{"date-parts":[["2020",4,24]]}},"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(Nikiforuk,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The rhetoric indicates that employers and the Government priority was the production of food for Canadian residents but unfortunately at the expense of migrant workers.</w:t>
      </w:r>
    </w:p>
    <w:p w14:paraId="2C050709"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58" w:name="_Toc72494771"/>
      <w:r w:rsidRPr="00D542A1">
        <w:rPr>
          <w:rFonts w:ascii="Times New Roman" w:eastAsiaTheme="majorEastAsia" w:hAnsi="Times New Roman" w:cs="Times New Roman"/>
          <w:color w:val="2F5496" w:themeColor="accent1" w:themeShade="BF"/>
          <w:sz w:val="24"/>
          <w:szCs w:val="24"/>
          <w:lang w:val="en-US"/>
        </w:rPr>
        <w:lastRenderedPageBreak/>
        <w:t>Summary of Case #1</w:t>
      </w:r>
      <w:bookmarkEnd w:id="58"/>
    </w:p>
    <w:p w14:paraId="57EBB5B8" w14:textId="77777777" w:rsidR="00D542A1" w:rsidRPr="00D542A1" w:rsidRDefault="00D542A1" w:rsidP="00BE37E2">
      <w:pPr>
        <w:jc w:val="both"/>
        <w:rPr>
          <w:rFonts w:ascii="Times New Roman" w:hAnsi="Times New Roman" w:cs="Times New Roman"/>
          <w:sz w:val="24"/>
          <w:szCs w:val="24"/>
          <w:lang w:val="en-US"/>
        </w:rPr>
      </w:pPr>
    </w:p>
    <w:p w14:paraId="08A72F56" w14:textId="605B6319" w:rsidR="00D542A1" w:rsidRPr="00D542A1" w:rsidRDefault="00D542A1" w:rsidP="00BE37E2">
      <w:pPr>
        <w:spacing w:line="480" w:lineRule="auto"/>
        <w:ind w:firstLine="567"/>
        <w:jc w:val="both"/>
        <w:rPr>
          <w:rFonts w:ascii="Times New Roman" w:hAnsi="Times New Roman" w:cs="Times New Roman"/>
          <w:color w:val="FF0000"/>
          <w:sz w:val="24"/>
          <w:szCs w:val="24"/>
        </w:rPr>
      </w:pPr>
      <w:bookmarkStart w:id="59" w:name="_Hlk70591146"/>
      <w:r w:rsidRPr="00D542A1">
        <w:rPr>
          <w:rFonts w:ascii="Times New Roman" w:hAnsi="Times New Roman" w:cs="Times New Roman"/>
          <w:sz w:val="24"/>
          <w:szCs w:val="24"/>
        </w:rPr>
        <w:t>The example of the meat packing industry illustrates how the health of migrant workers can be seen as shaped by multi-dimensional overlapping factors of immigration status, working conditions and gender. Taken together, the effect of these complex issues leaves migrant workers vulnerable to diseases and viruses diminishing any initial health advantage they may have held. We see how the lack of regard for their health and safety as workers intersect with the socialized risk-taking and bread-winner ideologies of masculinity influenced the migrant men’s tendency to provide for their family at all costs, despite the risks involved in this kind of work. Although masculinity theory suggests that men are socialized to have a higher tolerance for risk taking, this assumption about men may better explain employers’ lack of attention to ensuring a safe workplace. Perhaps employers assumed that “real men” should be willing to take such risks. Taken together, the findings point to varying degrees of exploitation by the employers of migrant workers, and lack of protection by government officials in the destination country leading to diminishing health advantage. A number of these themes also resonated in the case study of migrant farm workers and will be discussed in the following section.</w:t>
      </w:r>
    </w:p>
    <w:bookmarkEnd w:id="59"/>
    <w:p w14:paraId="6D78D5D9" w14:textId="77777777" w:rsidR="00890D96" w:rsidRDefault="00890D96"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p>
    <w:p w14:paraId="086FB7E0" w14:textId="4E494F6D"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60" w:name="_Toc72494772"/>
      <w:r w:rsidRPr="00D542A1">
        <w:rPr>
          <w:rFonts w:ascii="Times New Roman" w:eastAsiaTheme="majorEastAsia" w:hAnsi="Times New Roman" w:cs="Times New Roman"/>
          <w:color w:val="2F5496" w:themeColor="accent1" w:themeShade="BF"/>
          <w:sz w:val="24"/>
          <w:szCs w:val="24"/>
          <w:lang w:val="en-US"/>
        </w:rPr>
        <w:t>Case Study #2: Migrant Workers in the Farming Industry</w:t>
      </w:r>
      <w:bookmarkEnd w:id="60"/>
      <w:r w:rsidRPr="00D542A1">
        <w:rPr>
          <w:rFonts w:ascii="Times New Roman" w:eastAsiaTheme="majorEastAsia" w:hAnsi="Times New Roman" w:cs="Times New Roman"/>
          <w:color w:val="2F5496" w:themeColor="accent1" w:themeShade="BF"/>
          <w:sz w:val="24"/>
          <w:szCs w:val="24"/>
          <w:lang w:val="en-US"/>
        </w:rPr>
        <w:t xml:space="preserve"> </w:t>
      </w:r>
    </w:p>
    <w:p w14:paraId="40EDBC7B" w14:textId="77777777" w:rsidR="00D542A1" w:rsidRPr="00D542A1" w:rsidRDefault="00D542A1" w:rsidP="00BE37E2">
      <w:pPr>
        <w:jc w:val="both"/>
        <w:rPr>
          <w:rFonts w:ascii="Times New Roman" w:hAnsi="Times New Roman" w:cs="Times New Roman"/>
          <w:sz w:val="24"/>
          <w:szCs w:val="24"/>
          <w:lang w:val="en-US"/>
        </w:rPr>
      </w:pPr>
    </w:p>
    <w:p w14:paraId="7B6485AF" w14:textId="313AAF6A" w:rsidR="00D542A1" w:rsidRPr="00D542A1" w:rsidRDefault="00D542A1" w:rsidP="00BE37E2">
      <w:pPr>
        <w:spacing w:line="480" w:lineRule="auto"/>
        <w:ind w:firstLine="709"/>
        <w:jc w:val="both"/>
        <w:rPr>
          <w:rFonts w:ascii="Times New Roman" w:hAnsi="Times New Roman" w:cs="Times New Roman"/>
          <w:sz w:val="24"/>
          <w:szCs w:val="24"/>
          <w:lang w:val="en-US"/>
        </w:rPr>
      </w:pPr>
      <w:r w:rsidRPr="00D542A1">
        <w:rPr>
          <w:rFonts w:ascii="Times New Roman" w:hAnsi="Times New Roman" w:cs="Times New Roman"/>
          <w:sz w:val="24"/>
          <w:szCs w:val="24"/>
        </w:rPr>
        <w:t xml:space="preserve">Certain types of farming in Canada can be lucrative and </w:t>
      </w:r>
      <w:r w:rsidR="00550DE9" w:rsidRPr="00D542A1">
        <w:rPr>
          <w:rFonts w:ascii="Times New Roman" w:hAnsi="Times New Roman" w:cs="Times New Roman"/>
          <w:sz w:val="24"/>
          <w:szCs w:val="24"/>
        </w:rPr>
        <w:t>overall,</w:t>
      </w:r>
      <w:r w:rsidRPr="00D542A1">
        <w:rPr>
          <w:rFonts w:ascii="Times New Roman" w:hAnsi="Times New Roman" w:cs="Times New Roman"/>
          <w:sz w:val="24"/>
          <w:szCs w:val="24"/>
        </w:rPr>
        <w:t xml:space="preserve"> as a sector it contributes significantly to Canada’s annual GDP while also providing food for domestic consumption. The Inter-American Institute for Cooperation on Agriculture (IICA), reported that the agri-food industry is a “$100 billion industry that contributes 8% to Canada’s GDP and employs 2.1 million Canadians”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{"citationID":"nbB9VNHa","properties":{"formattedCitation":"(Budworth et al., 2017, p. 2; Statistics Canada, 2020b)","plainCitation":"(Budworth et al., 2017, p. 2; Statistics Canada, 2020b)","noteIndex":0},"citationItems":[{"id":1125,"uris":["http://zotero.org/users/5481489/items/YGNNRWRA"],"uri":["http://zotero.org/users/5481489/items/YGNNRWRA"],"itemData":{"id":1125,"type":"article","title":"Report on the Seasonal Agricultural  Worker Program","author":[{"family":"Budworth","given":"Marie-Hélène"},{"family":"Rose","given":"Andrew"},{"family":"Mann","given":"Sara"}],"issued":{"date-parts":[["2017"]]}},"locator":"2"},{"id":1211,"uris":["http://zotero.org/users/5481489/items/5E2QPRDY"],"uri":["http://zotero.org/users/5481489/items/5E2QPRDY"],"itemData":{"id":1211,"type":"webpage","abstract":"Canadian farmers play a critical role in Canada's food chain. This infographic is intended to thank Canada's farmers for their hard-work in good times and bad times, and it displays statistics on a few selected commodities produced by them.","language":"eng","note":"Last Modified: 2020-06-18","title":"Thank you to Canadian farmers: Insights on their vital role in Canada's food chain","title-short":"Thank you to Canadian farmers","URL":"https://www150.statcan.gc.ca/n1/pub/11-627-m/11-627-m2020037-eng.htm","author":[{"family":"Statistics Canada","given":""}],"accessed":{"date-parts":[["2021",4,1]]},"issued":{"date-parts":[["2020",6,18]]}}}],"schema":"https://github.com/citation-style-language/schema/raw/master/csl-citation.json"}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(Budworth et al., 2017, p. 2; Statistics Canada,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At the same time, however, </w:t>
      </w:r>
      <w:r w:rsidRPr="00D542A1">
        <w:rPr>
          <w:rFonts w:ascii="Times New Roman" w:hAnsi="Times New Roman" w:cs="Times New Roman"/>
          <w:sz w:val="24"/>
          <w:szCs w:val="24"/>
        </w:rPr>
        <w:lastRenderedPageBreak/>
        <w:t>this industry was also a hot spot for COVID -19 virus. In this section I will analyse some of the factors that contributed to the spread of the virus in the migrant labourers in the Ontario farm industry.</w:t>
      </w:r>
    </w:p>
    <w:p w14:paraId="5A6983F5"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61" w:name="_Toc72494773"/>
      <w:r w:rsidRPr="00D542A1">
        <w:rPr>
          <w:rFonts w:ascii="Times New Roman" w:eastAsiaTheme="majorEastAsia" w:hAnsi="Times New Roman" w:cs="Times New Roman"/>
          <w:color w:val="2F5496" w:themeColor="accent1" w:themeShade="BF"/>
          <w:sz w:val="24"/>
          <w:szCs w:val="24"/>
        </w:rPr>
        <w:t>Working Conditions</w:t>
      </w:r>
      <w:bookmarkEnd w:id="61"/>
    </w:p>
    <w:p w14:paraId="1CF831BC" w14:textId="77777777" w:rsidR="00D542A1" w:rsidRPr="00D542A1" w:rsidRDefault="00D542A1" w:rsidP="00BE37E2">
      <w:pPr>
        <w:jc w:val="both"/>
        <w:rPr>
          <w:rFonts w:ascii="Times New Roman" w:hAnsi="Times New Roman" w:cs="Times New Roman"/>
          <w:sz w:val="24"/>
          <w:szCs w:val="24"/>
        </w:rPr>
      </w:pPr>
    </w:p>
    <w:p w14:paraId="7898CA11" w14:textId="33683306"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The working conditions of temporary Migrant agricultural workers expose</w:t>
      </w:r>
      <w:r w:rsidR="005C393D">
        <w:rPr>
          <w:rFonts w:ascii="Times New Roman" w:hAnsi="Times New Roman" w:cs="Times New Roman"/>
          <w:sz w:val="24"/>
          <w:szCs w:val="24"/>
        </w:rPr>
        <w:t>d</w:t>
      </w:r>
      <w:r w:rsidRPr="00D542A1">
        <w:rPr>
          <w:rFonts w:ascii="Times New Roman" w:hAnsi="Times New Roman" w:cs="Times New Roman"/>
          <w:sz w:val="24"/>
          <w:szCs w:val="24"/>
        </w:rPr>
        <w:t xml:space="preserve"> them to a multitude of health risks, including, but not limited to, repetitive tasks, heavy lifting, and a lack of proper training in handling tools and chemicals in the workplace. As a vulnerable group they are also exposed, without adequate protection, to pesticides and fertilizers which can result in chronic respiratory symptoms and other diseases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{"citationID":"MX38o0bz","properties":{"formattedCitation":"(B. Cameron et al., 2020; L. Cameron et al., 2006; Hennebry, 2010, p. 74; Pysklywec et al., 2011)","plainCitation":"(B. Cameron et al., 2020; L. Cameron et al., 2006; Hennebry, 2010, p. 74; Pysklywec et al., 2011)","dontUpdate":true,"noteIndex":0},"citationItems":[{"id":921,"uris":["http://zotero.org/users/5481489/items/4IHAV52D"],"uri":["http://zotero.org/users/5481489/items/4IHAV52D"],"itemData":{"id":921,"type":"article-journal","language":"en","page":"80","source":"Zotero","title":"Gender Inclusion in Agriculture, Aquaculture, and Fisheries in Prince Edward Island, Canada: Results from a Survey","author":[{"family":"Cameron","given":"Bobby"},{"family":"Kaatz","given":"Victoria"},{"family":"Morrison","given":"Chelsea"}],"issued":{"date-parts":[["2020"]]}}},{"id":981,"uris":["http://zotero.org/users/5481489/items/9TKBYSAK"],"uri":["http://zotero.org/users/5481489/items/9TKBYSAK"],"itemData":{"id":981,"type":"article-journal","abstract":"Little is known about the magnitude of occupational health problems among migrant farm workers. A community-based cross-sectional survey was conducted in two migrant farm worker communities: Homestead, Florida, and Kankakee, Illinois. Camp Health Aides (CHAs) interviewed 425 workers about job tasks, personal protective equipment (PPE), field sanitation, work exposures, and selected health conditions. Limited provision of personal protective equipment was reported among those reporting early re-entry tasks: 35% in Kankakee and 42% in Homestead were provided gloves, and 22% in Homestead and 0% in Kankakee were provided protective clothing. About two-thirds were provided toilet facilities and water for hand-washing. Workers reported high prevalences of health conditions consistent with exposure to ergonomic hazards and pesticides. The prevalence of back pain in the past 12 months was 39% in Homestead and 24% in Kankakee. Among Homestead participants, 35% experienced eye symptoms, while 31% reported skin symptoms. These symptoms were less prevalent among Kankakee participants (16% for both eye and skin symptoms). Specific areas of concern included back pain associated with heavy lifting and ladder work; eye and skin irritation associated with fertilizer application tasks and with working in fields during or after spraying of chemicals, especially early re-entry of sprayed fields; and skin irritation associated with a lack of access to hand-washing facilities. In both Kankakee and Homestead, better adherence to safety standards is needed, as well as greater efforts to implement solutions that are available to help prevent work-related musculoskeletal problems.","container-title":"Journal of Agricultural Safety and Health","DOI":"10.13031/2013.20389","ISSN":"1074-7583","issue":"2","journalAbbreviation":"J Agric Saf Health","language":"eng","note":"PMID: 16724790","page":"139-153","source":"PubMed","title":"Occupational health survey of farm workers by camp health aides","volume":"12","author":[{"family":"Cameron","given":"Lorraine"},{"family":"Lalich","given":"Nina"},{"family":"Bauer","given":"S."},{"family":"Booker","given":"V."},{"family":"Bogue","given":"H. O."},{"family":"Samuels","given":"S."},{"family":"Steege","given":"A. L."}],"issued":{"date-parts":[["2006"]]}}},{"id":743,"uris":["http://zotero.org/users/5481489/items/KM5JV5U2"],"uri":["http://zotero.org/users/5481489/items/KM5JV5U2"],"itemData":{"id":743,"type":"article-journal","abstract":"Canadian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w:instrText>
      </w:r>
      <w:r w:rsidRPr="00D542A1">
        <w:rPr>
          <w:rFonts w:ascii="Times New Roman" w:hAnsi="Times New Roman" w:cs="Times New Roman"/>
          <w:sz w:val="24"/>
          <w:szCs w:val="24"/>
          <w:lang w:val="fr-FR"/>
        </w:rPr>
        <w:instrText xml:space="preserve"> Montreal, Canada\npublisher: Association of Canadian Studies","page":"73-77","source":"ProQuest","title":"Not Just a Few Bad Apples: Vulnerability, Health and Temporary Migration in Canada","title-short":"Not Just a Few Bad Apples","author":[{"family":"Hennebry","given":"Jenna"}],"issued":{"date-parts":[["2010"]],"season":"Spring"}},"locator":"74"},{"id":983,"uris":["http://zotero.org/users/5481489/items/YNB7XYFQ"],"uri":["http://zotero.org/users/5481489/items/YNB7XYFQ"],"itemData":{"id":983,"type":"article-journal","abstract":"See related analysis article by Preibisch and Hennebry on page [1033][1] and at [www.cmaj.ca/cgi/doi/10.1503/cmaj.090736][2].\n\nJosé, a migrant farm worker from Mexico, presents with a one-month history of low back pain. Through broken English and Spanish, he tells you that he has been in Canada for","container-title":"CMAJ","DOI":"10.1503/cmaj.091404","ISSN":"0820-3946, 1488-2329","issue":"9","language":"en","note":"publisher: CMAJ\nsection: Practice\nPMID: 21502349","page":"1039-1042","source":"www.cmaj.ca","title":"Doctors within borders: meeting the health care needs of migrant farm workers in Canada","title-short":"Doctors within borders","volume":"183","author":[{"family":"Pysklywec","given":"Michael"},{"family":"McLaughlin","given":"Janet"},{"family":"Tew","given":"Michelle"},{"family":"Haines","given":"Ted"}],"issued":{"date-parts":[["2011",6,14]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lang w:val="fr-FR"/>
        </w:rPr>
        <w:t>Cameron et al., 2020; Cameron et al., 2006; Hennebry, 2010,; Pysklywec et al., 2011)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lang w:val="fr-FR"/>
        </w:rPr>
        <w:t xml:space="preserve">. </w:t>
      </w:r>
      <w:r w:rsidRPr="00D542A1">
        <w:rPr>
          <w:rFonts w:ascii="Times New Roman" w:hAnsi="Times New Roman" w:cs="Times New Roman"/>
          <w:sz w:val="24"/>
          <w:szCs w:val="24"/>
        </w:rPr>
        <w:t>The high rate of musculoskeletal disorders due to the repetitive posture while working have all contributed to the declining health of migrants.</w:t>
      </w:r>
    </w:p>
    <w:p w14:paraId="188CE70A"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 A study conducted by </w:t>
      </w:r>
      <w:proofErr w:type="spellStart"/>
      <w:r w:rsidRPr="00D542A1">
        <w:rPr>
          <w:rFonts w:ascii="Times New Roman" w:hAnsi="Times New Roman" w:cs="Times New Roman"/>
          <w:sz w:val="24"/>
          <w:szCs w:val="24"/>
        </w:rPr>
        <w:t>Hennebery</w:t>
      </w:r>
      <w:proofErr w:type="spellEnd"/>
      <w:r w:rsidRPr="00D542A1">
        <w:rPr>
          <w:rFonts w:ascii="Times New Roman" w:hAnsi="Times New Roman" w:cs="Times New Roman"/>
          <w:sz w:val="24"/>
          <w:szCs w:val="24"/>
        </w:rPr>
        <w:t xml:space="preserve"> (2010) to assess the quality of health and safety training for migrant workers shows that 62% of Mexicans and 35% of Jamaicans in Canada had not received adequate on-the-job safety training. The result is that “nearly half of the respondents who work in direct contact with chemicals apply them without such necessary protection as gloves, masks, and goggles, thus exposing themselves to harmful substances that may cause various viral, respiratory, neurological and physical illness”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{"citationID":"RcgXUe32","properties":{"formattedCitation":"(Hennebry, 2010, p. 75)","plainCitation":"(Hennebry, 2010, p. 75)","noteIndex":0},"citationItems":[{"id":743,"uris":["http://zotero.org/users/5481489/items/KM5JV5U2"],"uri":["http://zotero.org/users/5481489/items/KM5JV5U2"],"itemData":{"id":743,"type":"article-journal","abstract":"Canadian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Apples","author":[{"family":"Hennebry","given":"Jenna"}],"issued":{"date-parts":[["2010"]],"season":"Spring"}},"locator":"75"}],"schema":"https://github.com/citation-style-language/schema/raw/master/csl-citation.json"}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 p. 75)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roofErr w:type="spellStart"/>
      <w:r w:rsidRPr="00D542A1">
        <w:rPr>
          <w:rFonts w:ascii="Times New Roman" w:hAnsi="Times New Roman" w:cs="Times New Roman"/>
          <w:sz w:val="24"/>
          <w:szCs w:val="24"/>
        </w:rPr>
        <w:t>Hennebry</w:t>
      </w:r>
      <w:proofErr w:type="spellEnd"/>
      <w:r w:rsidRPr="00D542A1">
        <w:rPr>
          <w:rFonts w:ascii="Times New Roman" w:hAnsi="Times New Roman" w:cs="Times New Roman"/>
          <w:sz w:val="24"/>
          <w:szCs w:val="24"/>
        </w:rPr>
        <w:t xml:space="preserve"> et al., (2016) sum up the working condition of farm workers as follows,</w:t>
      </w:r>
    </w:p>
    <w:p w14:paraId="70881DA8" w14:textId="77777777" w:rsidR="00D542A1" w:rsidRPr="00D542A1" w:rsidRDefault="00D542A1" w:rsidP="00BE37E2">
      <w:pPr>
        <w:spacing w:line="240" w:lineRule="auto"/>
        <w:ind w:left="567" w:right="1422"/>
        <w:jc w:val="both"/>
        <w:rPr>
          <w:rFonts w:ascii="Times New Roman" w:hAnsi="Times New Roman" w:cs="Times New Roman"/>
          <w:sz w:val="24"/>
          <w:szCs w:val="24"/>
        </w:rPr>
      </w:pPr>
      <w:r w:rsidRPr="00D542A1">
        <w:rPr>
          <w:rFonts w:ascii="Times New Roman" w:hAnsi="Times New Roman" w:cs="Times New Roman"/>
          <w:sz w:val="24"/>
          <w:szCs w:val="24"/>
        </w:rPr>
        <w:t xml:space="preserve">for many migrant farm workers, work is not only long, uninterrupted and intense, it also occurs under variable climatic conditions, ranging from stifling hot greenhouses to open fields where they were exposed to the sun, rain, and snow. Seventy-nine percent reported having worked in extreme weather.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{"citationID":"twHFthkF","properties":{"formattedCitation":"(2016, p. 529)","plainCitation":"(2016, p. 529)","dontUpdate":true,"noteIndex":0},"citationItems":[{"id":755,"uris":["http://zotero.org/users/5481489/items/QNM5JUV5"],"uri":["http://zotero.org/users/5481489/items/QNM5JUV5"],"itemData":{"id":755,"type":"article-journal","abstract":"Drawing on a survey of nearly 600 migrant farm workers in Ontario, Canada, we investigate the ways in which the liminality of temporary migrants is both conditioning and consequential in terms of health for these migrants. In particular, we demonstrate how the liminality inherent in managed temporary migration programmes creates the conditions for heightened vulnerability, which also have consequences for the health of migrant workers and their access to care. We discuss common barriers to health care access experienced by migrant workers, including employer mediation, language differences, and hours of work.","container-title":"Journal of International Migration and Integration","DOI":"http://dx.doi.org.proxy.bib.uottawa.ca/10.1007/s12134-015-0417-1","ISSN":"14883473","issue":"2","language":"English","note":"number-of-pages: 521-538\npublisher-place: Dordrecht, Netherlands\npublisher: Springer Nature B.V.","page":"521-538","source":"ProQuest","title":"Out of the Loop: (In)access to Health Care for Migrant Workers in Canada","title-short":"Out of the Loop","volume":"17","author":[{"family":"Hennebry","given":"Jenna"},{"family":"Mclaughlin","given":"Janet"},{"family":"Preibisch","given":"Kerry"}],"issued":{"date-parts":[["2016",5]]}},"locator":"529","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529)</w:t>
      </w:r>
      <w:r w:rsidRPr="00D542A1">
        <w:rPr>
          <w:rFonts w:ascii="Times New Roman" w:hAnsi="Times New Roman" w:cs="Times New Roman"/>
          <w:sz w:val="24"/>
          <w:szCs w:val="24"/>
        </w:rPr>
        <w:fldChar w:fldCharType="end"/>
      </w:r>
    </w:p>
    <w:p w14:paraId="30E6AA9F" w14:textId="77777777" w:rsidR="00D542A1" w:rsidRPr="00D542A1" w:rsidRDefault="00D542A1" w:rsidP="00BE37E2">
      <w:pPr>
        <w:spacing w:line="240" w:lineRule="auto"/>
        <w:ind w:right="1422"/>
        <w:jc w:val="both"/>
        <w:rPr>
          <w:rFonts w:ascii="Times New Roman" w:hAnsi="Times New Roman" w:cs="Times New Roman"/>
          <w:sz w:val="24"/>
          <w:szCs w:val="24"/>
        </w:rPr>
      </w:pPr>
    </w:p>
    <w:p w14:paraId="1C2C6184" w14:textId="2935C44A"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lastRenderedPageBreak/>
        <w:t xml:space="preserve">Poor working conditions and, heightened health risks are among the multiple and complex factors contributing to the </w:t>
      </w:r>
      <w:r w:rsidR="005C393D">
        <w:rPr>
          <w:rFonts w:ascii="Times New Roman" w:hAnsi="Times New Roman" w:cs="Times New Roman"/>
          <w:sz w:val="24"/>
          <w:szCs w:val="24"/>
        </w:rPr>
        <w:t xml:space="preserve">decline of </w:t>
      </w:r>
      <w:r w:rsidRPr="00D542A1">
        <w:rPr>
          <w:rFonts w:ascii="Times New Roman" w:hAnsi="Times New Roman" w:cs="Times New Roman"/>
          <w:sz w:val="24"/>
          <w:szCs w:val="24"/>
        </w:rPr>
        <w:t>HIE of new immigrants and migrant workers.</w:t>
      </w:r>
    </w:p>
    <w:p w14:paraId="6DA5D0EE"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62" w:name="_Toc72494774"/>
      <w:r w:rsidRPr="00D542A1">
        <w:rPr>
          <w:rFonts w:ascii="Times New Roman" w:eastAsiaTheme="majorEastAsia" w:hAnsi="Times New Roman" w:cs="Times New Roman"/>
          <w:color w:val="2F5496" w:themeColor="accent1" w:themeShade="BF"/>
          <w:sz w:val="24"/>
          <w:szCs w:val="24"/>
        </w:rPr>
        <w:t>Living Conditions</w:t>
      </w:r>
      <w:bookmarkEnd w:id="62"/>
    </w:p>
    <w:p w14:paraId="0D4D1B59" w14:textId="77777777" w:rsidR="00D542A1" w:rsidRPr="00D542A1" w:rsidRDefault="00D542A1" w:rsidP="00BE37E2">
      <w:pPr>
        <w:jc w:val="both"/>
        <w:rPr>
          <w:rFonts w:ascii="Times New Roman" w:hAnsi="Times New Roman" w:cs="Times New Roman"/>
          <w:sz w:val="24"/>
          <w:szCs w:val="24"/>
        </w:rPr>
      </w:pPr>
    </w:p>
    <w:p w14:paraId="621ED390" w14:textId="62C418EA"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In what Perry (2018) called “living at work”</w:t>
      </w:r>
      <w:r w:rsidR="005C393D">
        <w:rPr>
          <w:rFonts w:ascii="Times New Roman" w:hAnsi="Times New Roman" w:cs="Times New Roman"/>
          <w:sz w:val="24"/>
          <w:szCs w:val="24"/>
        </w:rPr>
        <w:t>,</w:t>
      </w:r>
      <w:r w:rsidRPr="00D542A1">
        <w:rPr>
          <w:rFonts w:ascii="Times New Roman" w:hAnsi="Times New Roman" w:cs="Times New Roman"/>
          <w:sz w:val="24"/>
          <w:szCs w:val="24"/>
        </w:rPr>
        <w:t xml:space="preserve"> seasonal agricultural workers live in employer-provided bunkhouses on the farm. According to Perry (2018), “Migrant farm worker accommodations most often take the form of single-sex, single-ethnicity bunkhouses that are comprised of communal rooms for sleeping, cooking, and bathing”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{"citationID":"QQsjvJO3","properties":{"formattedCitation":"(2018, p. 1025)","plainCitation":"(2018, p. 1025)","dontUpdate":true,"noteIndex":0},"citationItems":[{"id":70,"uris":["http://zotero.org/users/5481489/items/B8NV9AJ8"],"uri":["http://zotero.org/users/5481489/items/B8NV9AJ8"],"itemData":{"id":70,"type":"article-journal","abstract":"This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Adam"}],"issued":{"date-parts":[["2018",11]]}},"locator":"1025","suppress-author":true}],"schema":"https://github.com/citation-style-language/schema/raw/master/csl-citation.json"}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1025)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living quarters are often overcrowded, dilapidated and rundown, with heating and ventilation problems allowing the virus to spread easily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{"citationID":"19ofsaKn","properties":{"formattedCitation":"(Baum &amp; Grant, 2020; Ferguson, 2020; Noticias Financieras News, 2020; Perry, 2018)","plainCitation":"(Baum &amp; Grant, 2020; Ferguson, 2020; Noticias Financieras News, 2020; Perry, 2018)","noteIndex":0},"citationItems":[{"id":1180,"uris":["http://zotero.org/users/5481489/items/88VPIE5N"],"uri":["http://zotero.org/users/5481489/items/88VPIE5N"],"itemData":{"id":1180,"type":"article-newspaper","abstract":"Migrant farm workers say they have been punished by their employers over disagreements about COVID-19 precautions, fuelling calls for an independent oversight agency that would empower temporary foreign workers to register complaints without fear of reprisal. A number of migrant farm workers in B.C. and Ontario told The Globe and Mail they were fired or unnecessarily forced to quarantine after being accused of breaking pandemic-related rules or speaking out about inadequate safety measures. Under the temporary foreign worker (TFW) program, seasonal agricultural workers often live in employer-provided bunkhouses on the farm. In some cases, these living quarters are overcrowded and rundown, allowing the virus to spread easily. Amid a series of COVID-19 outbreaks, some employers have confined workers to the property.","container-title":"The Globe and Mail (Breaking News)","language":"English","note":"publisher: The Globe and Mail Inc.","section":"National","source":"Factiva","title":"Migrant farm workers call for safety from reprisals for speaking out; The accounts are emblematic of long-standing issues within the TFW program, which the federal government has admitted is flawed and puts too much power in the hands of employers","URL":"http://global.factiva.com/redir/default.aspx?P=sa&amp;an=GMBN000020200817eg8g000gp&amp;cat=a&amp;ep=ASE","author":[{"family":"Baum","given":"Kathryn Blaze"},{"family":"Grant","given":"Tavia"}],"accessed":{"date-parts":[["2021",4,1]]},"issued":{"date-parts":[["2020",8,17]]}}},{"id":1185,"uris":["http://zotero.org/users/5481489/items/QM9YG2C3"],"uri":["http://zotero.org/users/5481489/items/QM9YG2C3"],"itemData":{"id":1185,"type":"article-newspaper","abstract":"Premier Doug Ford wants to force COVID-19 tests on migrant farm workers in Windsor-Essex to curb stubborn outbreaks as the province takes extra time to decide if the region - along with Toronto and Peel - can join the rest of Ontario in opening more businesses. Word on when the areas can enter Stage 3, which includes allowing bars and restaurants to serve patrons indoors as well as the reopening of gyms, movie theatres, casinos and playgrounds, was expected Monday but will now be delayed until Wednesday.","container-title":"The Toronto Star","edition":"ONT","language":"English","note":"publisher: Toronto Star Newspapers Limited","page":"A8","section":"News","source":"Factiva","title":"Stage 3 move delayed for Toronto and Peel; Premier also threatens to force COVID testing on migrant farm workers","author":[{"family":"Ferguson","given":"Rob"}],"issued":{"date-parts":[["2020",7,25]]}}},{"id":1188,"uris":["http://zotero.org/users/5481489/items/WC79KKTA"],"uri":["http://zotero.org/users/5481489/items/WC79KKTA"],"itemData":{"id":1188,"type":"article-newspaper","abstract":"Toronto, Canada, 19 Aug (EFE News).- The dismissal of Mexican tempist Luis Gabriel Flores, who is hidden for fear of being expelled from Canada after denouncing the working and health conditions in the country's day laborers, reveals a system that favors retaliation and coercion. Negotiations to arrange an interview with Flores are lengthy: people who provide shelter in southern Canada fear that any detail will reveal where he is and that The Canadian immigration authorities will proceed with the worker's fulminant expulsion.","container-title":"CE NoticiasFinancieras","language":"English","note":"publisher: Content Engine LLC","section":"CE Noticias Financieras English","source":"Factiva","title":"Mexican temporary dismissal reveals reprisals and coercion in Canada","URL":"http://global.factiva.com/redir/default.aspx?P=sa&amp;an=NFINCE0020200820eg8j002br&amp;cat=a&amp;ep=ASE","author":[{"family":"Noticias Financieras News","given":""}],"accessed":{"date-parts":[["2021",4,1]]},"issued":{"date-parts":[["2020",8,19]]}}},{"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(Baum &amp; Grant, 2020; Ferguson, 2020; Noticias Financieras News, 2020;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Pictures in image #3 below is a typical, over-crowded dwelling for migrants’ farm workers in south western Ontario.</w:t>
      </w:r>
    </w:p>
    <w:p w14:paraId="3E23B4DD" w14:textId="77777777" w:rsidR="00D542A1" w:rsidRPr="00D542A1" w:rsidRDefault="00D542A1" w:rsidP="00BE37E2">
      <w:pPr>
        <w:spacing w:line="480" w:lineRule="auto"/>
        <w:jc w:val="both"/>
        <w:rPr>
          <w:rFonts w:ascii="Times New Roman" w:hAnsi="Times New Roman" w:cs="Times New Roman"/>
          <w:sz w:val="24"/>
          <w:szCs w:val="24"/>
        </w:rPr>
      </w:pPr>
    </w:p>
    <w:tbl>
      <w:tblPr>
        <w:tblW w:w="248" w:type="dxa"/>
        <w:tblLook w:val="04A0" w:firstRow="1" w:lastRow="0" w:firstColumn="1" w:lastColumn="0" w:noHBand="0" w:noVBand="1"/>
      </w:tblPr>
      <w:tblGrid>
        <w:gridCol w:w="248"/>
      </w:tblGrid>
      <w:tr w:rsidR="00D542A1" w:rsidRPr="00D542A1" w14:paraId="71F2D0A1" w14:textId="77777777" w:rsidTr="00BE37E2">
        <w:trPr>
          <w:trHeight w:val="1264"/>
        </w:trPr>
        <w:tc>
          <w:tcPr>
            <w:tcW w:w="0" w:type="auto"/>
          </w:tcPr>
          <w:p w14:paraId="73968ED7" w14:textId="5DB10E9C" w:rsidR="00BE37E2" w:rsidRPr="00D542A1" w:rsidRDefault="00BE37E2" w:rsidP="00BE37E2">
            <w:pPr>
              <w:spacing w:after="0" w:line="240" w:lineRule="auto"/>
              <w:jc w:val="both"/>
              <w:rPr>
                <w:rFonts w:ascii="Times New Roman" w:hAnsi="Times New Roman" w:cs="Times New Roman"/>
                <w:sz w:val="24"/>
                <w:szCs w:val="24"/>
              </w:rPr>
            </w:pPr>
          </w:p>
        </w:tc>
      </w:tr>
    </w:tbl>
    <w:p w14:paraId="67D7853B" w14:textId="4FB0CA16" w:rsidR="00BE37E2" w:rsidRDefault="00BE37E2" w:rsidP="00BE37E2">
      <w:pPr>
        <w:spacing w:after="200" w:line="240" w:lineRule="auto"/>
        <w:jc w:val="both"/>
        <w:rPr>
          <w:rFonts w:ascii="Times New Roman" w:hAnsi="Times New Roman" w:cs="Times New Roman"/>
          <w:i/>
          <w:iCs/>
          <w:color w:val="44546A" w:themeColor="text2"/>
          <w:sz w:val="24"/>
          <w:szCs w:val="24"/>
        </w:rPr>
      </w:pPr>
      <w:bookmarkStart w:id="63" w:name="_Hlk69837364"/>
    </w:p>
    <w:p w14:paraId="4C458954" w14:textId="22B24577"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2C1FB9ED" w14:textId="193E5B54"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08425F24" w14:textId="75488F56"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7BAFDD56" w14:textId="24CB1944"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1E950445" w14:textId="55D1983E"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64CA5FCF" w14:textId="42CA6782"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69F1C1DD" w14:textId="77777777" w:rsidR="00890D96" w:rsidRDefault="00890D96" w:rsidP="00BE37E2">
      <w:pPr>
        <w:spacing w:after="200" w:line="240" w:lineRule="auto"/>
        <w:jc w:val="both"/>
        <w:rPr>
          <w:rFonts w:ascii="Times New Roman" w:hAnsi="Times New Roman" w:cs="Times New Roman"/>
          <w:i/>
          <w:iCs/>
          <w:color w:val="44546A" w:themeColor="text2"/>
          <w:sz w:val="24"/>
          <w:szCs w:val="24"/>
        </w:rPr>
      </w:pPr>
    </w:p>
    <w:p w14:paraId="0E41BF97" w14:textId="77777777" w:rsidR="00BE37E2" w:rsidRDefault="00BE37E2" w:rsidP="00BE37E2">
      <w:pPr>
        <w:spacing w:after="200" w:line="240" w:lineRule="auto"/>
        <w:jc w:val="both"/>
        <w:rPr>
          <w:rFonts w:ascii="Times New Roman" w:hAnsi="Times New Roman" w:cs="Times New Roman"/>
          <w:i/>
          <w:iCs/>
          <w:color w:val="44546A" w:themeColor="text2"/>
          <w:sz w:val="24"/>
          <w:szCs w:val="24"/>
        </w:rPr>
      </w:pPr>
    </w:p>
    <w:p w14:paraId="43036515" w14:textId="521F1A53"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r w:rsidRPr="00D542A1">
        <w:rPr>
          <w:rFonts w:ascii="Times New Roman" w:hAnsi="Times New Roman" w:cs="Times New Roman"/>
          <w:i/>
          <w:iCs/>
          <w:color w:val="44546A" w:themeColor="text2"/>
          <w:sz w:val="24"/>
          <w:szCs w:val="24"/>
        </w:rPr>
        <w:lastRenderedPageBreak/>
        <w:t xml:space="preserve">Image </w:t>
      </w:r>
      <w:r w:rsidR="00BE37E2">
        <w:rPr>
          <w:rFonts w:ascii="Times New Roman" w:hAnsi="Times New Roman" w:cs="Times New Roman"/>
          <w:i/>
          <w:iCs/>
          <w:color w:val="44546A" w:themeColor="text2"/>
          <w:sz w:val="24"/>
          <w:szCs w:val="24"/>
        </w:rPr>
        <w:t>3</w:t>
      </w:r>
      <w:r w:rsidRPr="00D542A1">
        <w:rPr>
          <w:rFonts w:ascii="Times New Roman" w:hAnsi="Times New Roman" w:cs="Times New Roman"/>
          <w:i/>
          <w:iCs/>
          <w:color w:val="44546A" w:themeColor="text2"/>
          <w:sz w:val="24"/>
          <w:szCs w:val="24"/>
        </w:rPr>
        <w:t xml:space="preserve">: A panoramic photo taken by migrant workers of crowded conditions in their dorm room at A.M. </w:t>
      </w:r>
      <w:proofErr w:type="spellStart"/>
      <w:r w:rsidRPr="00D542A1">
        <w:rPr>
          <w:rFonts w:ascii="Times New Roman" w:hAnsi="Times New Roman" w:cs="Times New Roman"/>
          <w:i/>
          <w:iCs/>
          <w:color w:val="44546A" w:themeColor="text2"/>
          <w:sz w:val="24"/>
          <w:szCs w:val="24"/>
        </w:rPr>
        <w:t>Sandher</w:t>
      </w:r>
      <w:proofErr w:type="spellEnd"/>
      <w:r w:rsidRPr="00D542A1">
        <w:rPr>
          <w:rFonts w:ascii="Times New Roman" w:hAnsi="Times New Roman" w:cs="Times New Roman"/>
          <w:i/>
          <w:iCs/>
          <w:color w:val="44546A" w:themeColor="text2"/>
          <w:sz w:val="24"/>
          <w:szCs w:val="24"/>
        </w:rPr>
        <w:t xml:space="preserve"> Farm Ltd. in Kelowna, B.C. (Migrant Workers Centre)</w:t>
      </w:r>
    </w:p>
    <w:p w14:paraId="7449A4ED" w14:textId="17C4662D" w:rsidR="00D542A1" w:rsidRPr="00D542A1" w:rsidRDefault="00D542A1" w:rsidP="00BE37E2">
      <w:pPr>
        <w:jc w:val="both"/>
        <w:rPr>
          <w:rFonts w:ascii="Times New Roman" w:hAnsi="Times New Roman" w:cs="Times New Roman"/>
          <w:sz w:val="24"/>
          <w:szCs w:val="24"/>
        </w:rPr>
      </w:pPr>
      <w:r w:rsidRPr="00D542A1">
        <w:rPr>
          <w:noProof/>
          <w:lang w:val="en-US"/>
        </w:rPr>
        <w:drawing>
          <wp:inline distT="0" distB="0" distL="0" distR="0" wp14:anchorId="5262A098" wp14:editId="2CB7D969">
            <wp:extent cx="5685367" cy="4548294"/>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86831" cy="4549465"/>
                    </a:xfrm>
                    <a:prstGeom prst="rect">
                      <a:avLst/>
                    </a:prstGeom>
                  </pic:spPr>
                </pic:pic>
              </a:graphicData>
            </a:graphic>
          </wp:inline>
        </w:drawing>
      </w:r>
    </w:p>
    <w:p w14:paraId="4849112E" w14:textId="77777777" w:rsidR="00D542A1" w:rsidRPr="00D542A1" w:rsidRDefault="00D542A1" w:rsidP="00BE37E2">
      <w:pPr>
        <w:jc w:val="both"/>
        <w:rPr>
          <w:rFonts w:ascii="Times New Roman" w:hAnsi="Times New Roman" w:cs="Times New Roman"/>
          <w:i/>
          <w:iCs/>
          <w:sz w:val="20"/>
          <w:szCs w:val="20"/>
        </w:rPr>
      </w:pPr>
      <w:r w:rsidRPr="00D542A1">
        <w:rPr>
          <w:rFonts w:ascii="Times New Roman" w:hAnsi="Times New Roman" w:cs="Times New Roman"/>
          <w:i/>
          <w:iCs/>
          <w:sz w:val="20"/>
          <w:szCs w:val="20"/>
        </w:rPr>
        <w:t xml:space="preserve">Source: CBC News </w:t>
      </w:r>
      <w:r w:rsidRPr="00D542A1">
        <w:rPr>
          <w:rFonts w:ascii="Times New Roman" w:hAnsi="Times New Roman" w:cs="Times New Roman"/>
          <w:i/>
          <w:iCs/>
          <w:sz w:val="20"/>
          <w:szCs w:val="20"/>
        </w:rPr>
        <w:fldChar w:fldCharType="begin"/>
      </w:r>
      <w:r w:rsidRPr="00D542A1">
        <w:rPr>
          <w:rFonts w:ascii="Times New Roman" w:hAnsi="Times New Roman" w:cs="Times New Roman"/>
          <w:i/>
          <w:iCs/>
          <w:sz w:val="20"/>
          <w:szCs w:val="20"/>
        </w:rPr>
        <w:instrText xml:space="preserve"> ADDIN ZOTERO_ITEM CSL_CITATION {"citationID":"wa2vftUV","properties":{"formattedCitation":"(Strachan, 2019)","plainCitation":"(Strachan, 2019)","noteIndex":0},"citationItems":[{"id":1322,"uris":["http://zotero.org/users/5481489/items/7C4Q7MWD"],"uri":["http://zotero.org/users/5481489/items/7C4Q7MWD"],"itemData":{"id":1322,"type":"webpage","abstract":"Three seasonal migrant workers have launched complaints about their living and working conditions at a farm they worked on in Kelowna, B.C., with one of them alleging he was not provided with protective equipment and exposed to agricultural chemicals from a crop sprayer.","container-title":"CBC","language":"en","title":"Migrant workers complain of overcrowded dorm rooms and agriculture chemical exposure on Kelowna farm | CBC News","URL":"https://www.cbc.ca/news/canada/british-columbia/migrant-workers-kelowna-sawp-program-complaint-sandher-farm-1.5316512","author":[{"family":"Strachan","given":"Brady"}],"accessed":{"date-parts":[["2021",5,7]]},"issued":{"date-parts":[["2019"]]}}}],"schema":"https://github.com/citation-style-language/schema/raw/master/csl-citation.json"} </w:instrText>
      </w:r>
      <w:r w:rsidRPr="00D542A1">
        <w:rPr>
          <w:rFonts w:ascii="Times New Roman" w:hAnsi="Times New Roman" w:cs="Times New Roman"/>
          <w:i/>
          <w:iCs/>
          <w:sz w:val="20"/>
          <w:szCs w:val="20"/>
        </w:rPr>
        <w:fldChar w:fldCharType="separate"/>
      </w:r>
      <w:r w:rsidRPr="00D542A1">
        <w:rPr>
          <w:rFonts w:ascii="Times New Roman" w:hAnsi="Times New Roman" w:cs="Times New Roman"/>
          <w:i/>
          <w:iCs/>
          <w:sz w:val="20"/>
          <w:szCs w:val="20"/>
        </w:rPr>
        <w:t>(Strachan, 2019)</w:t>
      </w:r>
      <w:r w:rsidRPr="00D542A1">
        <w:rPr>
          <w:rFonts w:ascii="Times New Roman" w:hAnsi="Times New Roman" w:cs="Times New Roman"/>
          <w:i/>
          <w:iCs/>
          <w:sz w:val="20"/>
          <w:szCs w:val="20"/>
        </w:rPr>
        <w:fldChar w:fldCharType="end"/>
      </w:r>
    </w:p>
    <w:bookmarkEnd w:id="63"/>
    <w:p w14:paraId="3624FFEE" w14:textId="3416125B" w:rsidR="00D542A1" w:rsidRPr="00D542A1" w:rsidRDefault="00D542A1" w:rsidP="00BE37E2">
      <w:pPr>
        <w:spacing w:line="480" w:lineRule="auto"/>
        <w:ind w:firstLine="567"/>
        <w:jc w:val="both"/>
        <w:rPr>
          <w:rFonts w:ascii="Times New Roman" w:hAnsi="Times New Roman" w:cs="Times New Roman"/>
          <w:sz w:val="24"/>
          <w:szCs w:val="24"/>
        </w:rPr>
      </w:pPr>
      <w:r w:rsidRPr="00D542A1">
        <w:rPr>
          <w:rFonts w:ascii="Times New Roman" w:hAnsi="Times New Roman" w:cs="Times New Roman"/>
          <w:sz w:val="24"/>
          <w:szCs w:val="24"/>
        </w:rPr>
        <w:t>Indeed, the location of the farms are usually in the rural areas</w:t>
      </w:r>
      <w:r w:rsidR="005C393D">
        <w:rPr>
          <w:rFonts w:ascii="Times New Roman" w:hAnsi="Times New Roman" w:cs="Times New Roman"/>
          <w:sz w:val="24"/>
          <w:szCs w:val="24"/>
        </w:rPr>
        <w:t xml:space="preserve"> and</w:t>
      </w:r>
      <w:r w:rsidRPr="00D542A1">
        <w:rPr>
          <w:rFonts w:ascii="Times New Roman" w:hAnsi="Times New Roman" w:cs="Times New Roman"/>
          <w:sz w:val="24"/>
          <w:szCs w:val="24"/>
        </w:rPr>
        <w:t xml:space="preserve"> so are the living quarters. McLaughlin (2009) stated that migrants are “employed primarily in isolated rural areas, far from the integrative aspects of Canadian urban life and as such they are frequently an “unknown” aspect of life in a country as regionally diverse as is Canada”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{"citationID":"dCFWdm95","properties":{"formattedCitation":"(McLaughlin, 2009, p. 31)","plainCitation":"(McLaughlin, 2009, p. 31)","noteIndex":0},"citationItems":[{"id":1153,"uris":["http://zotero.org/users/5481489/items/EJ4W4ZEM"],"uri":["http://zotero.org/users/5481489/items/EJ4W4ZEM"],"itemData":{"id":1153,"type":"article-journal","language":"en","page":"676","source":"Zotero","title":"Trouble in our Fields: Health and Human Rights among Mexican and Caribbean Migrant Farm Workers in Canada","author":[{"family":"McLaughlin","given":"Janet"}],"issued":{"date-parts":[["2009"]]}},"locator":"31"}],"schema":"https://github.com/citation-style-language/schema/raw/master/csl-citation.json"}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(McLaughlin, 2009, p. 31)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Additionally, the location of the bunkhouses tend to be isolated and out of sight which can lead to substandard housing that falls outside both the Occupational Health and Safety Act and Ontario’s Tenancy Act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{"citationID":"QtPXzNzV","properties":{"formattedCitation":"(Glauser, 2020)","plainCitation":"(Glauser, 2020)","noteIndex":0},"citationItems":[{"id":1203,"uris":["http://zotero.org/users/5481489/items/F3VZH8DU"],"uri":["http://zotero.org/users/5481489/items/F3VZH8DU"],"itemData":{"id":1203,"type":"webpage","abstract":"Nearly 700 migrant farmer workers in Ontario have tested positive for COVID-19. Two have died. And without better regulations, the virus will keep spreading.","container-title":"TVO.org","language":"en","title":"Fear, neglect, and close quarters: Inside Ontario’s migrant-worker health crisis","title-short":"Fear, neglect, and close quarters","URL":"https://www.tvo.org/article/fear-neglect-and-close-quarters-inside-ontarios-migrant-worker-health-crisis","author":[{"family":"Glauser","given":"Wendy"}],"accessed":{"date-parts":[["2021",4,1]]},"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(Glauser,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As a result, the dilapidated state of the bunkhouses and lack of well-ventilated </w:t>
      </w:r>
      <w:r w:rsidRPr="00D542A1">
        <w:rPr>
          <w:rFonts w:ascii="Times New Roman" w:hAnsi="Times New Roman" w:cs="Times New Roman"/>
          <w:sz w:val="24"/>
          <w:szCs w:val="24"/>
        </w:rPr>
        <w:lastRenderedPageBreak/>
        <w:t xml:space="preserve">rooms nurtures a perfect breed to health issues as well as viruses. </w:t>
      </w:r>
      <w:proofErr w:type="spellStart"/>
      <w:r w:rsidRPr="00D542A1">
        <w:rPr>
          <w:rFonts w:ascii="Times New Roman" w:hAnsi="Times New Roman" w:cs="Times New Roman"/>
          <w:sz w:val="24"/>
          <w:szCs w:val="24"/>
        </w:rPr>
        <w:t>Henneberry</w:t>
      </w:r>
      <w:proofErr w:type="spellEnd"/>
      <w:r w:rsidRPr="00D542A1">
        <w:rPr>
          <w:rFonts w:ascii="Times New Roman" w:hAnsi="Times New Roman" w:cs="Times New Roman"/>
          <w:sz w:val="24"/>
          <w:szCs w:val="24"/>
        </w:rPr>
        <w:t xml:space="preserve"> (2010) further noted regarding the housing condition of migrant’s workers, stating that</w:t>
      </w:r>
    </w:p>
    <w:p w14:paraId="447B2EB8" w14:textId="2F1DC8E0" w:rsidR="00D542A1" w:rsidRPr="00D542A1" w:rsidRDefault="00D542A1" w:rsidP="00BE37E2">
      <w:pPr>
        <w:spacing w:line="276"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Poor, crowded housing is not only uncomfortable and arguably inhumane, but it also exacerbates health risks, and further increases the risks of communicable disease transmission (</w:t>
      </w:r>
      <w:r w:rsidR="00890D96" w:rsidRPr="00D542A1">
        <w:rPr>
          <w:rFonts w:ascii="Times New Roman" w:hAnsi="Times New Roman" w:cs="Times New Roman"/>
          <w:sz w:val="24"/>
          <w:szCs w:val="24"/>
        </w:rPr>
        <w:t>e.g.,</w:t>
      </w:r>
      <w:r w:rsidRPr="00D542A1">
        <w:rPr>
          <w:rFonts w:ascii="Times New Roman" w:hAnsi="Times New Roman" w:cs="Times New Roman"/>
          <w:sz w:val="24"/>
          <w:szCs w:val="24"/>
        </w:rPr>
        <w:t xml:space="preserve"> tuberculosis), and sexually transmitted diseases (e.g. HPV and HIV). While not all migrant worker housing is inadequate, it is most surely inconsistent. This is in part because housing for temporary migrants in agriculture is under-regulated. (p. 75)</w:t>
      </w:r>
    </w:p>
    <w:p w14:paraId="44BC19D7" w14:textId="77777777"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p>
    <w:p w14:paraId="2A432C2E" w14:textId="0FA4D043" w:rsidR="00D542A1" w:rsidRPr="00D542A1" w:rsidRDefault="00D542A1" w:rsidP="00890D96">
      <w:pPr>
        <w:jc w:val="both"/>
        <w:rPr>
          <w:rFonts w:ascii="Times New Roman" w:hAnsi="Times New Roman" w:cs="Times New Roman"/>
          <w:i/>
          <w:iCs/>
          <w:color w:val="44546A" w:themeColor="text2"/>
          <w:sz w:val="24"/>
          <w:szCs w:val="24"/>
        </w:rPr>
      </w:pPr>
      <w:r w:rsidRPr="00D542A1">
        <w:rPr>
          <w:rFonts w:ascii="Times New Roman" w:hAnsi="Times New Roman" w:cs="Times New Roman"/>
          <w:i/>
          <w:iCs/>
          <w:color w:val="44546A" w:themeColor="text2"/>
          <w:sz w:val="24"/>
          <w:szCs w:val="24"/>
        </w:rPr>
        <w:t xml:space="preserve">Image </w:t>
      </w:r>
      <w:r w:rsidR="00BE37E2">
        <w:rPr>
          <w:rFonts w:ascii="Times New Roman" w:hAnsi="Times New Roman" w:cs="Times New Roman"/>
          <w:i/>
          <w:iCs/>
          <w:color w:val="44546A" w:themeColor="text2"/>
          <w:sz w:val="24"/>
          <w:szCs w:val="24"/>
        </w:rPr>
        <w:t>4</w:t>
      </w:r>
      <w:r w:rsidRPr="00D542A1">
        <w:rPr>
          <w:rFonts w:ascii="Times New Roman" w:hAnsi="Times New Roman" w:cs="Times New Roman"/>
          <w:i/>
          <w:iCs/>
          <w:color w:val="44546A" w:themeColor="text2"/>
          <w:sz w:val="24"/>
          <w:szCs w:val="24"/>
        </w:rPr>
        <w:t>: A Recent Video of the Typical Example of Where Migrant Farmers Live (Guthrie 2020, Rabble.ca)</w:t>
      </w:r>
    </w:p>
    <w:p w14:paraId="6E02A92A" w14:textId="77777777" w:rsidR="00D542A1" w:rsidRPr="00D542A1" w:rsidRDefault="00D542A1" w:rsidP="00BE37E2">
      <w:pPr>
        <w:spacing w:after="200" w:line="240" w:lineRule="auto"/>
        <w:jc w:val="both"/>
        <w:rPr>
          <w:rFonts w:ascii="Times New Roman" w:hAnsi="Times New Roman" w:cs="Times New Roman"/>
          <w:i/>
          <w:iCs/>
          <w:color w:val="44546A" w:themeColor="text2"/>
          <w:sz w:val="24"/>
          <w:szCs w:val="24"/>
        </w:rPr>
      </w:pPr>
      <w:r w:rsidRPr="00D542A1">
        <w:rPr>
          <w:rFonts w:ascii="Times New Roman" w:hAnsi="Times New Roman" w:cs="Times New Roman"/>
          <w:i/>
          <w:iCs/>
          <w:color w:val="44546A" w:themeColor="text2"/>
          <w:sz w:val="24"/>
          <w:szCs w:val="24"/>
        </w:rPr>
        <w:t xml:space="preserve"> </w:t>
      </w:r>
      <w:r w:rsidRPr="00D542A1">
        <w:rPr>
          <w:rFonts w:ascii="Times New Roman" w:hAnsi="Times New Roman" w:cs="Times New Roman"/>
          <w:i/>
          <w:iCs/>
          <w:noProof/>
          <w:color w:val="44546A" w:themeColor="text2"/>
          <w:sz w:val="24"/>
          <w:szCs w:val="24"/>
          <w:lang w:val="en-US"/>
        </w:rPr>
        <w:drawing>
          <wp:inline distT="0" distB="0" distL="0" distR="0" wp14:anchorId="241C6418" wp14:editId="7038A31D">
            <wp:extent cx="6385770" cy="324678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85770" cy="3246782"/>
                    </a:xfrm>
                    <a:prstGeom prst="rect">
                      <a:avLst/>
                    </a:prstGeom>
                  </pic:spPr>
                </pic:pic>
              </a:graphicData>
            </a:graphic>
          </wp:inline>
        </w:drawing>
      </w:r>
    </w:p>
    <w:p w14:paraId="7720A2E5" w14:textId="77777777" w:rsidR="00D542A1" w:rsidRPr="00D542A1" w:rsidRDefault="00D542A1" w:rsidP="00BE37E2">
      <w:pPr>
        <w:spacing w:line="480" w:lineRule="auto"/>
        <w:jc w:val="both"/>
        <w:rPr>
          <w:rFonts w:ascii="Times New Roman" w:hAnsi="Times New Roman" w:cs="Times New Roman"/>
          <w:i/>
          <w:iCs/>
          <w:sz w:val="24"/>
          <w:szCs w:val="24"/>
        </w:rPr>
      </w:pPr>
      <w:r w:rsidRPr="00D542A1">
        <w:rPr>
          <w:rFonts w:ascii="Times New Roman" w:hAnsi="Times New Roman" w:cs="Times New Roman"/>
          <w:i/>
          <w:iCs/>
          <w:sz w:val="24"/>
          <w:szCs w:val="24"/>
        </w:rPr>
        <w:t>Source: Rabble.ca May 27, 2020. Jade Guthrie</w:t>
      </w:r>
    </w:p>
    <w:p w14:paraId="3A162819"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These descriptions of the living and working condition pre-pandemic provides the background to begin to understand the root cause of the high-level spread of the virus in the farms.</w:t>
      </w:r>
    </w:p>
    <w:p w14:paraId="7F0D1920" w14:textId="77777777" w:rsidR="00D542A1" w:rsidRPr="00D542A1" w:rsidRDefault="00D542A1" w:rsidP="00BE37E2">
      <w:pPr>
        <w:spacing w:line="480" w:lineRule="auto"/>
        <w:jc w:val="both"/>
        <w:rPr>
          <w:rFonts w:ascii="Times New Roman" w:hAnsi="Times New Roman" w:cs="Times New Roman"/>
          <w:sz w:val="24"/>
          <w:szCs w:val="24"/>
        </w:rPr>
      </w:pPr>
    </w:p>
    <w:p w14:paraId="3489DCDB"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64" w:name="_Toc72494775"/>
      <w:r w:rsidRPr="00D542A1">
        <w:rPr>
          <w:rFonts w:ascii="Times New Roman" w:eastAsiaTheme="majorEastAsia" w:hAnsi="Times New Roman" w:cs="Times New Roman"/>
          <w:color w:val="2F5496" w:themeColor="accent1" w:themeShade="BF"/>
          <w:sz w:val="24"/>
          <w:szCs w:val="24"/>
          <w:lang w:val="en-US"/>
        </w:rPr>
        <w:lastRenderedPageBreak/>
        <w:t>The Pandemic</w:t>
      </w:r>
      <w:bookmarkEnd w:id="64"/>
      <w:r w:rsidRPr="00D542A1">
        <w:rPr>
          <w:rFonts w:ascii="Times New Roman" w:eastAsiaTheme="majorEastAsia" w:hAnsi="Times New Roman" w:cs="Times New Roman"/>
          <w:color w:val="2F5496" w:themeColor="accent1" w:themeShade="BF"/>
          <w:sz w:val="24"/>
          <w:szCs w:val="24"/>
          <w:lang w:val="en-US"/>
        </w:rPr>
        <w:t xml:space="preserve"> </w:t>
      </w:r>
    </w:p>
    <w:p w14:paraId="27EA9DB2" w14:textId="77777777" w:rsidR="00D542A1" w:rsidRPr="00D542A1" w:rsidRDefault="00D542A1" w:rsidP="00BE37E2">
      <w:pPr>
        <w:jc w:val="both"/>
        <w:rPr>
          <w:rFonts w:ascii="Times New Roman" w:hAnsi="Times New Roman" w:cs="Times New Roman"/>
          <w:sz w:val="24"/>
          <w:szCs w:val="24"/>
          <w:lang w:val="en-US"/>
        </w:rPr>
      </w:pPr>
    </w:p>
    <w:p w14:paraId="6EB06ADC"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death of Bonifacio Eugenio-Romero, the first migrant farm worker fatality due to COVID-19, was a shock to the temporary agricultural workers across Southern Ontario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{"citationID":"0m4ku9SX","properties":{"formattedCitation":"(Clementson, 2020; Graveland, 2020)","plainCitation":"(Clementson, 2020; Graveland, 2020)","noteIndex":0},"citationItems":[{"id":1089,"uris":["http://zotero.org/users/5481489/items/6ZJM5QKV"],"uri":["http://zotero.org/users/5481489/items/6ZJM5QKV"],"itemData":{"id":1089,"type":"webpage","abstract":"The wife of 31-year-old Bonifacio Eugenio-Romero, a Mexican migrant worker who died of COVID-19 while working on a southwestern Ontario farm has provided information about her husband for the first time since his death last month.","container-title":"CBC","language":"en","title":"'He was a good and caring person,' says wife of migrant worker who died of COVID-19 on Ontario farm | CBC News","URL":"https://www.cbc.ca/news/canada/bonifacio-eugenio-romero-wife-speaks-out-1.5620445","author":[{"family":"Clementson","given":"Laura"}],"accessed":{"date-parts":[["2021",3,23]]},"issued":{"date-parts":[["2020",6,20]]}}},{"id":1233,"uris":["http://zotero.org/users/5481489/items/DT5DEKZQ"],"uri":["http://zotero.org/users/5481489/items/DT5DEKZQ"],"itemData":{"id":1233,"type":"webpage","abstract":"An organization that works with immigrants says the temporary closure of a large slaughterhouse in southern Alberta has left many among its largely Filipino workforce fearful for the future.","container-title":"Global News","language":"en-US","title":"‘Death is so real’: Immigrant group says meat workers afraid after COVID-19 plant closure","title-short":"‘Death is so real’","URL":"https://globalnews.ca/news/6868617/death-is-so-real-immigrant-group-says-meat-workers-afraid-after-covid-19-plant-closure/","author":[{"family":"Graveland","given":"Bill"}],"accessed":{"date-parts":[["2021",4,5]]},"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(Clementson, 2020; Graveland,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As the number of infections were increasing nation wide, the figures started rising at the farms, despite being a smaller community. Bogart (2020) a writer for CBC News, stated that “Ontario reported 257 new cases of COVID-19 on Monday, 177 of which were confirmed by the Windsor-Essex public health unit following targeted testing of migrant farm workers over the weekend”,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{"citationID":"rb0hR2WE","properties":{"formattedCitation":"(Bogart, 2020, p. 1)","plainCitation":"(Bogart, 2020, p. 1)","dontUpdate":true,"noteIndex":0},"citationItems":[{"id":1219,"uris":["http://zotero.org/users/5481489/items/XZZXAQTG"],"uri":["http://zotero.org/users/5481489/items/XZZXAQTG"],"itemData":{"id":1219,"type":"webpage","abstract":"A single farm in Windsor-Essex, Ont., has been linked to 175 new cases of COVID-19 in the province, reigniting concerns about the rapid spread of the virus among temporary foreign workers.","container-title":"Coronavirus","language":"en","title":"Advocates demand Ontario shut down farms as COVID-19 cases soar among workers","URL":"https://www.ctvnews.ca/health/coronavirus/advocates-demand-ontario-shut-down-farms-as-covid-19-cases-soar-among-workers-1.5004897","author":[{"family":"Bogart","given":"Nicole"}],"accessed":{"date-parts":[["2021",4,2]]},"issued":{"date-parts":[["2020",6,29]]}},"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She also stated that another farm with approximately 450 workers had 175 workers infected.</w:t>
      </w:r>
    </w:p>
    <w:p w14:paraId="010078C8"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rate of the spread is not surprising considering that infected and sick workers must share the same crowded and dilapidated bunkhouse with healthy migrants without some form of safety measures. And this is because ‘the bunkhouse life, with beds in close proximity and shared kitchen and washroom facilities, were petri dishes for viral spread”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{"citationID":"dn2AWTdM","properties":{"formattedCitation":"(The Muskokan, 2021, p. 1)","plainCitation":"(The Muskokan, 2021, p. 1)","noteIndex":0},"citationItems":[{"id":1194,"uris":["http://zotero.org/users/5481489/items/FVSJUUFB"],"uri":["http://zotero.org/users/5481489/items/FVSJUUFB"],"itemData":{"id":1194,"type":"article-newspaper","abstract":"The coming weekend heralds the arrival of spring, a sign or at least a sliver of hope as Toronto tries to maintain a fortress against the third wave of the pandemic. Spring in Ontario in turn heralds the launch of the growing season. First up to harvest: world-class asparagus. For anyone who has not witnessed the asparagus harvest firsthand, imagine a low-slung metal seat in a motorized tractor-like conveyance. The field labourer’s legs are spread wide, feet braced just above the ground, the labourer bent forward as the machine trundles across the field. The awkward, and back breaking, positioning allows for the swift snapping off of the spring green spears. The product of this work is essential to the Ontario economy. The workers themselves - as many as 20,000 temporary agricultural workers arrive in the province each year - have never been valued as such.","container-title":"The Muskokan","language":"English","note":"publisher: Metroland Media Group Ltd.","source":"Factiva","title":"For the second time Ontario is failing farm workers on COVID protections","URL":"http://global.factiva.com/redir/default.aspx?P=sa&amp;an=MUSKO00020210319eh3j0005l&amp;cat=a&amp;ep=ASE","author":[{"family":"The Muskokan","given":""}],"accessed":{"date-parts":[["2021",4,1]]},"issued":{"date-parts":[["2021",3,19]]}},"locator":"1"}],"schema":"https://github.com/citation-style-language/schema/raw/master/csl-citation.json"}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(The Muskokan, 2021,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Hence by the end of spring 2020, there are more than 1,780 temporary agricultural workers in Ontario testing positive and three deaths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{"citationID":"Cr57EJF0","properties":{"formattedCitation":"(The Muskokan, 2021)","plainCitation":"(The Muskokan, 2021)","noteIndex":0},"citationItems":[{"id":1194,"uris":["http://zotero.org/users/5481489/items/FVSJUUFB"],"uri":["http://zotero.org/users/5481489/items/FVSJUUFB"],"itemData":{"id":1194,"type":"article-newspaper","abstract":"The coming weekend heralds the arrival of spring, a sign or at least a sliver of hope as Toronto tries to maintain a fortress against the third wave of the pandemic. Spring in Ontario in turn heralds the launch of the growing season. First up to harvest: world-class asparagus. For anyone who has not witnessed the asparagus harvest firsthand, imagine a low-slung metal seat in a motorized tractor-like conveyance. The field labourer’s legs are spread wide, feet braced just above the ground, the labourer bent forward as the machine trundles across the field. The awkward, and back breaking, positioning allows for the swift snapping off of the spring green spears. The product of this work is essential to the Ontario economy. The workers themselves - as many as 20,000 temporary agricultural workers arrive in the province each year - have never been valued as such.","container-title":"The Muskokan","language":"English","note":"publisher: Metroland Media Group Ltd.","source":"Factiva","title":"For the second time Ontario is failing farm workers on COVID protections","URL":"http://global.factiva.com/redir/default.aspx?P=sa&amp;an=MUSKO00020210319eh3j0005l&amp;cat=a&amp;ep=ASE","author":[{"family":"The Muskokan","given":""}],"accessed":{"date-parts":[["2021",4,1]]},"issued":{"date-parts":[["2021",3,19]]}}}],"schema":"https://github.com/citation-style-language/schema/raw/master/csl-citation.json"}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(The Muskokan,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Further investigation reveals that the existing terrible working and living condition made them vulnerable, the pandemic merely spotlighted this vulnerability.</w:t>
      </w:r>
    </w:p>
    <w:p w14:paraId="0A2631B4"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lang w:val="en-US"/>
        </w:rPr>
      </w:pPr>
      <w:bookmarkStart w:id="65" w:name="_Toc72494776"/>
      <w:r w:rsidRPr="00D542A1">
        <w:rPr>
          <w:rFonts w:ascii="Times New Roman" w:eastAsiaTheme="majorEastAsia" w:hAnsi="Times New Roman" w:cs="Times New Roman"/>
          <w:color w:val="2F5496" w:themeColor="accent1" w:themeShade="BF"/>
          <w:sz w:val="24"/>
          <w:szCs w:val="24"/>
          <w:lang w:val="en-US"/>
        </w:rPr>
        <w:t>Key Findings from Case Study #2</w:t>
      </w:r>
      <w:bookmarkEnd w:id="65"/>
    </w:p>
    <w:p w14:paraId="764D7DD6" w14:textId="77777777" w:rsidR="00D542A1" w:rsidRPr="00D542A1" w:rsidRDefault="00D542A1" w:rsidP="00BE37E2">
      <w:pPr>
        <w:jc w:val="both"/>
        <w:rPr>
          <w:rFonts w:ascii="Times New Roman" w:hAnsi="Times New Roman" w:cs="Times New Roman"/>
          <w:sz w:val="24"/>
          <w:szCs w:val="24"/>
          <w:lang w:val="en-US"/>
        </w:rPr>
      </w:pPr>
    </w:p>
    <w:p w14:paraId="15E16FF8" w14:textId="77777777"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Like meatpacking plants, the pandemic brought to the fore some of unique experiences of migrant farm workers. The next section discusses key findings based on the lived experiences of the migrant workers. Additionally, the section explores all those factors that heightened the deterioration of the health of the migrants making them vulnerable to the novel COVID-19.</w:t>
      </w:r>
    </w:p>
    <w:p w14:paraId="04914AA6"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66" w:name="_Toc72494777"/>
      <w:r w:rsidRPr="00D542A1">
        <w:rPr>
          <w:rFonts w:ascii="Times New Roman" w:eastAsiaTheme="majorEastAsia" w:hAnsi="Times New Roman" w:cs="Times New Roman"/>
          <w:color w:val="2F5496" w:themeColor="accent1" w:themeShade="BF"/>
          <w:sz w:val="24"/>
          <w:szCs w:val="24"/>
        </w:rPr>
        <w:lastRenderedPageBreak/>
        <w:t>Lack of Implementation of Safe living and Working Condition</w:t>
      </w:r>
      <w:bookmarkEnd w:id="66"/>
      <w:r w:rsidRPr="00D542A1">
        <w:rPr>
          <w:rFonts w:ascii="Times New Roman" w:eastAsiaTheme="majorEastAsia" w:hAnsi="Times New Roman" w:cs="Times New Roman"/>
          <w:color w:val="2F5496" w:themeColor="accent1" w:themeShade="BF"/>
          <w:sz w:val="24"/>
          <w:szCs w:val="24"/>
        </w:rPr>
        <w:t xml:space="preserve"> </w:t>
      </w:r>
    </w:p>
    <w:p w14:paraId="54E975B4" w14:textId="77777777" w:rsidR="00D542A1" w:rsidRPr="00D542A1" w:rsidRDefault="00D542A1" w:rsidP="00BE37E2">
      <w:pPr>
        <w:jc w:val="both"/>
        <w:rPr>
          <w:rFonts w:ascii="Times New Roman" w:hAnsi="Times New Roman" w:cs="Times New Roman"/>
          <w:sz w:val="24"/>
          <w:szCs w:val="24"/>
        </w:rPr>
      </w:pPr>
    </w:p>
    <w:p w14:paraId="1B556B76"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Safety in the workplace and living quarters is a major issue contributing to the increased risks experienced by migrant farm workers. Prior to the pandemic, workers cited a lack of provision of PPE and things like working gloves and mask to protect them from pesticides and other chemicals. Even though there are existing organisational protocols and safety standards, these were often not implemented in practice. Feedback from migrants’ workers in the farms are captured in some of their pre-pandemic statements below</w:t>
      </w:r>
    </w:p>
    <w:p w14:paraId="37084504" w14:textId="77777777" w:rsidR="00D542A1" w:rsidRPr="00D542A1" w:rsidRDefault="00D542A1" w:rsidP="00BE37E2">
      <w:pPr>
        <w:spacing w:line="240" w:lineRule="auto"/>
        <w:ind w:left="567" w:right="1280"/>
        <w:contextualSpacing/>
        <w:jc w:val="both"/>
        <w:rPr>
          <w:rFonts w:ascii="Times New Roman" w:hAnsi="Times New Roman" w:cs="Times New Roman"/>
          <w:sz w:val="24"/>
          <w:szCs w:val="24"/>
        </w:rPr>
      </w:pPr>
      <w:r w:rsidRPr="00D542A1">
        <w:rPr>
          <w:rFonts w:ascii="Times New Roman" w:hAnsi="Times New Roman" w:cs="Times New Roman"/>
          <w:sz w:val="24"/>
          <w:szCs w:val="24"/>
        </w:rPr>
        <w:t xml:space="preserve">We don’t have anything to protect ourselves. We have to buy the necessary equipment, such as boots and gloves. I have been suffering from constant infections on my skin from fumigations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{"citationID":"ak7eBCbW","properties":{"formattedCitation":"(Hennebry, 2010, p. 75)","plainCitation":"(Hennebry, 2010, p. 75)","noteIndex":0},"citationItems":[{"id":743,"uris":["http://zotero.org/users/5481489/items/KM5JV5U2"],"uri":["http://zotero.org/users/5481489/items/KM5JV5U2"],"itemData":{"id":743,"type":"article-journal","abstract":"Canadian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Apples","author":[{"family":"Hennebry","given":"Jenna"}],"issued":{"date-parts":[["2010"]],"season":"Spring"}},"locator":"75"}],"schema":"https://github.com/citation-style-language/schema/raw/master/csl-citation.json"}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 p. 75)</w:t>
      </w:r>
      <w:r w:rsidRPr="00D542A1">
        <w:rPr>
          <w:rFonts w:ascii="Times New Roman" w:hAnsi="Times New Roman" w:cs="Times New Roman"/>
          <w:sz w:val="24"/>
          <w:szCs w:val="24"/>
        </w:rPr>
        <w:fldChar w:fldCharType="end"/>
      </w:r>
    </w:p>
    <w:p w14:paraId="534C784E" w14:textId="77777777" w:rsidR="00D542A1" w:rsidRPr="00D542A1" w:rsidRDefault="00D542A1" w:rsidP="00BE37E2">
      <w:pPr>
        <w:spacing w:line="480" w:lineRule="auto"/>
        <w:ind w:left="567" w:right="1280"/>
        <w:contextualSpacing/>
        <w:jc w:val="both"/>
        <w:rPr>
          <w:rFonts w:ascii="Times New Roman" w:hAnsi="Times New Roman" w:cs="Times New Roman"/>
          <w:sz w:val="24"/>
          <w:szCs w:val="24"/>
        </w:rPr>
      </w:pPr>
    </w:p>
    <w:p w14:paraId="37B0179C" w14:textId="77777777" w:rsidR="00D542A1" w:rsidRPr="00D542A1" w:rsidRDefault="00D542A1" w:rsidP="00BE37E2">
      <w:pPr>
        <w:spacing w:line="240" w:lineRule="auto"/>
        <w:ind w:left="567" w:right="1280"/>
        <w:contextualSpacing/>
        <w:jc w:val="both"/>
        <w:rPr>
          <w:rFonts w:ascii="Times New Roman" w:hAnsi="Times New Roman" w:cs="Times New Roman"/>
          <w:sz w:val="24"/>
          <w:szCs w:val="24"/>
        </w:rPr>
      </w:pPr>
      <w:r w:rsidRPr="00D542A1">
        <w:rPr>
          <w:rFonts w:ascii="Times New Roman" w:hAnsi="Times New Roman" w:cs="Times New Roman"/>
          <w:sz w:val="24"/>
          <w:szCs w:val="24"/>
        </w:rPr>
        <w:t xml:space="preserve">I apply chemicals without protection. We have to work under extreme heat conditions; sometimes some of us vomit and get headaches, itchy skin and blurred vision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{"citationID":"m5fnkVXa","properties":{"formattedCitation":"(Hennebry, 2010, p. 75)","plainCitation":"(Hennebry, 2010, p. 75)","noteIndex":0},"citationItems":[{"id":743,"uris":["http://zotero.org/users/5481489/items/KM5JV5U2"],"uri":["http://zotero.org/users/5481489/items/KM5JV5U2"],"itemData":{"id":743,"type":"article-journal","abstract":"Canadian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Apples","author":[{"family":"Hennebry","given":"Jenna"}],"issued":{"date-parts":[["2010"]],"season":"Spring"}},"locator":"75"}],"schema":"https://github.com/citation-style-language/schema/raw/master/csl-citation.json"}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 p. 75)</w:t>
      </w:r>
      <w:r w:rsidRPr="00D542A1">
        <w:rPr>
          <w:rFonts w:ascii="Times New Roman" w:hAnsi="Times New Roman" w:cs="Times New Roman"/>
          <w:sz w:val="24"/>
          <w:szCs w:val="24"/>
        </w:rPr>
        <w:fldChar w:fldCharType="end"/>
      </w:r>
    </w:p>
    <w:p w14:paraId="79869C40" w14:textId="77777777" w:rsidR="00D542A1" w:rsidRPr="00D542A1" w:rsidRDefault="00D542A1" w:rsidP="00BE37E2">
      <w:pPr>
        <w:spacing w:line="480" w:lineRule="auto"/>
        <w:jc w:val="both"/>
        <w:rPr>
          <w:rFonts w:ascii="Times New Roman" w:hAnsi="Times New Roman" w:cs="Times New Roman"/>
          <w:sz w:val="24"/>
          <w:szCs w:val="24"/>
        </w:rPr>
      </w:pPr>
    </w:p>
    <w:p w14:paraId="3C25489F"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 a recent report, Harris (2020) noted the same pattern of treatment during the pandemic. The report captured complaints from more than a thousand workers on various issues, including a “lack of access to protective equipment, crowded conditions that don't allow physical distancing, poor access to proper food during quarantine and unfair gouging on wages and meal costs”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{"citationID":"faWU11F5","properties":{"formattedCitation":"(K. Harris, 2020a, p. 1)","plainCitation":"(K. Harris, 2020a, p. 1)","dontUpdate":true,"noteIndex":0},"citationItems":[{"id":956,"uris":["http://zotero.org/users/5481489/items/3DZ54PT2"],"uri":["http://zotero.org/users/5481489/items/3DZ54PT2"],"itemData":{"id":956,"type":"webpage","abstract":"Migrant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There were also calls from, Justice for Migrant Workers, a migrant workers advocacy group, for the provision of PPE protections for migrant worker during the pandemic, and workplace and enhanced bunkhouse inspections to prevent outbreaks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{"citationID":"LTUypkwg","properties":{"formattedCitation":"(Glauser, 2020, p. 1)","plainCitation":"(Glauser, 2020, p. 1)","noteIndex":0},"citationItems":[{"id":1203,"uris":["http://zotero.org/users/5481489/items/F3VZH8DU"],"uri":["http://zotero.org/users/5481489/items/F3VZH8DU"],"itemData":{"id":1203,"type":"webpage","abstract":"Nearly 700 migrant farmer workers in Ontario have tested positive for COVID-19. Two have died. And without better regulations, the virus will keep spreading.","container-title":"TVO.org","language":"en","title":"Fear, neglect, and close quarters: Inside Ontario’s migrant-worker health crisis","title-short":"Fear, neglect, and close quarters","URL":"https://www.tvo.org/article/fear-neglect-and-close-quarters-inside-ontarios-migrant-worker-health-crisis","author":[{"family":"Glauser","given":"Wendy"}],"accessed":{"date-parts":[["2021",4,1]]},"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(Glauser,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7D5FE1E3" w14:textId="40D657B5"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present work and living conditions especially the lack of self-isolation for contacts and positive cases of COVID- 19 cases is in direct contrast with the stipulation of Public Health guidelines. In Section 22(5.0.1) of the Health Protection and Promotion Act, contacts of COVID- </w:t>
      </w:r>
      <w:r w:rsidRPr="00D542A1">
        <w:rPr>
          <w:rFonts w:ascii="Times New Roman" w:hAnsi="Times New Roman" w:cs="Times New Roman"/>
          <w:sz w:val="24"/>
          <w:szCs w:val="24"/>
        </w:rPr>
        <w:lastRenderedPageBreak/>
        <w:t xml:space="preserve">19 positive cases must isolate for 14 days. Essentially, the measure to slow the spread of the virus is social distancing which was impossible to implement with the existing living and working condition in the farms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{"citationID":"fYgZPGpZ","properties":{"formattedCitation":"(Janovsky, 2020)","plainCitation":"(Janovsky, 2020)","noteIndex":0},"citationItems":[{"id":1279,"uris":["http://zotero.org/users/5481489/items/4LHS963X"],"uri":["http://zotero.org/users/5481489/items/4LHS963X"],"itemData":{"id":1279,"type":"article-journal","language":"en","page":"2","source":"Zotero","title":"COVID-19: Physical Distancing","author":[{"family":"Janovsky","given":"Steven"}],"issued":{"date-parts":[["2020"]]}}}],"schema":"https://github.com/citation-style-language/schema/raw/master/csl-citation.json"}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(Janovsky,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For instance, Norfolk County Mayor Kristal </w:t>
      </w:r>
      <w:proofErr w:type="spellStart"/>
      <w:r w:rsidRPr="00D542A1">
        <w:rPr>
          <w:rFonts w:ascii="Times New Roman" w:hAnsi="Times New Roman" w:cs="Times New Roman"/>
          <w:sz w:val="24"/>
          <w:szCs w:val="24"/>
        </w:rPr>
        <w:t>Chopp</w:t>
      </w:r>
      <w:proofErr w:type="spellEnd"/>
      <w:r w:rsidRPr="00D542A1">
        <w:rPr>
          <w:rFonts w:ascii="Times New Roman" w:hAnsi="Times New Roman" w:cs="Times New Roman"/>
          <w:sz w:val="24"/>
          <w:szCs w:val="24"/>
        </w:rPr>
        <w:t xml:space="preserve"> noted that with the “large congregate living situations on most farms — and few local hotel accommodations in the area — it's been a major challenge to isolate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{"citationID":"CqeNQqXo","properties":{"formattedCitation":"(Jeffords, 2020, p. 1)","plainCitation":"(Jeffords, 2020, p. 1)","noteIndex":0},"citationItems":[{"id":856,"uris":["http://zotero.org/users/5481489/items/SWJ24YVI"],"uri":["http://zotero.org/users/5481489/items/SWJ24YVI"],"itemData":{"id":856,"type":"article-newspaper","abstract":"TORONTO — The number of COVID-19 cases at a farm in southwestern Ontario has nearly doubled in a matter of days, local authorities said Tuesday, as the province's chief coroner's office said it would investigate the death of a migrant worker from the virus. The Haldimand-Norfolk Health Unit said 164 people — most of them migrant workers — have tested positive for COVID-19 at the Scotlynn Group's farm in Norfolk County, up from 85 cases reported on Sunday.","container-title":"The Canadian Press","language":"English","note":"publisher: The Canadian Press","source":"Factiva","title":"COVID-19 outbreak at Norfolk County farm grows; 164 people test positive","URL":"http://global.factiva.com/redir/default.aspx?P=sa&amp;an=CPR0000020200602eg6200aq5&amp;cat=a&amp;ep=ASE","author":[{"family":"Jeffords","given":"Shawn"}],"accessed":{"date-parts":[["2021",2,13]]},"issued":{"date-parts":[["2020",6,2]]}},"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(Jeffords,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Hence, the communal living structure makes it challenging to implement social distancing on the farm during the pandemic. For example, </w:t>
      </w:r>
      <w:proofErr w:type="spellStart"/>
      <w:r w:rsidRPr="00D542A1">
        <w:rPr>
          <w:rFonts w:ascii="Times New Roman" w:hAnsi="Times New Roman" w:cs="Times New Roman"/>
          <w:sz w:val="24"/>
          <w:szCs w:val="24"/>
        </w:rPr>
        <w:t>Ramsaroop</w:t>
      </w:r>
      <w:proofErr w:type="spellEnd"/>
      <w:r w:rsidRPr="00D542A1">
        <w:rPr>
          <w:rFonts w:ascii="Times New Roman" w:hAnsi="Times New Roman" w:cs="Times New Roman"/>
          <w:sz w:val="24"/>
          <w:szCs w:val="24"/>
        </w:rPr>
        <w:t xml:space="preserve"> describing the migrants general living condition noted that it was characterised by “Cramped housing, cramped transportation, a lack of occupational hygiene practices because of a lack of regulation — all these are creating this population ripe for the pandemic,”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{"citationID":"PKqEN1vJ","properties":{"formattedCitation":"(Glauser, 2020, p. 1)","plainCitation":"(Glauser, 2020, p. 1)","noteIndex":0},"citationItems":[{"id":1203,"uris":["http://zotero.org/users/5481489/items/F3VZH8DU"],"uri":["http://zotero.org/users/5481489/items/F3VZH8DU"],"itemData":{"id":1203,"type":"webpage","abstract":"Nearly 700 migrant farmer workers in Ontario have tested positive for COVID-19. Two have died. And without better regulations, the virus will keep spreading.","container-title":"TVO.org","language":"en","title":"Fear, neglect, and close quarters: Inside Ontario’s migrant-worker health crisis","title-short":"Fear, neglect, and close quarters","URL":"https://www.tvo.org/article/fear-neglect-and-close-quarters-inside-ontarios-migrant-worker-health-crisis","author":[{"family":"Glauser","given":"Wendy"}],"accessed":{"date-parts":[["2021",4,1]]},"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(Glauser, 2020,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6269B168"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67" w:name="_Toc72494778"/>
      <w:r w:rsidRPr="00D542A1">
        <w:rPr>
          <w:rFonts w:ascii="Times New Roman" w:eastAsiaTheme="majorEastAsia" w:hAnsi="Times New Roman" w:cs="Times New Roman"/>
          <w:color w:val="2F5496" w:themeColor="accent1" w:themeShade="BF"/>
          <w:sz w:val="24"/>
          <w:szCs w:val="24"/>
        </w:rPr>
        <w:t>Employers’ inaction reveals a preference for economic benefit over migrant’s well-being</w:t>
      </w:r>
      <w:bookmarkEnd w:id="67"/>
    </w:p>
    <w:p w14:paraId="0BC7CB03" w14:textId="77777777" w:rsidR="00D542A1" w:rsidRPr="00D542A1" w:rsidRDefault="00D542A1" w:rsidP="00BE37E2">
      <w:pPr>
        <w:jc w:val="both"/>
        <w:rPr>
          <w:rFonts w:ascii="Times New Roman" w:hAnsi="Times New Roman" w:cs="Times New Roman"/>
          <w:sz w:val="24"/>
          <w:szCs w:val="24"/>
        </w:rPr>
      </w:pPr>
    </w:p>
    <w:p w14:paraId="0AC3D89B" w14:textId="4A367D8F"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Migrants’ treatment and experiences suggests an insensitivity of the employers to the plight of the migrant workers. Instead, they were subject to exploitation and threats as well as “vulnerable to abusive occupational practices, including ineligibility for overtime pay and even dismissal and repatriation”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{"citationID":"tYc2SNN0","properties":{"formattedCitation":"(Bejan &amp; Allain, 2021, p. 1)","plainCitation":"(Bejan &amp; Allain, 2021, p. 1)","noteIndex":0},"citationItems":[{"id":1309,"uris":["http://zotero.org/users/5481489/items/5RPZ52BP"],"uri":["http://zotero.org/users/5481489/items/5RPZ52BP"],"itemData":{"id":1309,"type":"post-weblog","abstract":"Canada's federal government recently imposed new air travel restrictions in an effort to contain the spread of COVID-19. The government and four major airl","container-title":"OHS Canada Magazine","language":"en-US","note":"section: Health &amp; Safety","title":"Profits trump COVID-19 protections for migrant seafood workers in Atlantic Canada","URL":"https://www.ohscanada.com/features/profits-trump-covid-19-protections-migrant-seafood-workers-atlantic-canada/","author":[{"family":"Bejan","given":"Raluca"},{"family":"Allain","given":"Kristi"}],"accessed":{"date-parts":[["2021",4,29]]},"issued":{"date-parts":[["2021"]]}},"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(Bejan &amp; Allain, 2021,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r w:rsidRPr="00D542A1">
        <w:rPr>
          <w:rFonts w:ascii="Times New Roman" w:hAnsi="Times New Roman" w:cs="Times New Roman"/>
          <w:color w:val="70AD47" w:themeColor="accent6"/>
          <w:sz w:val="24"/>
          <w:szCs w:val="24"/>
        </w:rPr>
        <w:t xml:space="preserve"> </w:t>
      </w:r>
      <w:r w:rsidRPr="00D542A1">
        <w:rPr>
          <w:rFonts w:ascii="Times New Roman" w:hAnsi="Times New Roman" w:cs="Times New Roman"/>
          <w:sz w:val="24"/>
          <w:szCs w:val="24"/>
        </w:rPr>
        <w:t xml:space="preserve">These workers are further coerced to work without PPE and other protective gear like mask, leading to more infection in the farm. Additionally, </w:t>
      </w:r>
      <w:r w:rsidR="007F06A7">
        <w:rPr>
          <w:rFonts w:ascii="Times New Roman" w:hAnsi="Times New Roman" w:cs="Times New Roman"/>
          <w:sz w:val="24"/>
          <w:szCs w:val="24"/>
        </w:rPr>
        <w:t xml:space="preserve">with </w:t>
      </w:r>
      <w:r w:rsidRPr="00D542A1">
        <w:rPr>
          <w:rFonts w:ascii="Times New Roman" w:hAnsi="Times New Roman" w:cs="Times New Roman"/>
          <w:sz w:val="24"/>
          <w:szCs w:val="24"/>
        </w:rPr>
        <w:t xml:space="preserve">the policy of no work no pay and possible threat of potential blacklisting, workers were reluctant to admit they were sick. As the study by </w:t>
      </w:r>
      <w:proofErr w:type="spellStart"/>
      <w:r w:rsidRPr="00D542A1">
        <w:rPr>
          <w:rFonts w:ascii="Times New Roman" w:hAnsi="Times New Roman" w:cs="Times New Roman"/>
          <w:sz w:val="24"/>
          <w:szCs w:val="24"/>
        </w:rPr>
        <w:t>Hennebery</w:t>
      </w:r>
      <w:proofErr w:type="spellEnd"/>
      <w:r w:rsidRPr="00D542A1">
        <w:rPr>
          <w:rFonts w:ascii="Times New Roman" w:hAnsi="Times New Roman" w:cs="Times New Roman"/>
          <w:sz w:val="24"/>
          <w:szCs w:val="24"/>
        </w:rPr>
        <w:t xml:space="preserve"> (2010) showed pre-pandemic 45% worked while sick because of fear of the employer, 55% worked while sick because they do not want to lose their hourly pay. </w:t>
      </w:r>
    </w:p>
    <w:p w14:paraId="60D5C5CA" w14:textId="77777777" w:rsidR="000A1AF2" w:rsidRDefault="000A1AF2">
      <w:pPr>
        <w:rPr>
          <w:rFonts w:ascii="Times New Roman" w:eastAsiaTheme="majorEastAsia" w:hAnsi="Times New Roman" w:cs="Times New Roman"/>
          <w:color w:val="2F5496" w:themeColor="accent1" w:themeShade="BF"/>
          <w:sz w:val="24"/>
          <w:szCs w:val="24"/>
        </w:rPr>
      </w:pPr>
      <w:r>
        <w:rPr>
          <w:rFonts w:ascii="Times New Roman" w:eastAsiaTheme="majorEastAsia" w:hAnsi="Times New Roman" w:cs="Times New Roman"/>
          <w:color w:val="2F5496" w:themeColor="accent1" w:themeShade="BF"/>
          <w:sz w:val="24"/>
          <w:szCs w:val="24"/>
        </w:rPr>
        <w:br w:type="page"/>
      </w:r>
    </w:p>
    <w:p w14:paraId="165973B9" w14:textId="30DB1C34"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68" w:name="_Toc72494779"/>
      <w:r w:rsidRPr="00D542A1">
        <w:rPr>
          <w:rFonts w:ascii="Times New Roman" w:eastAsiaTheme="majorEastAsia" w:hAnsi="Times New Roman" w:cs="Times New Roman"/>
          <w:color w:val="2F5496" w:themeColor="accent1" w:themeShade="BF"/>
          <w:sz w:val="24"/>
          <w:szCs w:val="24"/>
        </w:rPr>
        <w:lastRenderedPageBreak/>
        <w:t>Migrant workers’ fear of repercussions for speaking up about their marginalization</w:t>
      </w:r>
      <w:bookmarkEnd w:id="68"/>
    </w:p>
    <w:p w14:paraId="00B949A4" w14:textId="77777777" w:rsidR="00D542A1" w:rsidRPr="00D542A1" w:rsidRDefault="00D542A1" w:rsidP="00BE37E2">
      <w:pPr>
        <w:jc w:val="both"/>
        <w:rPr>
          <w:rFonts w:ascii="Times New Roman" w:hAnsi="Times New Roman" w:cs="Times New Roman"/>
          <w:sz w:val="24"/>
          <w:szCs w:val="24"/>
        </w:rPr>
      </w:pPr>
    </w:p>
    <w:p w14:paraId="5F4ACC5A" w14:textId="4C84A791"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As indicated earlier in this paper, migrant workers are assigned to one employer and are unable to change employer at will until the contract terminates. In fact, their rehire is based on being in the good books of recruiters as well as employers. As a result, migrants contend with</w:t>
      </w:r>
      <w:r w:rsidR="007F06A7">
        <w:rPr>
          <w:rFonts w:ascii="Times New Roman" w:hAnsi="Times New Roman" w:cs="Times New Roman"/>
          <w:sz w:val="24"/>
          <w:szCs w:val="24"/>
        </w:rPr>
        <w:t xml:space="preserve"> the fear</w:t>
      </w:r>
      <w:r w:rsidRPr="00D542A1">
        <w:rPr>
          <w:rFonts w:ascii="Times New Roman" w:hAnsi="Times New Roman" w:cs="Times New Roman"/>
          <w:sz w:val="24"/>
          <w:szCs w:val="24"/>
        </w:rPr>
        <w:t xml:space="preserve"> of repatriation to their country, and they do everything in their power to ensure they are called back the next farming season. This is the main reason they do not complain about the dangerous working and living conditions they experienced in destination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{"citationID":"PU0jQvEV","properties":{"formattedCitation":"(Baum &amp; Grant, 2020; Glauser, 2020; J. Hennebry, 2010; Perry, 2018)","plainCitation":"(Baum &amp; Grant, 2020; Glauser, 2020; J. Hennebry, 2010; Perry, 2018)","dontUpdate":true,"noteIndex":0},"citationItems":[{"id":1180,"uris":["http://zotero.org/users/5481489/items/88VPIE5N"],"uri":["http://zotero.org/users/5481489/items/88VPIE5N"],"itemData":{"id":1180,"type":"article-newspaper","abstract":"Migrant farm workers say they have been punished by their employers over disagreements about COVID-19 precautions, fuelling calls for an independent oversight agency that would empower temporary foreign workers to register complaints without fear of reprisal. A number of migrant farm workers in B.C. and Ontario told The Globe and Mail they were fired or unnecessarily forced to quarantine after being accused of breaking pandemic-related rules or speaking out about inadequate safety measures. Under the temporary foreign worker (TFW) program, seasonal agricultural workers often live in employer-provided bunkhouses on the farm. In some cases, these living quarters are overcrowded and rundown, allowing the virus to spread easily. Amid a series of COVID-19 outbreaks, some employers have confined workers to the property.","container-title":"The Globe and Mail (Breaking News)","language":"English","note":"publisher: The Globe and Mail Inc.","section":"National","source":"Factiva","title":"Migrant farm workers call for safety from reprisals for speaking out; The accounts are emblematic of long-standing issues within the TFW program, which the federal government has admitted is flawed and puts too much power in the hands of employers","URL":"http://global.factiva.com/redir/default.aspx?P=sa&amp;an=GMBN000020200817eg8g000gp&amp;cat=a&amp;ep=ASE","author":[{"family":"Baum","given":"Kathryn Blaze"},{"family":"Grant","given":"Tavia"}],"accessed":{"date-parts":[["2021",4,1]]},"issued":{"date-parts":[["2020",8,17]]}}},{"id":1203,"uris":["http://zotero.org/users/5481489/items/F3VZH8DU"],"uri":["http://zotero.org/users/5481489/items/F3VZH8DU"],"itemData":{"id":1203,"type":"webpage","abstract":"Nearly 700 migrant farmer workers in Ontario have tested positive for COVID-19. Two have died. And without better regulations, the virus will keep spreading.","container-title":"TVO.org","language":"en","title":"Fear, neglect, and close quarters: Inside Ontario’s migrant-worker health crisis","title-short":"Fear, neglect, and close quarters","URL":"https://www.tvo.org/article/fear-neglect-and-close-quarters-inside-ontarios-migrant-worker-health-crisis","author":[{"family":"Glauser","given":"Wendy"}],"accessed":{"date-parts":[["2021",4,1]]},"issued":{"date-parts":[["2020"]]}}},{"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(Baum &amp; Grant, 2020; Glauser, 2020; Hennebry, 2010; 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Luis Gabriel, a Mexican migrant worker was fired because he spoke up about the working and living conditions in the </w:t>
      </w:r>
      <w:proofErr w:type="spellStart"/>
      <w:r w:rsidRPr="00D542A1">
        <w:rPr>
          <w:rFonts w:ascii="Times New Roman" w:hAnsi="Times New Roman" w:cs="Times New Roman"/>
          <w:sz w:val="24"/>
          <w:szCs w:val="24"/>
        </w:rPr>
        <w:t>Scotlyn</w:t>
      </w:r>
      <w:proofErr w:type="spellEnd"/>
      <w:r w:rsidRPr="00D542A1">
        <w:rPr>
          <w:rFonts w:ascii="Times New Roman" w:hAnsi="Times New Roman" w:cs="Times New Roman"/>
          <w:sz w:val="24"/>
          <w:szCs w:val="24"/>
        </w:rPr>
        <w:t xml:space="preserve"> Group Farm, an agricultural farm in which dozens of workers contracted COVID-19, and at least one migrant worker died as </w:t>
      </w:r>
      <w:r w:rsidR="007F06A7">
        <w:rPr>
          <w:rFonts w:ascii="Times New Roman" w:hAnsi="Times New Roman" w:cs="Times New Roman"/>
          <w:sz w:val="24"/>
          <w:szCs w:val="24"/>
        </w:rPr>
        <w:t>a</w:t>
      </w:r>
      <w:r w:rsidRPr="00D542A1">
        <w:rPr>
          <w:rFonts w:ascii="Times New Roman" w:hAnsi="Times New Roman" w:cs="Times New Roman"/>
          <w:sz w:val="24"/>
          <w:szCs w:val="24"/>
        </w:rPr>
        <w:t xml:space="preserve"> result of the virus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{"citationID":"JFwkcjgq","properties":{"formattedCitation":"(Noticias Financieras News, 2020; N. Thompson, 2020)","plainCitation":"(Noticias Financieras News, 2020; N. Thompson, 2020)","dontUpdate":true,"noteIndex":0},"citationItems":[{"id":1188,"uris":["http://zotero.org/users/5481489/items/WC79KKTA"],"uri":["http://zotero.org/users/5481489/items/WC79KKTA"],"itemData":{"id":1188,"type":"article-newspaper","abstract":"Toronto, Canada, 19 Aug (EFE News).- The dismissal of Mexican tempist Luis Gabriel Flores, who is hidden for fear of being expelled from Canada after denouncing the working and health conditions in the country's day laborers, reveals a system that favors retaliation and coercion. Negotiations to arrange an interview with Flores are lengthy: people who provide shelter in southern Canada fear that any detail will reveal where he is and that The Canadian immigration authorities will proceed with the worker's fulminant expulsion.","container-title":"CE NoticiasFinancieras","language":"English","note":"publisher: Content Engine LLC","section":"CE Noticias Financieras English","source":"Factiva","title":"Mexican temporary dismissal reveals reprisals and coercion in Canada","URL":"http://global.factiva.com/redir/default.aspx?P=sa&amp;an=NFINCE0020200820eg8j002br&amp;cat=a&amp;ep=ASE","author":[{"family":"Noticias Financieras News","given":""}],"accessed":{"date-parts":[["2021",4,1]]},"issued":{"date-parts":[["2020",8,19]]}}},{"id":852,"uris":["http://zotero.org/users/5481489/items/F2NT8BGC"],"uri":["http://zotero.org/users/5481489/items/F2NT8BGC"],"itemData":{"id":852,"type":"article-newspaper","abstract":"A Mexican worker has been awarded damages after being fired for speaking out about poor working and living conditions during a COVID-19 outbreak at the Ontario farm where he worked. The Ontario Labour Review Board ordered Scotlynn Sweetpac Growers Inc. to pay $25,000 to Gabriel Flores, who was fired in June by Robert Biddle, who owned the farm at the time, and was immediately sent back to Mexico.","container-title":"The Canadian Press","language":"English","note":"publisher: The Canadian Press","source":"Factiva","title":"Migrant worker fired for speaking about COVID-19 wins labour case against farm","URL":"http://global.factiva.com/redir/default.aspx?P=sa&amp;an=CPR0000020201113egbd00nrl&amp;cat=a&amp;ep=ASE","author":[{"family":"Thompson","given":"Nicole"}],"accessed":{"date-parts":[["2021",2,13]]},"issued":{"date-parts":[["2020",11,13]]}}}],"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(Noticias Financieras News, 2020; Thompson,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38E863E"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Indeed, speaking out may result to loss of job and the eventual repatriation of migrants to their home country,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{"citationID":"nU5oXpeQ","properties":{"formattedCitation":"(Perry, 2018; Ramos et al., 2020b)","plainCitation":"(Perry, 2018; Ramos et al., 2020b)","noteIndex":0},"citationItems":[{"id":70,"uris":["http://zotero.org/users/5481489/items/B8NV9AJ8"],"uri":["http://zotero.org/users/5481489/items/B8NV9AJ8"],"itemData":{"id":70,"type":"article-journal","abstract":"This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Adam"}],"issued":{"date-parts":[["2018",11]]}}},{"id":1121,"uris":["http://zotero.org/users/5481489/items/D5JKCWND"],"uri":["http://zotero.org/users/5481489/items/D5JKCWND"],"itemData":{"id":1121,"type":"article-journal","abstract":"From the farms to the packing plants, essential workers in critical food production industries keep food on our tables while risking their and their families’ health and well-being to bring home a paycheck. They work in essential industries but are often invisible. The disparities illuminated by COVID-19 are not new. Instead, they are the result of years of inequities built into practices, policies, and systems that reinforce societal power structures. As a society, we are now at an antagonizing moment where we can change our collective trajectory to focus forward and promote equity and justice for workers in agriculture and food-related industries. To that end, we describe our experience and approach in addressing COVID-19 outbreaks in meat processing facilities, which included three pillars of action based on public health ethics and international human rights: (1) worksite prevention and control, (2) community-based prevention and control, and (3) treatment. Our approach can be translated to promote the health, safety, and well-being of the broader agricultural workforce.","container-title":"Journal of Agromedicine","DOI":"10.1080/1059924X.2020.1814925","ISSN":"1059-924X, 1545-0813","issue":"4","journalAbbreviation":"Journal of Agromedicine","language":"en","page":"378-382","source":"DOI.org (Crossref)","title":"Invisible No More: The Impact of COVID-19 on Essential Food Production Workers","title-short":"Invisible No More","volume":"25","author":[{"family":"Ramos","given":"Athena K."},{"family":"Lowe","given":"Abigail E."},{"family":"Herstein","given":"Jocelyn J."},{"family":"Schwedhelm","given":"Shelly"},{"family":"Dineen","given":"Kelly K."},{"family":"Lowe","given":"John J."}],"issued":{"date-parts":[["2020",10,1]]}}}],"schema":"https://github.com/citation-style-language/schema/raw/master/csl-citation.json"}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(Perry, 2018; Ramos et al.,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Syed </w:t>
      </w:r>
      <w:proofErr w:type="spellStart"/>
      <w:r w:rsidRPr="00D542A1">
        <w:rPr>
          <w:rFonts w:ascii="Times New Roman" w:hAnsi="Times New Roman" w:cs="Times New Roman"/>
          <w:sz w:val="24"/>
          <w:szCs w:val="24"/>
        </w:rPr>
        <w:t>Hussan</w:t>
      </w:r>
      <w:proofErr w:type="spellEnd"/>
      <w:r w:rsidRPr="00D542A1">
        <w:rPr>
          <w:rFonts w:ascii="Times New Roman" w:hAnsi="Times New Roman" w:cs="Times New Roman"/>
          <w:sz w:val="24"/>
          <w:szCs w:val="24"/>
        </w:rPr>
        <w:t xml:space="preserve">, </w:t>
      </w:r>
      <w:bookmarkStart w:id="69" w:name="_Hlk71282103"/>
      <w:r w:rsidRPr="00D542A1">
        <w:rPr>
          <w:rFonts w:ascii="Times New Roman" w:hAnsi="Times New Roman" w:cs="Times New Roman"/>
          <w:sz w:val="24"/>
          <w:szCs w:val="24"/>
        </w:rPr>
        <w:t>the executive director of the Migrant Workers Alliance for Change</w:t>
      </w:r>
      <w:bookmarkEnd w:id="69"/>
      <w:r w:rsidRPr="00D542A1">
        <w:rPr>
          <w:rFonts w:ascii="Times New Roman" w:hAnsi="Times New Roman" w:cs="Times New Roman"/>
          <w:sz w:val="24"/>
          <w:szCs w:val="24"/>
        </w:rPr>
        <w:t xml:space="preserve">, and a member of the Migrant Rights Network, quoted earlier stated that </w:t>
      </w:r>
    </w:p>
    <w:p w14:paraId="1DC0CCE5" w14:textId="77777777" w:rsidR="00D542A1" w:rsidRPr="00D542A1" w:rsidRDefault="00D542A1" w:rsidP="00BE37E2">
      <w:pPr>
        <w:spacing w:line="240" w:lineRule="auto"/>
        <w:ind w:left="567" w:right="1138"/>
        <w:jc w:val="both"/>
        <w:rPr>
          <w:rFonts w:ascii="Times New Roman" w:hAnsi="Times New Roman" w:cs="Times New Roman"/>
          <w:sz w:val="24"/>
          <w:szCs w:val="24"/>
        </w:rPr>
      </w:pPr>
      <w:r w:rsidRPr="00D542A1">
        <w:rPr>
          <w:rFonts w:ascii="Times New Roman" w:hAnsi="Times New Roman" w:cs="Times New Roman"/>
          <w:sz w:val="24"/>
          <w:szCs w:val="24"/>
        </w:rPr>
        <w:t xml:space="preserve">dismal housing and working conditions have been reported for years, but during the pandemic, they're even more dangerous. Yet most migrant workers do not report conditions out of fear of reprisal, or because they don't have the ability to do so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{"citationID":"gCaqUEnp","properties":{"formattedCitation":"(2020b, p. 1)","plainCitation":"(2020b, p. 1)","dontUpdate":true,"noteIndex":0},"citationItems":[{"id":835,"uris":["http://zotero.org/users/5481489/items/XR6I9JWM"],"uri":["http://zotero.org/users/5481489/items/XR6I9JWM"],"itemData":{"id":835,"type":"article-magazine","abstract":"In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locator":"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088134E7"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The culmination of information provided by these case studies and reports from news and cultural journals illustrate how analysis at the intersection of gender, immigration, and social determinants of health cast temporary migrant workers in a position of vulnerability and dependence on their employer. They are at greater risk than the general population as the numbers of infection has shown so far. The migrant as a vulnerable group, face a</w:t>
      </w:r>
    </w:p>
    <w:p w14:paraId="5FD72EE0" w14:textId="77777777" w:rsidR="00D542A1" w:rsidRPr="00D542A1" w:rsidRDefault="00D542A1" w:rsidP="00BE37E2">
      <w:pPr>
        <w:spacing w:line="240" w:lineRule="auto"/>
        <w:ind w:left="851" w:right="1138"/>
        <w:jc w:val="both"/>
        <w:rPr>
          <w:rFonts w:ascii="Times New Roman" w:hAnsi="Times New Roman" w:cs="Times New Roman"/>
          <w:sz w:val="24"/>
          <w:szCs w:val="24"/>
        </w:rPr>
      </w:pPr>
      <w:r w:rsidRPr="00D542A1">
        <w:rPr>
          <w:rFonts w:ascii="Times New Roman" w:hAnsi="Times New Roman" w:cs="Times New Roman"/>
          <w:sz w:val="24"/>
          <w:szCs w:val="24"/>
        </w:rPr>
        <w:lastRenderedPageBreak/>
        <w:t xml:space="preserve">heightened risks due to the legal status tied to the employment contract heightened risks due to the following: legal status tied to the employment contract; working during the months that correspond with high rates of enteric/food-borne/water-borne disease transmission; unprotected/ untrained use of pesticides and farm equipment; social exclusion, poor access to transportation and communication barriers; and poor and overcrowded housing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{"citationID":"45dnMLhv","properties":{"formattedCitation":"(Hennebry, 2010, p. 74)","plainCitation":"(Hennebry, 2010, p. 74)","dontUpdate":true,"noteIndex":0},"citationItems":[{"id":743,"uris":["http://zotero.org/users/5481489/items/KM5JV5U2"],"uri":["http://zotero.org/users/5481489/items/KM5JV5U2"],"itemData":{"id":743,"type":"article-journal","abstract":"Canadian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Apples","author":[{"family":"Hennebry","given":"Jenna"}],"issued":{"date-parts":[["2010"]],"season":"Spring"}},"locator":"74"}],"schema":"https://github.com/citation-style-language/schema/raw/master/csl-citation.json"}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74)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bookmarkStart w:id="70" w:name="_Hlk70603274"/>
    </w:p>
    <w:p w14:paraId="5D2E209D" w14:textId="77777777" w:rsidR="00D542A1" w:rsidRPr="00D542A1" w:rsidRDefault="00D542A1" w:rsidP="00BE37E2">
      <w:pPr>
        <w:spacing w:line="240" w:lineRule="auto"/>
        <w:ind w:left="851" w:right="1138"/>
        <w:jc w:val="both"/>
        <w:rPr>
          <w:rFonts w:ascii="Times New Roman" w:hAnsi="Times New Roman" w:cs="Times New Roman"/>
          <w:sz w:val="24"/>
          <w:szCs w:val="24"/>
        </w:rPr>
      </w:pPr>
    </w:p>
    <w:p w14:paraId="4DA60DB0" w14:textId="627FA71B"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The migrants may accept this first, because they have been socialized to have a higher tolerance for risk taking, and secondly because of lack of options supported by the social policy that marginalizes them to conditions that generate poor health. Ultimately, the assumption is that taking these risks and successfully providing for the family as the “bread winner” validates their manhood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{"citationID":"UZlu5Wgf","properties":{"formattedCitation":"(Yeoh &amp; Ramdas, 2014)","plainCitation":"(Yeoh &amp; Ramdas, 2014)","noteIndex":0},"citationItems":[{"id":240,"uris":["http://zotero.org/users/5481489/items/MWBFKBFN"],"uri":["http://zotero.org/users/5481489/items/MWBFKBFN"],"itemData":{"id":240,"type":"article-journal","container-title":"Gender,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In describing the importance of working or paid jobs on the ego of men, Donaldson et al (2009) notes that </w:t>
      </w:r>
    </w:p>
    <w:p w14:paraId="7667ECEE" w14:textId="77777777" w:rsidR="00D542A1" w:rsidRPr="00D542A1" w:rsidRDefault="00D542A1" w:rsidP="00BE37E2">
      <w:pPr>
        <w:spacing w:line="240" w:lineRule="auto"/>
        <w:ind w:left="567" w:right="1280"/>
        <w:jc w:val="both"/>
        <w:rPr>
          <w:rFonts w:ascii="Times New Roman" w:hAnsi="Times New Roman" w:cs="Times New Roman"/>
          <w:sz w:val="24"/>
          <w:szCs w:val="24"/>
        </w:rPr>
      </w:pPr>
      <w:r w:rsidRPr="00D542A1">
        <w:rPr>
          <w:rFonts w:ascii="Times New Roman" w:hAnsi="Times New Roman" w:cs="Times New Roman"/>
          <w:sz w:val="24"/>
          <w:szCs w:val="24"/>
        </w:rPr>
        <w:t>finding employment; keeping it, the nature of it, and migrant men more generally consider their authority and power, both 'at home' and 'overseas' to be based upon work they are paid to do. For the migrant men, paid work represents a "key element" in their manhood (p.210).</w:t>
      </w:r>
    </w:p>
    <w:p w14:paraId="0BF9580E" w14:textId="77777777" w:rsidR="00D542A1" w:rsidRPr="00D542A1" w:rsidRDefault="00D542A1" w:rsidP="00BE37E2">
      <w:pPr>
        <w:spacing w:line="240" w:lineRule="auto"/>
        <w:ind w:left="567" w:right="1280"/>
        <w:jc w:val="both"/>
        <w:rPr>
          <w:rFonts w:ascii="Times New Roman" w:hAnsi="Times New Roman" w:cs="Times New Roman"/>
          <w:sz w:val="24"/>
          <w:szCs w:val="24"/>
        </w:rPr>
      </w:pPr>
    </w:p>
    <w:p w14:paraId="77B3D2A5"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Men's socialized responsibility as the breadwinners or key providers for the family household is a very strong part of their sense of self and manhood. The migrant’s satisfaction in choosing dangerous, demeaning, and precarious working and living conditions is the knowledge that he is fulfilling his role as the man, the provider. As Donaldson et al, further notes </w:t>
      </w:r>
    </w:p>
    <w:p w14:paraId="48A501AC" w14:textId="77777777" w:rsidR="00D542A1" w:rsidRPr="00D542A1" w:rsidRDefault="00D542A1" w:rsidP="00BE37E2">
      <w:pPr>
        <w:spacing w:line="240" w:lineRule="auto"/>
        <w:ind w:left="567" w:right="1138"/>
        <w:jc w:val="both"/>
        <w:rPr>
          <w:rFonts w:ascii="Times New Roman" w:hAnsi="Times New Roman" w:cs="Times New Roman"/>
          <w:sz w:val="24"/>
          <w:szCs w:val="24"/>
        </w:rPr>
      </w:pPr>
      <w:r w:rsidRPr="00D542A1">
        <w:rPr>
          <w:rFonts w:ascii="Times New Roman" w:hAnsi="Times New Roman" w:cs="Times New Roman"/>
          <w:sz w:val="24"/>
          <w:szCs w:val="24"/>
        </w:rPr>
        <w:t>There is honour in self-sacrifice for the family. At the same time, by ‘bringing home the bacon', a working man exerts control over property, income and what it can buy. This is one of the material bases of the maintenance of patriarchy. For successfully supplying the family household with the bulk of its income, he expects respect and loyalty, even obedience, in return (p, 211).</w:t>
      </w:r>
    </w:p>
    <w:p w14:paraId="7D3DF587" w14:textId="77777777" w:rsidR="00D542A1" w:rsidRPr="00D542A1" w:rsidRDefault="00D542A1" w:rsidP="00BE37E2">
      <w:pPr>
        <w:spacing w:line="240" w:lineRule="auto"/>
        <w:ind w:right="1138"/>
        <w:jc w:val="both"/>
        <w:rPr>
          <w:rFonts w:ascii="Times New Roman" w:hAnsi="Times New Roman" w:cs="Times New Roman"/>
          <w:sz w:val="24"/>
          <w:szCs w:val="24"/>
        </w:rPr>
      </w:pPr>
    </w:p>
    <w:p w14:paraId="4D013846" w14:textId="77777777" w:rsidR="00D542A1" w:rsidRPr="00D542A1" w:rsidRDefault="00D542A1" w:rsidP="00BE37E2">
      <w:pPr>
        <w:spacing w:line="480" w:lineRule="auto"/>
        <w:ind w:right="1138"/>
        <w:jc w:val="both"/>
        <w:rPr>
          <w:rFonts w:ascii="Times New Roman" w:hAnsi="Times New Roman" w:cs="Times New Roman"/>
          <w:sz w:val="24"/>
          <w:szCs w:val="24"/>
        </w:rPr>
      </w:pPr>
      <w:r w:rsidRPr="00D542A1">
        <w:rPr>
          <w:rFonts w:ascii="Times New Roman" w:hAnsi="Times New Roman" w:cs="Times New Roman"/>
          <w:sz w:val="24"/>
          <w:szCs w:val="24"/>
        </w:rPr>
        <w:lastRenderedPageBreak/>
        <w:t>All these factors contribute to explain why these migrants are very vulnerable because they have been socialized into accepting high risky jobs as proof of manhood, as well as the opportunity to gain the respect of their family by providing for them.</w:t>
      </w:r>
      <w:bookmarkEnd w:id="70"/>
    </w:p>
    <w:p w14:paraId="42D8B590"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71" w:name="_Toc72494780"/>
      <w:r w:rsidRPr="00D542A1">
        <w:rPr>
          <w:rFonts w:ascii="Times New Roman" w:eastAsiaTheme="majorEastAsia" w:hAnsi="Times New Roman" w:cs="Times New Roman"/>
          <w:color w:val="2F5496" w:themeColor="accent1" w:themeShade="BF"/>
          <w:sz w:val="24"/>
          <w:szCs w:val="24"/>
          <w:lang w:val="en-US"/>
        </w:rPr>
        <w:t>Summary of Case #2</w:t>
      </w:r>
      <w:bookmarkEnd w:id="71"/>
    </w:p>
    <w:p w14:paraId="0EBA30E1" w14:textId="77777777" w:rsidR="00D542A1" w:rsidRPr="00D542A1" w:rsidRDefault="00D542A1" w:rsidP="00BE37E2">
      <w:pPr>
        <w:jc w:val="both"/>
        <w:rPr>
          <w:rFonts w:ascii="Times New Roman" w:hAnsi="Times New Roman" w:cs="Times New Roman"/>
          <w:sz w:val="24"/>
          <w:szCs w:val="24"/>
          <w:lang w:val="en-US"/>
        </w:rPr>
      </w:pPr>
    </w:p>
    <w:p w14:paraId="17F1D9DE" w14:textId="79EF8B86"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Like the workers in the meatpacking plants, the health of the migrant farm workers was shaped by multi-dimensional overlapping factors of immigration status, working condition and gender. There are ample reasons to believe that the health of migrants was already endangered through their working and living conditions prior to the pandemic. These poor conditions are perpetuated by their migration status which does not give them many options to make better choices. Varying degree of exploitation by the employers, and lack of protection by government officials in the destination country further facilitated their vulnerable disposition.</w:t>
      </w:r>
    </w:p>
    <w:p w14:paraId="11A6D407" w14:textId="77777777" w:rsidR="00D542A1" w:rsidRPr="00D542A1" w:rsidRDefault="00D542A1" w:rsidP="00BE37E2">
      <w:pPr>
        <w:spacing w:line="240" w:lineRule="auto"/>
        <w:ind w:right="1138"/>
        <w:jc w:val="both"/>
        <w:rPr>
          <w:rFonts w:ascii="Times New Roman" w:hAnsi="Times New Roman" w:cs="Times New Roman"/>
          <w:sz w:val="24"/>
          <w:szCs w:val="24"/>
        </w:rPr>
      </w:pPr>
    </w:p>
    <w:p w14:paraId="4820D806"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72" w:name="_Toc72494781"/>
      <w:r w:rsidRPr="00D542A1">
        <w:rPr>
          <w:rFonts w:ascii="Times New Roman" w:eastAsiaTheme="majorEastAsia" w:hAnsi="Times New Roman" w:cs="Times New Roman"/>
          <w:color w:val="2F5496" w:themeColor="accent1" w:themeShade="BF"/>
          <w:sz w:val="24"/>
          <w:szCs w:val="24"/>
          <w:lang w:val="en-US"/>
        </w:rPr>
        <w:t>Discussion</w:t>
      </w:r>
      <w:bookmarkEnd w:id="72"/>
    </w:p>
    <w:p w14:paraId="2F0C42F6"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p>
    <w:p w14:paraId="0471969C"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73" w:name="_Toc72494782"/>
      <w:r w:rsidRPr="00D542A1">
        <w:rPr>
          <w:rFonts w:ascii="Times New Roman" w:eastAsiaTheme="majorEastAsia" w:hAnsi="Times New Roman" w:cs="Times New Roman"/>
          <w:color w:val="2F5496" w:themeColor="accent1" w:themeShade="BF"/>
          <w:sz w:val="24"/>
          <w:szCs w:val="24"/>
        </w:rPr>
        <w:t>The Intersection between Working and Living Condition of Migrant workers</w:t>
      </w:r>
      <w:bookmarkEnd w:id="73"/>
    </w:p>
    <w:p w14:paraId="14AB9DD7"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r w:rsidRPr="00D542A1">
        <w:rPr>
          <w:rFonts w:ascii="Times New Roman" w:eastAsiaTheme="majorEastAsia" w:hAnsi="Times New Roman" w:cs="Times New Roman"/>
          <w:color w:val="2F5496" w:themeColor="accent1" w:themeShade="BF"/>
          <w:sz w:val="24"/>
          <w:szCs w:val="24"/>
        </w:rPr>
        <w:t xml:space="preserve"> </w:t>
      </w:r>
    </w:p>
    <w:p w14:paraId="16D2F94E" w14:textId="563AB416"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Amongst the social determinants of health identified by WHO, living and working condition</w:t>
      </w:r>
      <w:r w:rsidR="007F06A7">
        <w:rPr>
          <w:rFonts w:ascii="Times New Roman" w:hAnsi="Times New Roman" w:cs="Times New Roman"/>
          <w:sz w:val="24"/>
          <w:szCs w:val="24"/>
        </w:rPr>
        <w:t>s</w:t>
      </w:r>
      <w:r w:rsidRPr="00D542A1">
        <w:rPr>
          <w:rFonts w:ascii="Times New Roman" w:hAnsi="Times New Roman" w:cs="Times New Roman"/>
          <w:sz w:val="24"/>
          <w:szCs w:val="24"/>
        </w:rPr>
        <w:t xml:space="preserve"> are critical in these two cases, and indeed are linked to other determinants like income and social status. Analyzing migrant’s health decline and the reason why the virus impacted them so strongly can be linked to their living and working condition. Intersecting with these determinants are the gender of migrants who work in these industries dominated by men. How does the intersections of migration, work, and masculinity, as three of the key social determinants of health highlight an experience unique to migrant workers health and well-being?</w:t>
      </w:r>
    </w:p>
    <w:p w14:paraId="36B2E1A7"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lastRenderedPageBreak/>
        <w:t>The next section will compare the key findings across the two cases using the lived experiences of the migrant workers. Additionally, the section explores all those factors that heightened the deterioration of the health of the migrants making them vulnerable to the novel COVID-19.</w:t>
      </w:r>
    </w:p>
    <w:p w14:paraId="0787A5FA" w14:textId="77777777" w:rsidR="00D542A1" w:rsidRPr="00D542A1" w:rsidRDefault="00D542A1" w:rsidP="00BE37E2">
      <w:pPr>
        <w:keepNext/>
        <w:keepLines/>
        <w:spacing w:before="40" w:after="0" w:line="480" w:lineRule="auto"/>
        <w:jc w:val="both"/>
        <w:outlineLvl w:val="1"/>
        <w:rPr>
          <w:rFonts w:ascii="Times New Roman" w:eastAsiaTheme="majorEastAsia" w:hAnsi="Times New Roman" w:cs="Times New Roman"/>
          <w:color w:val="2F5496" w:themeColor="accent1" w:themeShade="BF"/>
          <w:sz w:val="24"/>
          <w:szCs w:val="24"/>
        </w:rPr>
      </w:pPr>
      <w:bookmarkStart w:id="74" w:name="_Toc69641163"/>
      <w:bookmarkStart w:id="75" w:name="_Toc72494783"/>
      <w:r w:rsidRPr="00D542A1">
        <w:rPr>
          <w:rFonts w:ascii="Times New Roman" w:eastAsiaTheme="majorEastAsia" w:hAnsi="Times New Roman" w:cs="Times New Roman"/>
          <w:color w:val="2F5496" w:themeColor="accent1" w:themeShade="BF"/>
          <w:sz w:val="24"/>
          <w:szCs w:val="24"/>
        </w:rPr>
        <w:t>The Interaction of Migration, Working and Living Conditions</w:t>
      </w:r>
      <w:bookmarkEnd w:id="74"/>
      <w:bookmarkEnd w:id="75"/>
      <w:r w:rsidRPr="00D542A1">
        <w:rPr>
          <w:rFonts w:ascii="Times New Roman" w:eastAsiaTheme="majorEastAsia" w:hAnsi="Times New Roman" w:cs="Times New Roman"/>
          <w:color w:val="2F5496" w:themeColor="accent1" w:themeShade="BF"/>
          <w:sz w:val="24"/>
          <w:szCs w:val="24"/>
        </w:rPr>
        <w:t xml:space="preserve"> </w:t>
      </w:r>
    </w:p>
    <w:p w14:paraId="79F72748" w14:textId="79D4880E"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two case studies analyzed highlight an extremely rapid decline in health due to the COVID-19 outbreak that led to multiple deaths of migrant workers. Although, there are important similarities in both cases, there were some notable differences. What are these similarities and difference in the working and living conditions in the case studies? </w:t>
      </w:r>
    </w:p>
    <w:p w14:paraId="19AAEF97"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76" w:name="_Toc72494784"/>
      <w:r w:rsidRPr="00D542A1">
        <w:rPr>
          <w:rFonts w:ascii="Times New Roman" w:eastAsiaTheme="majorEastAsia" w:hAnsi="Times New Roman" w:cs="Times New Roman"/>
          <w:color w:val="2F5496" w:themeColor="accent1" w:themeShade="BF"/>
          <w:sz w:val="24"/>
          <w:szCs w:val="24"/>
        </w:rPr>
        <w:t>Immigration Status</w:t>
      </w:r>
      <w:bookmarkEnd w:id="76"/>
    </w:p>
    <w:p w14:paraId="4DB64633" w14:textId="77777777" w:rsidR="00D542A1" w:rsidRPr="00D542A1" w:rsidRDefault="00D542A1" w:rsidP="00BE37E2">
      <w:pPr>
        <w:jc w:val="both"/>
        <w:rPr>
          <w:rFonts w:ascii="Times New Roman" w:hAnsi="Times New Roman" w:cs="Times New Roman"/>
          <w:sz w:val="24"/>
          <w:szCs w:val="24"/>
        </w:rPr>
      </w:pPr>
    </w:p>
    <w:p w14:paraId="64B00444" w14:textId="69B498FB"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 The workers in both industries are migrants with temporary work permits. The farmers in Southern Ontario, are predominantly from Mexico, and Jamaicans and Guatemala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{"citationID":"YEHAdmR8","properties":{"formattedCitation":"(Hennebry, 2010; Perry, 2018; Statistics Canada, 2020a)","plainCitation":"(Hennebry, 2010; Perry, 2018; Statistics Canada, 2020a)","noteIndex":0},"citationItems":[{"id":743,"uris":["http://zotero.org/users/5481489/items/KM5JV5U2"],"uri":["http://zotero.org/users/5481489/items/KM5JV5U2"],"itemData":{"id":743,"type":"article-journal","abstract":"Canadian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Adam"}],"issued":{"date-parts":[["2018",11]]}}},{"id":1137,"uris":["http://zotero.org/users/5481489/items/QCI9Q799"],"uri":["http://zotero.org/users/5481489/items/QCI9Q799"],"itemData":{"id":1137,"type":"webpage","abstract":"This article discusses the potential impact of border restrictions due to COVID-19 as it relates to the availability of temporary foreign workers during the 2020 growing season.","language":"eng","note":"Last Modified: 2020-04-17","title":"COVID-19 Disruptions and agriculture: Temporary foreign workers","title-short":"COVID-19 Disruptions and agriculture","URL":"https://www150.statcan.gc.ca/n1/pub/45-28-0001/2020001/article/00002-eng.htm","author":[{"family":"Statistics Canada","given":""}],"accessed":{"date-parts":[["2021",3,26]]},"issued":{"date-parts":[["2020"]]}}}],"schema":"https://github.com/citation-style-language/schema/raw/master/csl-citation.json"}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(Hennebry, 2010; Perry, 2018; Statistics Canada,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whereas migrants from Philippines work in the meatpacking plants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{"citationID":"W0VvepXS","properties":{"formattedCitation":"(Dryden, 2020a; Government of Canada, 2020; Turnbull, 2020)","plainCitation":"(Dryden, 2020a; Government of Canada, 2020; Turnbull, 2020)","noteIndex":0},"citationItems":[{"id":1172,"uris":["http://zotero.org/users/5481489/items/DUH8N5EV"],"uri":["http://zotero.org/users/5481489/items/DUH8N5EV"],"itemData":{"id":1172,"type":"webpage","abstract":"The COVID-19 outbreak at the Cargill meat plant in High River, Alta., is the largest linked to a single site in Canada, and the predominately Filipino employees at the plant say they're being unfairly blamed for the outbreak, which is up to 558 cases in workers and 798 cases overall.","container-title":"CBC","language":"en","title":"Filipino workers at meatpacking plant feel unfairly blamed for Canada's biggest COVID-19 outbreak | CBC News","URL":"https://www.cbc.ca/news/canada/calgary/cargill-high-river-jbs-brooks-deena-hinshaw-1.5545113","author":[{"family":"Dryden","given":"Joel"}],"accessed":{"date-parts":[["2021",3,30]]},"issued":{"date-parts":[["2020"]]}}},{"id":1127,"uris":["http://zotero.org/users/5481489/items/UN5J7ZCC"],"uri":["http://zotero.org/users/5481489/items/UN5J7ZCC"],"itemData":{"id":1127,"type":"webpage","abstract":"This article uses the 2017 Canadian Employer-Employee Dynamics Database (CEEDD) to examine the distribution of temporary foreign workers (TFW) across industrial sectors and firms. Given the continuous growth in the number of TFWs in recent years, the analysis provides important implications for the possible delays in the inflow of new TFWs could affect essential services during the pandemic and the upcoming economic recovery period.","language":"eng","note":"Last Modified: 2020-06-03","title":"The distribution of temporary foreign workers across industries in Canada","URL":"https://www150.statcan.gc.ca/n1/pub/45-28-0001/2020001/article/00028-eng.htm","author":[{"family":"Government of Canada","given":""}],"accessed":{"date-parts":[["2021",3,25]]},"issued":{"date-parts":[["2020"]]}}},{"id":777,"uris":["http://zotero.org/users/5481489/items/SJ7XRVN8"],"uri":["http://zotero.org/users/5481489/items/SJ7XRVN8"],"itemData":{"id":777,"type":"webpage","abstract":"Many of the workers at an Alberta meat processing plant hit with COVID-19 are Filipino and new to Canada, and now face an increasing sense of isolation over the outbreak.","container-title":"CTVNews","language":"en","note":"section: Politics","title":"Cargill workers, many of them new to Canada, face isolation over COVID-19","URL":"https://www.ctvnews.ca/politics/cargill-workers-many-of-them-new-to-canada-face-isolation-over-covid-19-1.4929139","author":[{"family":"Turnbull","given":"sarah"}],"accessed":{"date-parts":[["2021",2,2]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(Dryden, 2020a; Government of Canada, 2020; Turnbull, 2020)</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These migrants are recruited through the SAWP and TFWP programs created to fill</w:t>
      </w:r>
      <w:r w:rsidR="009204A7">
        <w:rPr>
          <w:rFonts w:ascii="Times New Roman" w:hAnsi="Times New Roman" w:cs="Times New Roman"/>
          <w:sz w:val="24"/>
          <w:szCs w:val="24"/>
        </w:rPr>
        <w:t xml:space="preserve"> the </w:t>
      </w:r>
      <w:r w:rsidRPr="00D542A1">
        <w:rPr>
          <w:rFonts w:ascii="Times New Roman" w:hAnsi="Times New Roman" w:cs="Times New Roman"/>
          <w:sz w:val="24"/>
          <w:szCs w:val="24"/>
        </w:rPr>
        <w:t>need for labour shortages in farms and in meatpacking plants in Canada.</w:t>
      </w:r>
    </w:p>
    <w:p w14:paraId="4FA09A91" w14:textId="77F2A008"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First as a migrant, that status denies them certain rights, makes it impossible to speak out or demand for such rights to </w:t>
      </w:r>
      <w:r w:rsidR="009204A7">
        <w:rPr>
          <w:rFonts w:ascii="Times New Roman" w:hAnsi="Times New Roman" w:cs="Times New Roman"/>
          <w:sz w:val="24"/>
          <w:szCs w:val="24"/>
        </w:rPr>
        <w:t>be</w:t>
      </w:r>
      <w:r w:rsidRPr="00D542A1">
        <w:rPr>
          <w:rFonts w:ascii="Times New Roman" w:hAnsi="Times New Roman" w:cs="Times New Roman"/>
          <w:sz w:val="24"/>
          <w:szCs w:val="24"/>
        </w:rPr>
        <w:t xml:space="preserve"> restored. </w:t>
      </w:r>
      <w:proofErr w:type="spellStart"/>
      <w:r w:rsidRPr="00D542A1">
        <w:rPr>
          <w:rFonts w:ascii="Times New Roman" w:hAnsi="Times New Roman" w:cs="Times New Roman"/>
          <w:sz w:val="24"/>
          <w:szCs w:val="24"/>
        </w:rPr>
        <w:t>Preibisch</w:t>
      </w:r>
      <w:proofErr w:type="spellEnd"/>
      <w:r w:rsidRPr="00D542A1">
        <w:rPr>
          <w:rFonts w:ascii="Times New Roman" w:hAnsi="Times New Roman" w:cs="Times New Roman"/>
          <w:sz w:val="24"/>
          <w:szCs w:val="24"/>
        </w:rPr>
        <w:t xml:space="preserve"> and </w:t>
      </w:r>
      <w:proofErr w:type="spellStart"/>
      <w:r w:rsidRPr="00D542A1">
        <w:rPr>
          <w:rFonts w:ascii="Times New Roman" w:hAnsi="Times New Roman" w:cs="Times New Roman"/>
          <w:sz w:val="24"/>
          <w:szCs w:val="24"/>
        </w:rPr>
        <w:t>Hennebry</w:t>
      </w:r>
      <w:proofErr w:type="spellEnd"/>
      <w:r w:rsidRPr="00D542A1">
        <w:rPr>
          <w:rFonts w:ascii="Times New Roman" w:hAnsi="Times New Roman" w:cs="Times New Roman"/>
          <w:sz w:val="24"/>
          <w:szCs w:val="24"/>
        </w:rPr>
        <w:t xml:space="preserve"> emphasised the impact of migrant’s status as a determinate factor to their work permit. They explained that “in Canada, migrant workers filling low-skill jobs are particularly vulnerable because their work visas are tied to a single, named employer, and changing employers is difficult”.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{"citationID":"DTqFC0sH","properties":{"formattedCitation":"(Preibisch &amp; Hennebry, 2011, p. 1035)","plainCitation":"(Preibisch &amp; Hennebry, 2011, p. 1035)","dontUpdate":true,"noteIndex":0},"citationItems":[{"id":943,"uris":["http://zotero.org/users/5481489/items/MVUJII3F"],"uri":["http://zotero.org/users/5481489/items/MVUJII3F"],"itemData":{"id":943,"type":"article-journal","container-title":"Canadian Medical Association Journal","DOI":"10.1503/cmaj.090736","ISSN":"0820-3946, 1488-2329","issue":"9","journalAbbreviation":"Canadian Medical Association Journal","language":"en","page":"1033-1038","source":"DOI.org (Crossref)","title":"Temporary migration, chronic effects: the health of international migrant workers in Canada","title-short":"Temporary migration, chronic effects","volume":"183","author":[{"family":"Preibisch","given":"K."},{"family":"Hennebry","given":"J."}],"issued":{"date-parts":[["2011",6,14]]}},"locator":"1035"}],"schema":"https://github.com/citation-style-language/schema/raw/master/csl-citation.json"}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1035)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F567BCC"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lastRenderedPageBreak/>
        <w:t>The second issue is the nature of work available to migrant workers. Studies have shown that migrant workers more often than not engage in low-skill jobs, and working conditions that impact on their health with insufficient and inadequate safety and training</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{"citationID":"OHPz1aOD","properties":{"formattedCitation":"(Benach et al., 2011; Guthrie, 2020; J. L. Hennebry, 2010; Preibisch &amp; Hennebry, 2011; Ramos et al., 2021; Yeoh &amp; Ramdas, 2014)","plainCitation":"(Benach et al., 2011; Guthrie, 2020; J. L. Hennebry, 2010; Preibisch &amp; Hennebry, 2011; Ramos et al., 2021; Yeoh &amp; Ramdas, 2014)","dontUpdate":true,"noteIndex":0},"citationItems":[{"id":915,"uris":["http://zotero.org/users/5481489/items/P2XZCGDU"],"uri":["http://zotero.org/users/5481489/items/P2XZCGDU"],"itemData":{"id":915,"type":"article-journal","abstract":"In the fourth article in a six-part PLoS Medicine series on Migration &amp; Health, Joan Benach and colleagues discuss the specific health risks and policy needs associated with migration in destination countries, especially for low-skilled and illegal migrant workers.","container-title":"PLOS Medicine","DOI":"10.1371/journal.pmed.1001043","ISSN":"1549-1676","issue":"6","journalAbbreviation":"PLOS Medicine","language":"en","note":"publisher: Public Library of Science","page":"e1001043","source":"PLoS Journals","title":"Migration and \"Low-Skilled\" Workers in Destination Countries","volume":"8","author":[{"family":"Benach","given":"Joan"},{"family":"Muntaner","given":"Carles"},{"family":"Delclos","given":"Carlos"},{"family":"Menéndez","given":"María"},{"family":"Ronquillo","given":"Charlene"}],"issued":{"date-parts":[["2011"]]}}},{"id":1200,"uris":["http://zotero.org/users/5481489/items/4GGPZSLW"],"uri":["http://zotero.org/users/5481489/items/4GGPZSLW"],"itemData":{"id":1200,"type":"webpage","abstract":"A video that recently surfaced begins with a shot of a makeshift bed -- a thin sleeping pad resting on top of a wooden blue pallet on the ground. The camera pans to show dozens more of these beds in what appears to be some sort of warehouse or storage locker, spaced out in uniform rows and lining the concrete floor. Scattered around are signs of human life, out of place in this harsh industrial backdrop: a suitcase with the baggage tag still wrapped around the handle and a pair of running shoes tucked just under the edge of a pallet.","container-title":"rabble.ca","language":"en","title":"COVID-19 outbreak at Ontario farm highlights deep problems in Canada's seasonal agricultural worker program","URL":"https://rabble.ca/blogs/bloggers/views-expressed/2020/05/covid-19-outbreak-ontario-farm-highlights-deep-problems","author":[{"family":"Guthrie","given":"Jade"}],"accessed":{"date-parts":[["2021",4,1]]},"issued":{"date-parts":[["2020",5,27]]}}},{"id":743,"uris":["http://zotero.org/users/5481489/items/KM5JV5U2"],"uri":["http://zotero.org/users/5481489/items/KM5JV5U2"],"itemData":{"id":743,"type":"article-journal","abstract":"Canadian temporary labour migration has reached a historical high, with 192,519 temporary migrant workers admitted in 2008, and 251,235 temporary migrant workers present in Canada on December 1st, 2008. The number of temporary migrants entering Canada's lower- skilled occupations was 65,801 in 2008 (CIC 2009). Combined with those already working in Canada, there are sizeable numbers of temporary migrants in lower-skilled occupations (nearly 100,000), many of whom have entered Canada under the new Pilot Project for Occupations Requiring Lower Levels of Formal Training (NOC C and D)1 (referred to as the \"NOC C and D Pilot\"). In lower-skilled occupations there was a 122% increase in employer requests for temporary migrant workers between 2005-2007, resulting in a jump from 29,281 confirmed temporary worker positions in NOC C and D levels in 2005 to 66,014 positions in 2007 and 101,917 by 2008 (HRSDC 2009c).2 Comparatively, requests for foreign workers in higher-skilled occupations increased by 39% during that same period. Furthermore, between 2005 and 2007 there was a 265.7% increase in the number of confirmed foreign worker positions in Alberta and a 91.4% increase in Ontario (HRSDC 2008).3 Across Canada in 2007, there were 155,704 confirmed Temporary Foreign Worker positions, most of which (over 80,000) were in the top ten lower-skilled occupations (NOC C and D).4 By 2008, the number of confirmed positions rose to 176,368, with nearly 60% concentrated in lower- skilled occupations (HRSDC 2009c).\nThis largely qualitative research on temporary migration in Canadian agriculture has often been dismissed as anecdotal and providing evidence of little more than \"a few bad apples\" or isolated experiences. With the support of CERIS (Ontario Metropolis Centre) and the Public Health Agency of Canada (PHAC), and in partnership with the United Food and Commercial Workers Union (UFCW),6 a quantitative survey of temporary migrants in Ontario's agricultural sector has been carried out in order to ascertain the extent to which these vulnerabilities can be characterized as structural and broad-based experiences for temporary migrants in agriculture. Standardized questionnaires were administered to nearly 600 temporary migrants working in agriculture across Southern Ontario (n=576), with most respondents from Mexico and Jamaica entering Canada through the Seasonal Agricultural Worker Program (SAWP). The questionnaire covered a range of themes: migration history, skills transfer and training, health status and history, occupational health risks/protections, living conditions, contact with and access to health care, health coverage, and support services, etc. Findings pertaining to living conditions, working conditions, and access to health care and insurance will be presented in the following sections.\nFindings from this research support a number related arguments pertaining to temporary migration in Canada. First, many of the factors that increase vulnerability for lower- skilled temporary migrants are structural, and therefore related to the policies, practices and institutional and legal frameworks (noted in Figure 1), rather than to the choices or actions individuals. Second, there are transnational health implications of these vulnerabilities, such that when temporary migrants become ill, they are unlikely to receive adequate treatment and thus return home with the illness unresolved. Third, risk, vulnerability and transferability are compounded for this group and consequently, concerns regarding migrant health, particularly with respect to communicable/infectious, foodborne and waterborne diseases (hepatitis A/B, tuberculosis, H IV/ AI DS, salmonellosis, E. coli, etc.) need to extend beyond the individual worker to migrants' home communities and Canadian communities. Finally, this research provides support for the argument that temporary migrants in agriculture (and arguably other low- skill occupations) face heightened vulnerability to health risks that are not only structural but also pervasive, and not simply a case exceptional circumstances or \"just a few bad apples.\"","container-title":"Canadian Issues","ISSN":"03188442","language":"English","note":"number-of-pages: 5\npublisher-place: Montreal, Canada\npublisher: Association of Canadian Studies","page":"73-77","source":"ProQuest","title":"Not Just a Few Bad Apples: Vulnerability, Health and Temporary Migration in Canada","title-short":"Not Just a Few Bad Apples","author":[{"family":"Hennebry","given":"Jenna"}],"issued":{"date-parts":[["2010"]],"season":"Spring"}}},{"id":943,"uris":["http://zotero.org/users/5481489/items/MVUJII3F"],"uri":["http://zotero.org/users/5481489/items/MVUJII3F"],"itemData":{"id":943,"type":"article-journal","container-title":"Canadian Medical Association Journal","DOI":"10.1503/cmaj.090736","ISSN":"0820-3946, 1488-2329","issue":"9","journalAbbreviation":"Canadian Medical Association Journal","language":"en","page":"1033-1038","source":"DOI.org (Crossref)","title":"Temporary migration, chronic effects: the health of international migrant workers in Canada","title-short":"Temporary migration, chronic effects","volume":"183","author":[{"family":"Preibisch","given":"K."},{"family":"Hennebry","given":"J."}],"issued":{"date-parts":[["2011",6,14]]}}},{"id":1079,"uris":["http://zotero.org/users/5481489/items/U3AL7XBM"],"uri":["http://zotero.org/users/5481489/items/U3AL7XBM"],"itemData":{"id":1079,"type":"article-journal","abstract":"Background: Meatpacking is dangerous, dirty, and demanding (3‐D) work—much of which is done by immigrant workers. It is characterized by high rates of occupational injuries and illnesses due to the speed of the production line, repetitive motions, and other inherent exposures. The purpose of this qualitative study was to explore perceptions of safety culture among Hispanic/Latino meatpacking workers in the Midwest.\nMethods: Five focus groups with a total of 28 participants were conducted between March 2019 and February 2020 with Hispanic/Latino meatpacking workers in Nebraska. Workers were asked about the type of work performed, how the work was physically done, and perceptions of health risks and exposures. Thematic analysis was used to build a description of safety culture within the meatpacking industry.\nResults: Three main themes were found: (1) workers depicted a culture where companies cared more about production than people; (2) workers felt powerless in improving their situation; and (3) workers noted that the work was precarious, both dangerous and one where much of the responsibility for safety was shifted to the individual workers.\nConclusions: The meatpacking industry has a poor safety culture. Safety culture within the industry may be improved by ensuring that organizational values and artifacts are aligned with safety by addressing the critical role of supervisors, providing culturally and linguistically appropriate consistent safety training and messaging to the workforce, and enforcing and strengthening safety regulations.","container-title":"American Journal of Industrial Medicine","DOI":"10.1002/ajim.23206","ISSN":"0271-3586, 1097-0274","issue":"2","journalAbbreviation":"Am J Ind Med","language":"en","page":"84-96","source":"DOI.org (Crossref)","title":"“No somos máquinas” (We are not machines): Worker perspectives of safety culture in meatpacking plants in the Midwest","title-short":"“No somos máquinas” (We are not machines)","volume":"64","author":[{"family":"Ramos","given":"Athena K."},{"family":"Carvajal‐Suarez","given":"Marcela"},{"family":"Trinidad","given":"Natalia"},{"family":"Quintero","given":"Sophia"},{"family":"Molina","given":"Diana"},{"family":"Rowland","given":"Sheri A."}],"issued":{"date-parts":[["2021",2]]}}},{"id":240,"uris":["http://zotero.org/users/5481489/items/MWBFKBFN"],"uri":["http://zotero.org/users/5481489/items/MWBFKBFN"],"itemData":{"id":240,"type":"article-journal","container-title":"Gender,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(Benach et al., 2011; Guthrie, 2020; Hennebry, 2010; Preibisch &amp; Hennebry, 2011; Ramos et al., 2021; 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That is migrants come to Canada seeking better employment opportunities than are afforded to them at home, yet they experience relatively low wages in comparison to Canadian workers in addition to dangerous and risky working condition.</w:t>
      </w:r>
    </w:p>
    <w:p w14:paraId="13D83A1F"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77" w:name="_Toc72494785"/>
      <w:r w:rsidRPr="00D542A1">
        <w:rPr>
          <w:rFonts w:ascii="Times New Roman" w:eastAsiaTheme="majorEastAsia" w:hAnsi="Times New Roman" w:cs="Times New Roman"/>
          <w:color w:val="2F5496" w:themeColor="accent1" w:themeShade="BF"/>
          <w:sz w:val="24"/>
          <w:szCs w:val="24"/>
        </w:rPr>
        <w:t>Low Wages</w:t>
      </w:r>
      <w:bookmarkEnd w:id="77"/>
    </w:p>
    <w:p w14:paraId="693A7826" w14:textId="77777777" w:rsidR="00D542A1" w:rsidRPr="00D542A1" w:rsidRDefault="00D542A1" w:rsidP="00BE37E2">
      <w:pPr>
        <w:jc w:val="both"/>
        <w:rPr>
          <w:rFonts w:ascii="Times New Roman" w:hAnsi="Times New Roman" w:cs="Times New Roman"/>
          <w:sz w:val="24"/>
          <w:szCs w:val="24"/>
        </w:rPr>
      </w:pPr>
    </w:p>
    <w:p w14:paraId="03202F30" w14:textId="77777777" w:rsidR="00D542A1" w:rsidRPr="00D542A1" w:rsidRDefault="00D542A1" w:rsidP="00BE37E2">
      <w:pPr>
        <w:spacing w:line="480" w:lineRule="auto"/>
        <w:ind w:firstLine="709"/>
        <w:jc w:val="both"/>
        <w:rPr>
          <w:rFonts w:ascii="Times New Roman" w:eastAsia="Times New Roman" w:hAnsi="Times New Roman" w:cs="Times New Roman"/>
          <w:color w:val="000000"/>
          <w:sz w:val="24"/>
          <w:szCs w:val="24"/>
          <w:lang w:val="en-US" w:eastAsia="en-CA"/>
        </w:rPr>
      </w:pPr>
      <w:r w:rsidRPr="00D542A1">
        <w:rPr>
          <w:rFonts w:ascii="Times New Roman" w:hAnsi="Times New Roman" w:cs="Times New Roman"/>
          <w:sz w:val="24"/>
          <w:szCs w:val="24"/>
        </w:rPr>
        <w:t xml:space="preserve"> The remuneration for workers in both settings are so low and not commensurate with the hazardous job they do. Indeed, employers resort to hiring migrant workers for jobs for which many Canadians are not willing to do especially because of the nature of the job and the remuneration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{"citationID":"9Htk2lUA","properties":{"formattedCitation":"(M. Thompson, 2016)","plainCitation":"(M. Thompson, 2016)","dontUpdate":true,"noteIndex":0},"citationItems":[{"id":1229,"uris":["http://zotero.org/users/5481489/items/Q233G4B8"],"uri":["http://zotero.org/users/5481489/items/Q233G4B8"],"itemData":{"id":1229,"type":"webpage","abstract":"Canada’s controversial Temporary Foreign Worker (TFW) Program is once again under the microscope with the release of a&amp;amp;nbsp;Parliamentary Committee report&amp;amp;nbsp;last week. While the report recommends s","container-title":"Canadian Centre for Policy Alternatives","title":"How employers of Temporary Foreign Workers get away with low pay and bad working conditions","URL":"https://www.policyalternatives.ca/publications/commentary/how-employers-temporary-foreign-workers-get-away-low-pay-and-bad-working","author":[{"family":"Thompson","given":"Mark"}],"accessed":{"date-parts":[["2021",4,4]]},"issued":{"date-parts":[["2016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(Thompson,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Professor Thompson, who has dedicated his life to improving working conditions in Canada, also noted that as of 2016 that “in BC, poultry processors hiring foreign workers offer a starting rate for new employees of ranging from $11-$12 per hour in non-unionized plants to $13.46 per hour in unionized plants”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{"citationID":"NapYCf6N","properties":{"formattedCitation":"(M. Thompson, 2016, p. 1)","plainCitation":"(M. Thompson, 2016, p. 1)","dontUpdate":true,"noteIndex":0},"citationItems":[{"id":1229,"uris":["http://zotero.org/users/5481489/items/Q233G4B8"],"uri":["http://zotero.org/users/5481489/items/Q233G4B8"],"itemData":{"id":1229,"type":"webpage","abstract":"Canada’s controversial Temporary Foreign Worker (TFW) Program is once again under the microscope with the release of a&amp;amp;nbsp;Parliamentary Committee report&amp;amp;nbsp;last week. While the report recommends s","container-title":"Canadian Centre for Policy Alternatives","title":"How employers of Temporary Foreign Workers get away with low pay and bad working conditions","URL":"https://www.policyalternatives.ca/publications/commentary/how-employers-temporary-foreign-workers-get-away-low-pay-and-bad-working","author":[{"family":"Thompson","given":"Mark"}],"accessed":{"date-parts":[["2021",4,4]]},"issued":{"date-parts":[["2016"]]}},"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Though migrant workers in meat packing plants earn slightly higher than migrant workers in the farms. The Indeed website, listed the average base salary of migrant workers at $14.69 per hour as of March 31, 2021 which is below the minimum wage in Ontario while meat cutters average is $17.37. </w:t>
      </w:r>
    </w:p>
    <w:p w14:paraId="04BEEEB3"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78" w:name="_Toc72494786"/>
      <w:r w:rsidRPr="00D542A1">
        <w:rPr>
          <w:rFonts w:ascii="Times New Roman" w:eastAsiaTheme="majorEastAsia" w:hAnsi="Times New Roman" w:cs="Times New Roman"/>
          <w:color w:val="2F5496" w:themeColor="accent1" w:themeShade="BF"/>
          <w:sz w:val="24"/>
          <w:szCs w:val="24"/>
        </w:rPr>
        <w:t>Unionisation</w:t>
      </w:r>
      <w:bookmarkEnd w:id="78"/>
    </w:p>
    <w:p w14:paraId="2BD80D97" w14:textId="77777777" w:rsidR="00D542A1" w:rsidRPr="00D542A1" w:rsidRDefault="00D542A1" w:rsidP="00BE37E2">
      <w:pPr>
        <w:jc w:val="both"/>
        <w:rPr>
          <w:rFonts w:ascii="Times New Roman" w:hAnsi="Times New Roman" w:cs="Times New Roman"/>
          <w:sz w:val="24"/>
          <w:szCs w:val="24"/>
        </w:rPr>
      </w:pPr>
    </w:p>
    <w:p w14:paraId="1A8E2C0C"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b/>
          <w:bCs/>
          <w:sz w:val="24"/>
          <w:szCs w:val="24"/>
        </w:rPr>
        <w:t xml:space="preserve"> </w:t>
      </w:r>
      <w:r w:rsidRPr="00D542A1">
        <w:rPr>
          <w:rFonts w:ascii="Times New Roman" w:hAnsi="Times New Roman" w:cs="Times New Roman"/>
          <w:sz w:val="24"/>
          <w:szCs w:val="24"/>
        </w:rPr>
        <w:t xml:space="preserve">The significant difference for workers between the two industries is the existence of a labour union. The agricultural workers in Ontario, are excluded from the Labour Relations Act but are covered by the Agricultural Employees Protection Act (AEPA). The AEPA does not compel </w:t>
      </w:r>
      <w:r w:rsidRPr="00D542A1">
        <w:rPr>
          <w:rFonts w:ascii="Times New Roman" w:hAnsi="Times New Roman" w:cs="Times New Roman"/>
          <w:sz w:val="24"/>
          <w:szCs w:val="24"/>
        </w:rPr>
        <w:lastRenderedPageBreak/>
        <w:t xml:space="preserve">employers to “bargain collectively with employees, fails to require an independent grievance procedure, and does not protect the right to strike”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{"citationID":"KkEInSSY","properties":{"formattedCitation":"(UFCW Canada, 2019, p. 1)","plainCitation":"(UFCW Canada, 2019, p. 1)","noteIndex":0},"citationItems":[{"id":1280,"uris":["http://zotero.org/users/5481489/items/ECM8ISS5"],"uri":["http://zotero.org/users/5481489/items/ECM8ISS5"],"itemData":{"id":1280,"type":"webpage","abstract":"UFCW Canada has launched a constitutional challenge to the Ontario government’s exclusion of cannabis production workers from the Labour Relations Act.","container-title":"UFCW Canada - Canada’s  Private Sector Union","language":"en-gb","title":"UFCW Canada challenges Ontario’s exclusion of cannabis workers from right to unionize","URL":"http://www.ufcw.ca/index.php?option=com_content&amp;view=article&amp;id=32446:ufcw-canada-challenges-ontario-s-exclusion-of-cannabis-workers-from-right-to-unionize&amp;catid=10111:directions-19-088&amp;Itemid=6&amp;lang=en","author":[{"family":"UFCW Canada","given":""}],"accessed":{"date-parts":[["2021",4,21]]},"issued":{"date-parts":[["2019"]]}},"locator":"1"}],"schema":"https://github.com/citation-style-language/schema/raw/master/csl-citation.json"}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(UFCW Canada, 2019,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Farm workers in Ontario hence, can form association which is not as strong or engaging as a union which “means workers don’t have adequate protection against arbitrary dismissal” or to speak out about unconducive, unsafe working and living condition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{"citationID":"cv8EkzAm","properties":{"formattedCitation":"(Baum &amp; Grant, 2020, p. 2)","plainCitation":"(Baum &amp; Grant, 2020, p. 2)","noteIndex":0},"citationItems":[{"id":1180,"uris":["http://zotero.org/users/5481489/items/88VPIE5N"],"uri":["http://zotero.org/users/5481489/items/88VPIE5N"],"itemData":{"id":1180,"type":"article-newspaper","abstract":"Migrant farm workers say they have been punished by their employers over disagreements about COVID-19 precautions, fuelling calls for an independent oversight agency that would empower temporary foreign workers to register complaints without fear of reprisal. A number of migrant farm workers in B.C. and Ontario told The Globe and Mail they were fired or unnecessarily forced to quarantine after being accused of breaking pandemic-related rules or speaking out about inadequate safety measures. Under the temporary foreign worker (TFW) program, seasonal agricultural workers often live in employer-provided bunkhouses on the farm. In some cases, these living quarters are overcrowded and rundown, allowing the virus to spread easily. Amid a series of COVID-19 outbreaks, some employers have confined workers to the property.","container-title":"The Globe and Mail (Breaking News)","language":"English","note":"publisher: The Globe and Mail Inc.","section":"National","source":"Factiva","title":"Migrant farm workers call for safety from reprisals for speaking out; The accounts are emblematic of long-standing issues within the TFW program, which the federal government has admitted is flawed and puts too much power in the hands of employers","URL":"http://global.factiva.com/redir/default.aspx?P=sa&amp;an=GMBN000020200817eg8g000gp&amp;cat=a&amp;ep=ASE","author":[{"family":"Baum","given":"Kathryn Blaze"},{"family":"Grant","given":"Tavia"}],"accessed":{"date-parts":[["2021",4,1]]},"issued":{"date-parts":[["2020",8,17]]}},"locator":"2"}],"schema":"https://github.com/citation-style-language/schema/raw/master/csl-citation.json"}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(Baum &amp; Grant, 2020, p. 2)</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5B3C768D"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meat packing workers on the other hand are unionized under the umbrella of United Food and Commercial Workers Local 401. The workers get the full representation of the union, the represent the workers, fight for their right and actively seek means of enhancing their working conditions and as well as take on legal charges to defend the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{"citationID":"oJyMxOaX","properties":{"formattedCitation":"(Barnetson, 2013)","plainCitation":"(Barnetson, 2013)","noteIndex":0},"citationItems":[{"id":1241,"uris":["http://zotero.org/users/5481489/items/Z9VLS3LW"],"uri":["http://zotero.org/users/5481489/items/Z9VLS3LW"],"itemData":{"id":1241,"type":"webpage","abstract":"This fact sheet highlights the true rates of workplace injury in Alberta and demonstrates how unions protect workers both from unsafe workplaces and a government keen to downplay the risks.","container-title":"Parkland Institute","language":"en","title":"Making It Home: Alberta Workplace Injuries and the Union Safety Dividend","title-short":"Making It Home","URL":"https://www.parklandinstitute.ca/making_it_home","author":[{"family":"Barnetson","given":"Bob"}],"accessed":{"date-parts":[["2021",4,8]]},"issued":{"date-parts":[["2013"]]}}}],"schema":"https://github.com/citation-style-language/schema/raw/master/csl-citation.json"}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(Barnetson, 2013)</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Despite the best intentions of the union, the unsafe working condition prior the virus and during the virus is still an ongoing battle and the wide spread of the virus is an attestation to this. </w:t>
      </w:r>
    </w:p>
    <w:p w14:paraId="399CEB88" w14:textId="4C171A11"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Analysing, the situation, the union mitigated the excess</w:t>
      </w:r>
      <w:r w:rsidR="00D2556B">
        <w:rPr>
          <w:rFonts w:ascii="Times New Roman" w:hAnsi="Times New Roman" w:cs="Times New Roman"/>
          <w:sz w:val="24"/>
          <w:szCs w:val="24"/>
        </w:rPr>
        <w:t>es</w:t>
      </w:r>
      <w:r w:rsidRPr="00D542A1">
        <w:rPr>
          <w:rFonts w:ascii="Times New Roman" w:hAnsi="Times New Roman" w:cs="Times New Roman"/>
          <w:sz w:val="24"/>
          <w:szCs w:val="24"/>
        </w:rPr>
        <w:t xml:space="preserve"> of the employers and called out the government officials for not doing the right thing. Their tenacity helped in alleviating some of the hardships relating to establishing some security measures. On the other hand, the farm workers did not have a specific body fighting for them, although the social media came through for them. The condition the work with is best described by Ross (2018)</w:t>
      </w:r>
    </w:p>
    <w:p w14:paraId="54049C91" w14:textId="77777777" w:rsidR="00D542A1" w:rsidRPr="00D542A1" w:rsidRDefault="00D542A1" w:rsidP="00BE37E2">
      <w:pPr>
        <w:spacing w:line="240" w:lineRule="auto"/>
        <w:ind w:left="709" w:right="1138"/>
        <w:jc w:val="both"/>
        <w:rPr>
          <w:rFonts w:ascii="Times New Roman" w:hAnsi="Times New Roman" w:cs="Times New Roman"/>
          <w:sz w:val="24"/>
          <w:szCs w:val="24"/>
        </w:rPr>
      </w:pPr>
      <w:r w:rsidRPr="00D542A1">
        <w:rPr>
          <w:rFonts w:ascii="Times New Roman" w:hAnsi="Times New Roman" w:cs="Times New Roman"/>
          <w:sz w:val="24"/>
          <w:szCs w:val="24"/>
        </w:rPr>
        <w:t xml:space="preserve">Of all Canadian workers, these migrant workers are among the most vulnerable and the most exploited. They have few labour rights -- in fact, regulations governing the right to unionize, occupational health and safety, workers compensation, health care, decent housing, and minimum pay rates are, in most cases, virtually non-existent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{"citationID":"94nPX5tn","properties":{"formattedCitation":"(2018, p. 1)","plainCitation":"(2018, p. 1)","dontUpdate":true,"noteIndex":0},"citationItems":[{"id":1317,"uris":["http://zotero.org/users/5481489/items/PNAZKAQU"],"uri":["http://zotero.org/users/5481489/items/PNAZKAQU"],"itemData":{"id":1317,"type":"webpage","abstract":"Farm work is hard work! The days are long, and the physical work can be heavy and exhausting. Often, particularly on smaller family farms, the monetary rewards are nowhere near what a regular urban salary provides. There are lots of reasons why the family farm has been disappearing over the past several decades.","container-title":"rabble.ca","language":"en","title":"The plight of farm workers in Canada","URL":"https://rabble.ca/columnists/2018/05/plight-farm-workers-canada","author":[{"family":"Ross","given":"Lois"}],"accessed":{"date-parts":[["2021",5,4]]},"issued":{"date-parts":[["2018"]]}},"locator":"1","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 1)</w:t>
      </w:r>
      <w:r w:rsidRPr="00D542A1">
        <w:rPr>
          <w:rFonts w:ascii="Times New Roman" w:hAnsi="Times New Roman" w:cs="Times New Roman"/>
          <w:sz w:val="24"/>
          <w:szCs w:val="24"/>
        </w:rPr>
        <w:fldChar w:fldCharType="end"/>
      </w:r>
    </w:p>
    <w:p w14:paraId="4FF7508C" w14:textId="77777777" w:rsidR="00D542A1" w:rsidRPr="00D542A1" w:rsidRDefault="00D542A1" w:rsidP="00BE37E2">
      <w:pPr>
        <w:spacing w:line="240" w:lineRule="auto"/>
        <w:ind w:left="709" w:right="1138"/>
        <w:jc w:val="both"/>
        <w:rPr>
          <w:rFonts w:ascii="Times New Roman" w:hAnsi="Times New Roman" w:cs="Times New Roman"/>
          <w:sz w:val="24"/>
          <w:szCs w:val="24"/>
        </w:rPr>
      </w:pPr>
    </w:p>
    <w:p w14:paraId="5DD9FDF3"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Meanwhile, despite the fact the United Food and Commercial Workers (UFCW) act as a staffing agency for the ‘farm owners and stooges of the agriculture profiteers’, the unions also enforce the demands of the governments and the companies and suppress any opposition among workers and </w:t>
      </w:r>
      <w:r w:rsidRPr="00D542A1">
        <w:rPr>
          <w:rFonts w:ascii="Times New Roman" w:hAnsi="Times New Roman" w:cs="Times New Roman"/>
          <w:sz w:val="24"/>
          <w:szCs w:val="24"/>
        </w:rPr>
        <w:lastRenderedPageBreak/>
        <w:t xml:space="preserve">has been accused of being “complicit in the exploitation of migrant workers”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{"citationID":"HvOIh1t7","properties":{"formattedCitation":"(Brown, 2021, p. 1)","plainCitation":"(Brown, 2021, p. 1)","noteIndex":0},"citationItems":[{"id":1313,"uris":["http://zotero.org/users/5481489/items/Y3YYL2LA"],"uri":["http://zotero.org/users/5481489/items/Y3YYL2LA"],"itemData":{"id":1313,"type":"webpage","abstract":"The pandemic has laid bare the brutal conditions under which migrant farm workers are forced to work and live for the benefit of Canada’s agri-business industry.","container-title":"World Socialist Web Site","language":"en","title":"Thousands of migrant workers labouring on Canada’s farms in unsafe conditions amid deadly COVID-19 third wave","URL":"https://www.wsws.org/en/articles/2021/04/29/cami-a29.html","author":[{"family":"Brown","given":"Talia"}],"accessed":{"date-parts":[["2021",4,29]]},"issued":{"date-parts":[["2021"]]}},"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(Brown, 2021,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They union did not seem to be of much help to the farmers then or during the pandemic.</w:t>
      </w:r>
    </w:p>
    <w:p w14:paraId="2EFFA992" w14:textId="77777777" w:rsidR="00D542A1" w:rsidRPr="00D542A1" w:rsidRDefault="00D542A1" w:rsidP="00BE37E2">
      <w:pPr>
        <w:keepNext/>
        <w:keepLines/>
        <w:spacing w:before="40" w:after="0"/>
        <w:jc w:val="both"/>
        <w:outlineLvl w:val="3"/>
        <w:rPr>
          <w:rFonts w:ascii="Times New Roman" w:eastAsiaTheme="majorEastAsia" w:hAnsi="Times New Roman" w:cs="Times New Roman"/>
          <w:i/>
          <w:iCs/>
          <w:color w:val="2F5496" w:themeColor="accent1" w:themeShade="BF"/>
          <w:sz w:val="24"/>
          <w:szCs w:val="24"/>
        </w:rPr>
      </w:pPr>
      <w:r w:rsidRPr="00D542A1">
        <w:rPr>
          <w:rFonts w:ascii="Times New Roman" w:eastAsiaTheme="majorEastAsia" w:hAnsi="Times New Roman" w:cs="Times New Roman"/>
          <w:i/>
          <w:iCs/>
          <w:color w:val="2F5496" w:themeColor="accent1" w:themeShade="BF"/>
          <w:sz w:val="24"/>
          <w:szCs w:val="24"/>
        </w:rPr>
        <w:t>Housing conditions</w:t>
      </w:r>
    </w:p>
    <w:p w14:paraId="21191F6E" w14:textId="77777777" w:rsidR="00D542A1" w:rsidRPr="00D542A1" w:rsidRDefault="00D542A1" w:rsidP="00BE37E2">
      <w:pPr>
        <w:jc w:val="both"/>
        <w:rPr>
          <w:rFonts w:ascii="Times New Roman" w:hAnsi="Times New Roman" w:cs="Times New Roman"/>
          <w:sz w:val="24"/>
          <w:szCs w:val="24"/>
        </w:rPr>
      </w:pPr>
    </w:p>
    <w:p w14:paraId="5BD78D2F"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Another difference between the two sectors is the housing arrangement. The migrant farm workers contend not only with unsafe working conditions but also with unsafe housing conditions associated with the bunkhouses provided by their employers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{"citationID":"YAAu2N08","properties":{"formattedCitation":"(Perry, 2018)","plainCitation":"(Perry, 2018)","noteIndex":0},"citationItems":[{"id":70,"uris":["http://zotero.org/users/5481489/items/B8NV9AJ8"],"uri":["http://zotero.org/users/5481489/items/B8NV9AJ8"],"itemData":{"id":70,"type":"article-journal","abstract":"This article examines how the dormitory labour system as it is employed in the agricultural streams of Canada’s Temporary Foreign Worker Program (TFWP) affects workers’ everyday sociality. In the article, I demonstrate how the physical compression of home and work into a singular geographic site shapes workers’ identities and everyday relationships. Drawing on findings gathered from interviews with migrant farm workers from Mexico and Guatemala working in Southern Ontario, I explore how the requirement to warehouse temporary foreign workers directly on employer property collides with workers’ ability to establish an autonomous and dignified life in Canada. In particular, I demonstrate how the TFWP agricultural dormitory system produces inter-generational dynamics that intensify worker selfdiscipline and generates gender dynamics that support the development of a hyperproductive transnational workforce.","container-title":"Journal of International Migration and Integration","DOI":"10.1007/s12134-018-0583-z","ISSN":"1488-3473, 1874-6365","issue":"4","journalAbbreviation":"Int. Migration &amp; Integration","language":"en","page":"1021-1036","source":"DOI.org (Crossref)","title":"Living at Work and Intra-worker Sociality Among Migrant Farm Workers in Canada","volume":"19","author":[{"family":"Perry","given":"J. Adam"}],"issued":{"date-parts":[["2018",11]]}}}],"schema":"https://github.com/citation-style-language/schema/raw/master/csl-citation.json"}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(Perry, 2018)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The workers from the meatpacking plants have a different arrangement because they do not live in the vicinity of the plants and their living arrangement was their responsibility.</w:t>
      </w:r>
    </w:p>
    <w:p w14:paraId="77503630"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Like the living and working environment of migrants is the intersection of migration, masculinity and work and health. Using </w:t>
      </w:r>
      <w:bookmarkStart w:id="79" w:name="_Hlk69921230"/>
      <w:r w:rsidRPr="00D542A1">
        <w:rPr>
          <w:rFonts w:ascii="Times New Roman" w:hAnsi="Times New Roman" w:cs="Times New Roman"/>
          <w:sz w:val="24"/>
          <w:szCs w:val="24"/>
        </w:rPr>
        <w:t xml:space="preserve">the </w:t>
      </w:r>
      <w:proofErr w:type="spellStart"/>
      <w:r w:rsidRPr="00D542A1">
        <w:rPr>
          <w:rFonts w:ascii="Times New Roman" w:hAnsi="Times New Roman" w:cs="Times New Roman"/>
          <w:sz w:val="24"/>
          <w:szCs w:val="24"/>
        </w:rPr>
        <w:t>Dahlgreen</w:t>
      </w:r>
      <w:proofErr w:type="spellEnd"/>
      <w:r w:rsidRPr="00D542A1">
        <w:rPr>
          <w:rFonts w:ascii="Times New Roman" w:hAnsi="Times New Roman" w:cs="Times New Roman"/>
          <w:sz w:val="24"/>
          <w:szCs w:val="24"/>
        </w:rPr>
        <w:t xml:space="preserve"> &amp; Whitehead (1991) model</w:t>
      </w:r>
      <w:bookmarkEnd w:id="79"/>
      <w:r w:rsidRPr="00D542A1">
        <w:rPr>
          <w:rFonts w:ascii="Times New Roman" w:hAnsi="Times New Roman" w:cs="Times New Roman"/>
          <w:sz w:val="24"/>
          <w:szCs w:val="24"/>
        </w:rPr>
        <w:t>, the next section outlines the overlapping and multi-dimension to the health decline of migrants.</w:t>
      </w:r>
    </w:p>
    <w:p w14:paraId="5B3BC1C7" w14:textId="77777777" w:rsidR="00D542A1" w:rsidRPr="00D542A1" w:rsidRDefault="00D542A1" w:rsidP="00BE37E2">
      <w:pPr>
        <w:keepNext/>
        <w:keepLines/>
        <w:spacing w:before="40" w:after="0"/>
        <w:jc w:val="both"/>
        <w:outlineLvl w:val="1"/>
        <w:rPr>
          <w:rFonts w:ascii="Times New Roman" w:eastAsiaTheme="majorEastAsia" w:hAnsi="Times New Roman" w:cs="Times New Roman"/>
          <w:color w:val="2F5496" w:themeColor="accent1" w:themeShade="BF"/>
          <w:sz w:val="24"/>
          <w:szCs w:val="24"/>
        </w:rPr>
      </w:pPr>
      <w:bookmarkStart w:id="80" w:name="_Toc72494787"/>
      <w:r w:rsidRPr="00D542A1">
        <w:rPr>
          <w:rFonts w:ascii="Times New Roman" w:eastAsiaTheme="majorEastAsia" w:hAnsi="Times New Roman" w:cs="Times New Roman"/>
          <w:color w:val="2F5496" w:themeColor="accent1" w:themeShade="BF"/>
          <w:sz w:val="24"/>
          <w:szCs w:val="24"/>
        </w:rPr>
        <w:t>The Intersection of Masculinity, Migration, Work, and Health</w:t>
      </w:r>
      <w:bookmarkEnd w:id="80"/>
    </w:p>
    <w:p w14:paraId="1E85D054" w14:textId="77777777" w:rsidR="00D542A1" w:rsidRPr="00D542A1" w:rsidRDefault="00D542A1" w:rsidP="00BE37E2">
      <w:pPr>
        <w:jc w:val="both"/>
        <w:rPr>
          <w:rFonts w:ascii="Times New Roman" w:hAnsi="Times New Roman" w:cs="Times New Roman"/>
          <w:sz w:val="24"/>
          <w:szCs w:val="24"/>
        </w:rPr>
      </w:pPr>
    </w:p>
    <w:p w14:paraId="0E95E29D" w14:textId="77777777" w:rsidR="00D542A1" w:rsidRPr="00D542A1" w:rsidRDefault="00D542A1" w:rsidP="00BE37E2">
      <w:pPr>
        <w:spacing w:line="480" w:lineRule="auto"/>
        <w:jc w:val="both"/>
        <w:rPr>
          <w:rFonts w:ascii="Times New Roman" w:hAnsi="Times New Roman" w:cs="Times New Roman"/>
          <w:sz w:val="24"/>
          <w:szCs w:val="24"/>
        </w:rPr>
      </w:pPr>
      <w:r w:rsidRPr="00D542A1">
        <w:rPr>
          <w:rFonts w:ascii="Times New Roman" w:hAnsi="Times New Roman" w:cs="Times New Roman"/>
          <w:sz w:val="24"/>
          <w:szCs w:val="24"/>
        </w:rPr>
        <w:t xml:space="preserve"> Using the </w:t>
      </w:r>
      <w:proofErr w:type="spellStart"/>
      <w:r w:rsidRPr="00D542A1">
        <w:rPr>
          <w:rFonts w:ascii="Times New Roman" w:hAnsi="Times New Roman" w:cs="Times New Roman"/>
          <w:sz w:val="24"/>
          <w:szCs w:val="24"/>
        </w:rPr>
        <w:t>Dahlgreen</w:t>
      </w:r>
      <w:proofErr w:type="spellEnd"/>
      <w:r w:rsidRPr="00D542A1">
        <w:rPr>
          <w:rFonts w:ascii="Times New Roman" w:hAnsi="Times New Roman" w:cs="Times New Roman"/>
          <w:sz w:val="24"/>
          <w:szCs w:val="24"/>
        </w:rPr>
        <w:t xml:space="preserve"> &amp; Whitehead (1991) model and applying intersectionality framework provides additional lens in maximizing the lived experiences of this group (migrants) to isolate their unique experience. Applying intersectionality to men, therefore, may seem paradoxical, as </w:t>
      </w:r>
      <w:proofErr w:type="spellStart"/>
      <w:r w:rsidRPr="00D542A1">
        <w:rPr>
          <w:rFonts w:ascii="Times New Roman" w:hAnsi="Times New Roman" w:cs="Times New Roman"/>
          <w:sz w:val="24"/>
          <w:szCs w:val="24"/>
        </w:rPr>
        <w:t>Sinatti</w:t>
      </w:r>
      <w:proofErr w:type="spellEnd"/>
      <w:r w:rsidRPr="00D542A1">
        <w:rPr>
          <w:rFonts w:ascii="Times New Roman" w:hAnsi="Times New Roman" w:cs="Times New Roman"/>
          <w:sz w:val="24"/>
          <w:szCs w:val="24"/>
        </w:rPr>
        <w:t xml:space="preserve"> (2014) explains “given that in a situation of social inequality men are often implicitly assumed to be the ones holding privilege and power, research applying intersectionality to men is relatively rare”</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{"citationID":"vYI0heLY","properties":{"formattedCitation":"(2014, p. 218)","plainCitation":"(2014, p. 218)","dontUpdate":true,"noteIndex":0},"citationItems":[{"id":1316,"uris":["http://zotero.org/users/5481489/items/5B78T7HC"],"uri":["http://zotero.org/users/5481489/items/5B78T7HC"],"itemData":{"id":1316,"type":"chapter","abstract":"Men are seldom a topic of concern in migration research as gendered subjects who experience the implications of social justice, for instance in aspects relating to lives in their families such as fairness of representation, consequences of material redistribution, and management of emotions. Economic migrants in particular, who are seen as matching the role of breadwinners and confirming the status of dominant patriarchal men, are a particularly underrated case. Using the experiences of Wolof men who emigrate from Senegal to become the main providers for their families, this chapter questions this assumption by drawing insights from a theorization on ‘transnational families’, ‘intersectionality’ and ‘masculinity’ as developed within migration and gender studies. The chapter discusses how male gender roles become interlocked with other categories, as asymmetries (be they real or perceived) intervene between the migrant and the stay-behind, and as geographic distance forces them to revisit the propriety of arrangements that enable them to enact their gendered responsibility within families. Caught between pressures deriving from their economic and moral obligations towards family and kin on the one hand, and personal aspirations of fitting the part of successful men on the other, the ethnographic research presented in this chapter shows that migrants engage in an emotional journey that may challenge, rather than confirm, their expectations of ‘hegemonic’ masculinity.","container-title":"Migration, Gender and Social Justice","event-place":"Berlin, Heidelberg","ISBN":"978-3-642-28011-5","language":"en","note":"collection-title: Hexagon Series on Human and Environmental Security and Peace\nDOI: 10.1007/978-3-642-28012-2_11","page":"215-226","publisher":"Springer Berlin Heidelberg","publisher-place":"Berlin, Heidelberg","source":"DOI.org (Crossref)","title":"Masculinities and Intersectionality in Migration: Transnational Wolof Migrants Negotiating Manhood and Gendered Family Roles","title-short":"11 Masculinities and Intersectionality in Migration","URL":"http://link.springer.com/10.1007/978-3-642-28012-2_11","volume":"9","editor":[{"family":"Truong","given":"Thanh-Dam"},{"family":"Gasper","given":"Des"},{"family":"Handmaker","given":"Jeff"},{"family":"Bergh","given":"Sylvia I."}],"author":[{"family":"Sinatti","given":"Giulia"}],"accessed":{"date-parts":[["2021",4,29]]},"issued":{"date-parts":[["2014"]]}},"locator":"218","suppress-author":true}],"schema":"https://github.com/citation-style-language/schema/raw/master/csl-citation.json"}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218)</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is one of the reasons why there has been little spotlight on male migrants until recently. The discrimination of migrants especially visible minority is rife in literatures as well as discrimination against women, girl child, homosexual, but separating men as a subject of study is still a novelty. Therefore, intersectionality becomes a useful tool in this study </w:t>
      </w:r>
      <w:r w:rsidRPr="00D542A1">
        <w:rPr>
          <w:rFonts w:ascii="Times New Roman" w:hAnsi="Times New Roman" w:cs="Times New Roman"/>
          <w:sz w:val="24"/>
          <w:szCs w:val="24"/>
        </w:rPr>
        <w:lastRenderedPageBreak/>
        <w:t>in analysing male migrant multiple axes of discrimination or oppression by analysing the overlapping influences of masculinity, migration, and work.</w:t>
      </w:r>
    </w:p>
    <w:p w14:paraId="27234813" w14:textId="6E2AD9FA"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Masculinity theory as stated before, provided a good foundation in the understanding of why men are less often than not associated with vulnerability, aptly, considered a feminine trait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{"citationID":"hN57YZyH","properties":{"formattedCitation":"(Connell &amp; Messerschmidt, 2005; Donaldson &amp; Howson, 2009; Wedgwood, 2009)","plainCitation":"(Connell &amp; Messerschmidt, 2005; Donaldson &amp; Howson, 2009; Wedgwood, 2009)","noteIndex":0},"citationItems":[{"id":1076,"uris":["http://zotero.org/users/5481489/items/Z9QHIACH"],"uri":["http://zotero.org/users/5481489/items/Z9QHIACH"],"itemData":{"id":1076,"type":"article-journal","abstract":"The concept of hegemonic masculinity has influenced gender studies across many academic fields but has also attracted serious criticism. The authors trace the origin of the concept in a convergence of ideas in the early 1980s and map the ways it was applied when research on men and masculinities expanded. Evaluating the principal criticisms, the authors defend the underlying concept of masculinity, which in most research use is neither reified nor essentialist. However, the criticism of trait models of gender and rigid typologies is sound. The treatment of the subject in research on hegemonic masculinity can be improved with the aid of recent psychological models, although limits to discursive flexibility must be recognized. The concept of hegemonic masculinity does not equate to a model of social reproduction; we need to recognize social struggles in which subordinated masculinities influence dominant forms. Finally, the authors review what has been confirmed from early formulations (the idea of multiple masculinities, the concept of hegemony, and the emphasis on change) and what needs to be discarded (one-dimensional treatment of hierarchy and trait conceptions of gender). The authors suggest reformulation of the concept in four areas: a more complex model of gender hierarchy, emphasizing the agency of women; explicit recognition of the geography of masculinities, emphasizing the interplay among local, regional, and global levels; a more specific treatment of embodiment in contexts of privilege and power; and a stronger emphasis on the dynamics of hegemonic masculinity, recognizing internal contradictions and the possibilities of movement toward gender democracy.","container-title":"Gender and Society","ISSN":"0891-2432","issue":"6","note":"publisher: Sage Publications, Inc.","page":"829-859","source":"JSTOR","title":"Hegemonic Masculinity: Rethinking the Concept","title-short":"Hegemonic Masculinity","volume":"19","author":[{"family":"Connell","given":"R. W."},{"family":"Messerschmidt","given":"James W."}],"issued":{"date-parts":[["2005"]]}}},{"id":74,"uris":["http://zotero.org/users/5481489/items/B2234ZQS"],"uri":["http://zotero.org/users/5481489/items/B2234ZQS"],"itemData":{"id":74,"type":"article-journal","language":"en","page":"9","source":"Zotero","title":"Men, migration and hegemonic masculinity","author":[{"family":"Donaldson","given":"Mike"},{"family":"Howson","given":"R"}],"issued":{"date-parts":[["2009"]]}}},{"id":80,"uris":["http://zotero.org/users/5481489/items/GGSTDZKQ"],"uri":["http://zotero.org/users/5481489/items/GGSTDZKQ"],"itemData":{"id":80,"type":"article-journal","container-title":"Journal of Gender Studies","DOI":"10.1080/09589230903260001","ISSN":"0958-9236, 1465-3869","issue":"4","journalAbbreviation":"Journal of Gender Studies","language":"en","page":"329-339","source":"DOI.org (Crossref)","title":"Connell's theory of masculinity – its origins and influences on the study of gender1","volume":"18","author":[{"family":"Wedgwood","given":"Nikki"}],"issued":{"date-parts":[["2009",12]]}}}],"schema":"https://github.com/citation-style-language/schema/raw/master/csl-citation.json"}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(Connell &amp; Messerschmidt, 2005; Donaldson &amp; Howson, 2009; Wedgwood, 2009)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is because of the masculinity theory, which has socialized men as having a higher tolerance for risk taking, hence the resilience in accepting challenges and risky situation. In the case of migrant men, this may be assumed to be the obvious reason why they accepted dangerous and precarious living and working condition and why the society (government officials, </w:t>
      </w:r>
      <w:r w:rsidR="00890D96" w:rsidRPr="00D542A1">
        <w:rPr>
          <w:rFonts w:ascii="Times New Roman" w:hAnsi="Times New Roman" w:cs="Times New Roman"/>
          <w:sz w:val="24"/>
          <w:szCs w:val="24"/>
        </w:rPr>
        <w:t>employers,</w:t>
      </w:r>
      <w:r w:rsidRPr="00D542A1">
        <w:rPr>
          <w:rFonts w:ascii="Times New Roman" w:hAnsi="Times New Roman" w:cs="Times New Roman"/>
          <w:sz w:val="24"/>
          <w:szCs w:val="24"/>
        </w:rPr>
        <w:t xml:space="preserve"> and recruiters) could continue with this arrangement since 1966 and counting.</w:t>
      </w:r>
    </w:p>
    <w:p w14:paraId="0F90CCBC" w14:textId="1E2B32A6"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evidence in this study on the contrary, shows no indication that migrant men willingly and deliberately accepted the unsafe and risky working and living conditions based on the mere thrill associated with risk. Instead, different studies and personal interviews has shown the migrants unwillingness to accept such unhealthy condition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{"citationID":"YtwCgoDB","properties":{"formattedCitation":"(Baum &amp; Grant, 2020; Frangou, 2020b; K. Harris, 2020b; M. Thompson, 2016)","plainCitation":"(Baum &amp; Grant, 2020; Frangou, 2020b; K. Harris, 2020b; M. Thompson, 2016)","dontUpdate":true,"noteIndex":0},"citationItems":[{"id":1180,"uris":["http://zotero.org/users/5481489/items/88VPIE5N"],"uri":["http://zotero.org/users/5481489/items/88VPIE5N"],"itemData":{"id":1180,"type":"article-newspaper","abstract":"Migrant farm workers say they have been punished by their employers over disagreements about COVID-19 precautions, fuelling calls for an independent oversight agency that would empower temporary foreign workers to register complaints without fear of reprisal. A number of migrant farm workers in B.C. and Ontario told The Globe and Mail they were fired or unnecessarily forced to quarantine after being accused of breaking pandemic-related rules or speaking out about inadequate safety measures. Under the temporary foreign worker (TFW) program, seasonal agricultural workers often live in employer-provided bunkhouses on the farm. In some cases, these living quarters are overcrowded and rundown, allowing the virus to spread easily. Amid a series of COVID-19 outbreaks, some employers have confined workers to the property.","container-title":"The Globe and Mail (Breaking News)","language":"English","note":"publisher: The Globe and Mail Inc.","section":"National","source":"Factiva","title":"Migrant farm workers call for safety from reprisals for speaking out; The accounts are emblematic of long-standing issues within the TFW program, which the federal government has admitted is flawed and puts too much power in the hands of employers","URL":"http://global.factiva.com/redir/default.aspx?P=sa&amp;an=GMBN000020200817eg8g000gp&amp;cat=a&amp;ep=ASE","author":[{"family":"Baum","given":"Kathryn Blaze"},{"family":"Grant","given":"Tavia"}],"accessed":{"date-parts":[["2021",4,1]]},"issued":{"date-parts":[["2020",8,17]]}}},{"id":835,"uris":["http://zotero.org/users/5481489/items/XR6I9JWM"],"uri":["http://zotero.org/users/5481489/items/XR6I9JWM"],"itemData":{"id":835,"type":"article-magazine","abstract":"In the men’s locker room, Gillo pulled his personal protective equipment over his street clothes: a floor-length gown made of metallic mesh, two gloves (one of cotton, one of mesh) for his left hand, three gloves (two of cotton sandwiching one of mesh) for his right, a hairnet, a hard hat, safety goggles, earbuds and, finally, his steel-toed boots. Cargill, Canada’s largest meat processing plant, employs approximately 2,000 unionized workers, most of whom are immigrants, refugees or temporary foreign workers. The Centers for Disease Control and Prevention has reported that, in 115 meat or poultry processing facilities in 19 states, 4,913 workers have been diagnosed with COVID-19, and 20 have died from COVID-19-related causes. The chief safety considerations in a meat processing plant are food safety and the safety of workers from injury.","container-title":"Maclean's","ISSN":"00249262","language":"English","note":"publisher-place: Toronto, Canada\npublisher: St. Joseph Communications\nsection: National","source":"ProQuest","title":"Lives on the line: As Cargill employees return to the site of Canada’s largest COVID-19 outbreak, fear lingers still","title-short":"Lives on the line","URL":"http://search.proquest.com/docview/2401926777/abstract/706A912433A54E4DPQ/1","author":[{"family":"Frangou","given":"Christina"}],"accessed":{"date-parts":[["2021",2,13]]},"issued":{"date-parts":[["2020",6]]}}},{"id":1087,"uris":["http://zotero.org/users/5481489/items/S9L9D5QB"],"uri":["http://zotero.org/users/5481489/items/S9L9D5QB"],"itemData":{"id":1087,"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3,23]]},"issued":{"date-parts":[["2020",6,8]]}}},{"id":1229,"uris":["http://zotero.org/users/5481489/items/Q233G4B8"],"uri":["http://zotero.org/users/5481489/items/Q233G4B8"],"itemData":{"id":1229,"type":"webpage","abstract":"Canada’s controversial Temporary Foreign Worker (TFW) Program is once again under the microscope with the release of a&amp;amp;nbsp;Parliamentary Committee report&amp;amp;nbsp;last week. While the report recommends s","container-title":"Canadian Centre for Policy Alternatives","title":"How employers of Temporary Foreign Workers get away with low pay and bad working conditions","URL":"https://www.policyalternatives.ca/publications/commentary/how-employers-temporary-foreign-workers-get-away-low-pay-and-bad-working","author":[{"family":"Thompson","given":"Mark"}],"accessed":{"date-parts":[["2021",4,4]]},"issued":{"date-parts":[["2016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(Baum &amp; Grant, 2020; Frangou, 2020b; Harris, 2020b; Thompson,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However, the employers of labour, recruiters and government officials has effectively applied the social construct of masculinity that socializes men as risk</w:t>
      </w:r>
      <w:r w:rsidR="00D2556B">
        <w:rPr>
          <w:rFonts w:ascii="Times New Roman" w:hAnsi="Times New Roman" w:cs="Times New Roman"/>
          <w:sz w:val="24"/>
          <w:szCs w:val="24"/>
        </w:rPr>
        <w:t xml:space="preserve"> </w:t>
      </w:r>
      <w:r w:rsidRPr="00D542A1">
        <w:rPr>
          <w:rFonts w:ascii="Times New Roman" w:hAnsi="Times New Roman" w:cs="Times New Roman"/>
          <w:sz w:val="24"/>
          <w:szCs w:val="24"/>
        </w:rPr>
        <w:t>takers or who ha</w:t>
      </w:r>
      <w:r w:rsidR="00D2556B">
        <w:rPr>
          <w:rFonts w:ascii="Times New Roman" w:hAnsi="Times New Roman" w:cs="Times New Roman"/>
          <w:sz w:val="24"/>
          <w:szCs w:val="24"/>
        </w:rPr>
        <w:t>ve</w:t>
      </w:r>
      <w:r w:rsidRPr="00D542A1">
        <w:rPr>
          <w:rFonts w:ascii="Times New Roman" w:hAnsi="Times New Roman" w:cs="Times New Roman"/>
          <w:sz w:val="24"/>
          <w:szCs w:val="24"/>
        </w:rPr>
        <w:t xml:space="preserve"> high tolerance for risk and as a means of exploiting migrant workers.</w:t>
      </w:r>
    </w:p>
    <w:p w14:paraId="410AF4E1" w14:textId="4BBE5CCA"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Further to this is the social construct of equating men with power, independence, and domineering</w:t>
      </w:r>
      <w:r w:rsidR="00D2556B">
        <w:rPr>
          <w:rFonts w:ascii="Times New Roman" w:hAnsi="Times New Roman" w:cs="Times New Roman"/>
          <w:sz w:val="24"/>
          <w:szCs w:val="24"/>
        </w:rPr>
        <w:t xml:space="preserve"> stance</w:t>
      </w:r>
      <w:r w:rsidRPr="00D542A1">
        <w:rPr>
          <w:rFonts w:ascii="Times New Roman" w:hAnsi="Times New Roman" w:cs="Times New Roman"/>
          <w:sz w:val="24"/>
          <w:szCs w:val="24"/>
        </w:rPr>
        <w:t>, making it a herculean feat to change the socialization or social construct of masculinity and attribute feminine qualities like vulnerability, dependence to men. This might explain why reports, studies and proposal done in the past to effect changes has not been successful rather inhuman working hours</w:t>
      </w:r>
      <w:r w:rsidR="00D2556B">
        <w:rPr>
          <w:rFonts w:ascii="Times New Roman" w:hAnsi="Times New Roman" w:cs="Times New Roman"/>
          <w:sz w:val="24"/>
          <w:szCs w:val="24"/>
        </w:rPr>
        <w:t>,</w:t>
      </w:r>
      <w:r w:rsidRPr="00D542A1">
        <w:rPr>
          <w:rFonts w:ascii="Times New Roman" w:hAnsi="Times New Roman" w:cs="Times New Roman"/>
          <w:sz w:val="24"/>
          <w:szCs w:val="24"/>
        </w:rPr>
        <w:t xml:space="preserve"> 12-14 hours a day, exploitation, discrimination, insensitivity was </w:t>
      </w:r>
      <w:r w:rsidRPr="00D542A1">
        <w:rPr>
          <w:rFonts w:ascii="Times New Roman" w:hAnsi="Times New Roman" w:cs="Times New Roman"/>
          <w:sz w:val="24"/>
          <w:szCs w:val="24"/>
        </w:rPr>
        <w:lastRenderedPageBreak/>
        <w:t xml:space="preserve">all thriving during the pandemic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{"citationID":"F9oEvMnl","properties":{"formattedCitation":"(Barnetson, 2013; Brown, 2021; Frangou, 2020a; K. Harris, 2020a)","plainCitation":"(Barnetson, 2013; Brown, 2021; Frangou, 2020a; K. Harris, 2020a)","noteIndex":0},"citationItems":[{"id":1241,"uris":["http://zotero.org/users/5481489/items/Z9VLS3LW"],"uri":["http://zotero.org/users/5481489/items/Z9VLS3LW"],"itemData":{"id":1241,"type":"webpage","abstract":"This fact sheet highlights the true rates of workplace injury in Alberta and demonstrates how unions protect workers both from unsafe workplaces and a government keen to downplay the risks.","container-title":"Parkland Institute","language":"en","title":"Making It Home: Alberta Workplace Injuries and the Union Safety Dividend","title-short":"Making It Home","URL":"https://www.parklandinstitute.ca/making_it_home","author":[{"family":"Barnetson","given":"Bob"}],"accessed":{"date-parts":[["2021",4,8]]},"issued":{"date-parts":[["2013"]]}}},{"id":1313,"uris":["http://zotero.org/users/5481489/items/Y3YYL2LA"],"uri":["http://zotero.org/users/5481489/items/Y3YYL2LA"],"itemData":{"id":1313,"type":"webpage","abstract":"The pandemic has laid bare the brutal conditions under which migrant farm workers are forced to work and live for the benefit of Canada’s agri-business industry.","container-title":"World Socialist Web Site","language":"en","title":"Thousands of migrant workers labouring on Canada’s farms in unsafe conditions amid deadly COVID-19 third wave","URL":"https://www.wsws.org/en/articles/2021/04/29/cami-a29.html","author":[{"family":"Brown","given":"Talia"}],"accessed":{"date-parts":[["2021",4,29]]},"issued":{"date-parts":[["2021"]]}}},{"id":834,"uris":["http://zotero.org/users/5481489/items/XT8WZ8TU"],"uri":["http://zotero.org/users/5481489/items/XT8WZ8TU"],"itemData":{"id":834,"type":"webpage","abstract":"Explore millions of resources from scholarly journals, books, newspapers, videos and more, on the ProQuest Platform.","language":"en","title":"Lives on the line: As Cargill employees return to the site of Canada’s largest COVID-19 outbreak, fear lingers still - ProQuest","title-short":"Lives on the line","URL":"https://search-proquest-com.proxy.bib.uottawa.ca/docview/2401926777/E0A56D1DD6154ACDPQ/8?accountid=14701","author":[{"family":"Frangou","given":"Christina"}],"accessed":{"date-parts":[["2021",2,13]]},"issued":{"date-parts":[["2020"]]}}},{"id":956,"uris":["http://zotero.org/users/5481489/items/3DZ54PT2"],"uri":["http://zotero.org/users/5481489/items/3DZ54PT2"],"itemData":{"id":956,"type":"webpage","abstract":"Migrant workers in Canada are demanding better protections after two men died from COVID-19, hundreds more have been infected and complaints mount about dangerous work and housing conditions.","container-title":"CBC","language":"en","title":"Exploitation, abuse, health hazards rise for migrant workers during COVID-19, group says | CBC News","URL":"https://www.cbc.ca/news/politics/migrant-workers-farm-deaths-report-1.5602596","author":[{"family":"Harris","given":"Kathleen"}],"accessed":{"date-parts":[["2021",3,2]]},"issued":{"date-parts":[["2020"]]}}}],"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(Barnetson, 2013; Brown, 2021; Frangou, 2020a; K. Harris, 2020a)</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5C613880" w14:textId="5A03AAEF" w:rsidR="00D542A1" w:rsidRPr="00D542A1" w:rsidRDefault="00D542A1" w:rsidP="00BE37E2">
      <w:pPr>
        <w:spacing w:line="480" w:lineRule="auto"/>
        <w:ind w:firstLine="567"/>
        <w:jc w:val="both"/>
        <w:rPr>
          <w:rFonts w:ascii="Times New Roman" w:hAnsi="Times New Roman" w:cs="Times New Roman"/>
          <w:sz w:val="24"/>
          <w:szCs w:val="24"/>
        </w:rPr>
      </w:pPr>
      <w:r w:rsidRPr="00D542A1">
        <w:rPr>
          <w:rFonts w:ascii="Times New Roman" w:hAnsi="Times New Roman" w:cs="Times New Roman"/>
          <w:sz w:val="24"/>
          <w:szCs w:val="24"/>
        </w:rPr>
        <w:t xml:space="preserve">Accordingly, it is pertinent to question if these migrant workers accepted this job only because taking risk is associated with being the ‘man’, indeed these studies indicate that it goes beyond the thrills of fulfilling that desire or crave. For the sake of argument lets assume the migrants may have accepted this unsafe living and working conditions because that is what they have been socialized to accept, the employers also seem </w:t>
      </w:r>
      <w:r w:rsidR="00D2556B">
        <w:rPr>
          <w:rFonts w:ascii="Times New Roman" w:hAnsi="Times New Roman" w:cs="Times New Roman"/>
          <w:sz w:val="24"/>
          <w:szCs w:val="24"/>
        </w:rPr>
        <w:t xml:space="preserve">to </w:t>
      </w:r>
      <w:r w:rsidRPr="00D542A1">
        <w:rPr>
          <w:rFonts w:ascii="Times New Roman" w:hAnsi="Times New Roman" w:cs="Times New Roman"/>
          <w:sz w:val="24"/>
          <w:szCs w:val="24"/>
        </w:rPr>
        <w:t xml:space="preserve">expect nothing short of that from the migrants, </w:t>
      </w:r>
      <w:r w:rsidR="00D2556B">
        <w:rPr>
          <w:rFonts w:ascii="Times New Roman" w:hAnsi="Times New Roman" w:cs="Times New Roman"/>
          <w:sz w:val="24"/>
          <w:szCs w:val="24"/>
        </w:rPr>
        <w:t xml:space="preserve">that is, </w:t>
      </w:r>
      <w:r w:rsidRPr="00D542A1">
        <w:rPr>
          <w:rFonts w:ascii="Times New Roman" w:hAnsi="Times New Roman" w:cs="Times New Roman"/>
          <w:sz w:val="24"/>
          <w:szCs w:val="24"/>
        </w:rPr>
        <w:t xml:space="preserve">accepting the unsafe working and living conditions without opposition or complaint. </w:t>
      </w:r>
    </w:p>
    <w:p w14:paraId="18C15B65"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Nevertheless, the two case studies used clearly shows that the ‘breadwinner role’ was more prominent as the driving force behind migrants condoning unsafe living and working condition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{"citationID":"O4GoYgKw","properties":{"formattedCitation":"(Barrow, 2020; Yeoh &amp; Ramdas, 2014)","plainCitation":"(Barrow, 2020; Yeoh &amp; Ramdas, 2014)","noteIndex":0},"citationItems":[{"id":1175,"uris":["http://zotero.org/users/5481489/items/NET6S3AK"],"uri":["http://zotero.org/users/5481489/items/NET6S3AK"],"itemData":{"id":1175,"type":"webpage","abstract":"After reintroducing a second shift, a meat packing plant in the city of Brooks has resumed full operations despite the fact the facility is still considered by the province to be in the midst of a COVID-19 outbreak.","container-title":"Calgary","language":"en","title":"JBS meat packing plant in Brooks resumes full operations","URL":"https://calgary.ctvnews.ca/jbs-meat-packing-plant-in-brooks-resumes-full-operations-1.4950038","author":[{"family":"Barrow","given":"Tyler"}],"accessed":{"date-parts":[["2021",3,31]]},"issued":{"date-parts":[["2020",5,22]]}}},{"id":240,"uris":["http://zotero.org/users/5481489/items/MWBFKBFN"],"uri":["http://zotero.org/users/5481489/items/MWBFKBFN"],"itemData":{"id":240,"type":"article-journal","container-title":"Gender, Place &amp; Culture","DOI":"10.1080/0966369X.2014.969686","ISSN":"0966-369X, 1360-0524","issue":"10","journalAbbreviation":"Gender, Place &amp; Culture","language":"en","page":"1197-1213","source":"DOI.org (Crossref)","title":"Gender, migration, mobility and transnationalism","volume":"21","author":[{"family":"Yeoh","given":"Brenda S.A."},{"family":"Ramdas","given":"Kamalini"}],"issued":{"date-parts":[["2014",11,26]]}}}],"schema":"https://github.com/citation-style-language/schema/raw/master/csl-citation.json"}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(Barrow, 2020; Yeoh &amp; Ramdas, 2014)</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It is interesting to note that the risk taking aspect of masculinity did not constitute part of the reason in this case study because the workers made a concerted effort during the pandemic to demand for tools and safety equipment required to keep them save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{"citationID":"kuy5zNI9","properties":{"formattedCitation":"(Baum &amp; Grant, 2020; M. Thompson, 2016)","plainCitation":"(Baum &amp; Grant, 2020; M. Thompson, 2016)","dontUpdate":true,"noteIndex":0},"citationItems":[{"id":1180,"uris":["http://zotero.org/users/5481489/items/88VPIE5N"],"uri":["http://zotero.org/users/5481489/items/88VPIE5N"],"itemData":{"id":1180,"type":"article-newspaper","abstract":"Migrant farm workers say they have been punished by their employers over disagreements about COVID-19 precautions, fuelling calls for an independent oversight agency that would empower temporary foreign workers to register complaints without fear of reprisal. A number of migrant farm workers in B.C. and Ontario told The Globe and Mail they were fired or unnecessarily forced to quarantine after being accused of breaking pandemic-related rules or speaking out about inadequate safety measures. Under the temporary foreign worker (TFW) program, seasonal agricultural workers often live in employer-provided bunkhouses on the farm. In some cases, these living quarters are overcrowded and rundown, allowing the virus to spread easily. Amid a series of COVID-19 outbreaks, some employers have confined workers to the property.","container-title":"The Globe and Mail (Breaking News)","language":"English","note":"publisher: The Globe and Mail Inc.","section":"National","source":"Factiva","title":"Migrant farm workers call for safety from reprisals for speaking out; The accounts are emblematic of long-standing issues within the TFW program, which the federal government has admitted is flawed and puts too much power in the hands of employers","URL":"http://global.factiva.com/redir/default.aspx?P=sa&amp;an=GMBN000020200817eg8g000gp&amp;cat=a&amp;ep=ASE","author":[{"family":"Baum","given":"Kathryn Blaze"},{"family":"Grant","given":"Tavia"}],"accessed":{"date-parts":[["2021",4,1]]},"issued":{"date-parts":[["2020",8,17]]}}},{"id":1229,"uris":["http://zotero.org/users/5481489/items/Q233G4B8"],"uri":["http://zotero.org/users/5481489/items/Q233G4B8"],"itemData":{"id":1229,"type":"webpage","abstract":"Canada’s controversial Temporary Foreign Worker (TFW) Program is once again under the microscope with the release of a&amp;amp;nbsp;Parliamentary Committee report&amp;amp;nbsp;last week. While the report recommends s","container-title":"Canadian Centre for Policy Alternatives","title":"How employers of Temporary Foreign Workers get away with low pay and bad working conditions","URL":"https://www.policyalternatives.ca/publications/commentary/how-employers-temporary-foreign-workers-get-away-low-pay-and-bad-working","author":[{"family":"Thompson","given":"Mark"}],"accessed":{"date-parts":[["2021",4,4]]},"issued":{"date-parts":[["2016"]]}}}],"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(Baum &amp; Grant, 2020; Thompson, 2016)</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finding is slightly different from other research associating risk taking with health decline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{"citationID":"MwPHxpfU","properties":{"formattedCitation":"(Connell &amp; Messerschmidt, 2005)","plainCitation":"(Connell &amp; Messerschmidt, 2005)","noteIndex":0},"citationItems":[{"id":1076,"uris":["http://zotero.org/users/5481489/items/Z9QHIACH"],"uri":["http://zotero.org/users/5481489/items/Z9QHIACH"],"itemData":{"id":1076,"type":"article-journal","abstract":"The concept of hegemonic masculinity has influenced gender studies across many academic fields but has also attracted serious criticism. The authors trace the origin of the concept in a convergence of ideas in the early 1980s and map the ways it was applied when research on men and masculinities expanded. Evaluating the principal criticisms, the authors defend the underlying concept of masculinity, which in most research use is neither reified nor essentialist. However, the criticism of trait models of gender and rigid typologies is sound. The treatment of the subject in research on hegemonic masculinity can be improved with the aid of recent psychological models, although limits to discursive flexibility must be recognized. The concept of hegemonic masculinity does not equate to a model of social reproduction; we need to recognize social struggles in which subordinated masculinities influence dominant forms. Finally, the authors review what has been confirmed from early formulations (the idea of multiple masculinities, the concept of hegemony, and the emphasis on change) and what needs to be discarded (one-dimensional treatment of hierarchy and trait conceptions of gender). The authors suggest reformulation of the concept in four areas: a more complex model of gender hierarchy, emphasizing the agency of women; explicit recognition of the geography of masculinities, emphasizing the interplay among local, regional, and global levels; a more specific treatment of embodiment in contexts of privilege and power; and a stronger emphasis on the dynamics of hegemonic masculinity, recognizing internal contradictions and the possibilities of movement toward gender democracy.","container-title":"Gender and Society","ISSN":"0891-2432","issue":"6","note":"publisher: Sage Publications, Inc.","page":"829-859","source":"JSTOR","title":"Hegemonic Masculinity: Rethinking the Concept","title-short":"Hegemonic Masculinity","volume":"19","author":[{"family":"Connell","given":"R. W."},{"family":"Messerschmidt","given":"James W."}],"issued":{"date-parts":[["2005"]]}}}],"schema":"https://github.com/citation-style-language/schema/raw/master/csl-citation.json"}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(Connell &amp; Messerschmidt, 2005)</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4CDC03D0" w14:textId="3B19B009"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Consequently, applying intersectionality lens has identified migrant workers in agricultural sector as a group with their unique experiences of discrimination or oppression that makes them vulnerable as spotlighted during the pandemic. The health issues of male migrant in the agricultural sector have been existing and evident but no consistent or enduring solution has been implemented. Notwithstanding, numerous literary </w:t>
      </w:r>
      <w:proofErr w:type="gramStart"/>
      <w:r w:rsidRPr="00D542A1">
        <w:rPr>
          <w:rFonts w:ascii="Times New Roman" w:hAnsi="Times New Roman" w:cs="Times New Roman"/>
          <w:sz w:val="24"/>
          <w:szCs w:val="24"/>
        </w:rPr>
        <w:t xml:space="preserve">works </w:t>
      </w:r>
      <w:r w:rsidR="00D2556B">
        <w:rPr>
          <w:rFonts w:ascii="Times New Roman" w:hAnsi="Times New Roman" w:cs="Times New Roman"/>
          <w:sz w:val="24"/>
          <w:szCs w:val="24"/>
        </w:rPr>
        <w:t xml:space="preserve"> has</w:t>
      </w:r>
      <w:proofErr w:type="gramEnd"/>
      <w:r w:rsidR="00D2556B">
        <w:rPr>
          <w:rFonts w:ascii="Times New Roman" w:hAnsi="Times New Roman" w:cs="Times New Roman"/>
          <w:sz w:val="24"/>
          <w:szCs w:val="24"/>
        </w:rPr>
        <w:t xml:space="preserve"> </w:t>
      </w:r>
      <w:r w:rsidRPr="00D542A1">
        <w:rPr>
          <w:rFonts w:ascii="Times New Roman" w:hAnsi="Times New Roman" w:cs="Times New Roman"/>
          <w:sz w:val="24"/>
          <w:szCs w:val="24"/>
        </w:rPr>
        <w:t>highlight</w:t>
      </w:r>
      <w:r w:rsidR="00D2556B">
        <w:rPr>
          <w:rFonts w:ascii="Times New Roman" w:hAnsi="Times New Roman" w:cs="Times New Roman"/>
          <w:sz w:val="24"/>
          <w:szCs w:val="24"/>
        </w:rPr>
        <w:t>ed</w:t>
      </w:r>
      <w:r w:rsidRPr="00D542A1">
        <w:rPr>
          <w:rFonts w:ascii="Times New Roman" w:hAnsi="Times New Roman" w:cs="Times New Roman"/>
          <w:sz w:val="24"/>
          <w:szCs w:val="24"/>
        </w:rPr>
        <w:t xml:space="preserve"> the unfavorable conditions migrant women contend with, as vulnerable sector, during the process of settlement and integration in the destination countries (Gideon, 2016; Spitzer, 2016). Accordingly, applying gender lens to this case </w:t>
      </w:r>
      <w:r w:rsidRPr="00D542A1">
        <w:rPr>
          <w:rFonts w:ascii="Times New Roman" w:hAnsi="Times New Roman" w:cs="Times New Roman"/>
          <w:sz w:val="24"/>
          <w:szCs w:val="24"/>
        </w:rPr>
        <w:lastRenderedPageBreak/>
        <w:t xml:space="preserve">study made visible this vulnerability of the migrant workers which is different from, migrants generally, women, visible minority, and the rest of them. </w:t>
      </w:r>
    </w:p>
    <w:p w14:paraId="2F8B1F66"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Indeed COVID-19 virus has created a platform to showcase or single out this subsect of migrants – male migrants working in farms and meat packing plants- as a vulnerable sector that needs protection. Some of the decision and guidelines adopted during the pandemic revealed some of the multi dimensional factors surrounding male migrants’ vulnerability. For instance, healthcare workers hugely populated by female migrants had access to testing when they needed it, and majority have been vaccinated as of today, but migrants in meat packing plants and farms are yet to be scheduled for vaccines nor was timely provision made for them for testing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{"citationID":"3sgU2vOL","properties":{"formattedCitation":"(Pennell, 2021)","plainCitation":"(Pennell, 2021)","noteIndex":0},"citationItems":[{"id":1244,"uris":["http://zotero.org/users/5481489/items/P3U3Y5DQ"],"uri":["http://zotero.org/users/5481489/items/P3U3Y5DQ"],"itemData":{"id":1244,"type":"webpage","abstract":"The president of a union representing employees at some of the largest meat-packing plants in the country says there needs to be a discussion about making the COVID-19 vaccine more readily available to essential workers.","container-title":"CBC","language":"en","title":"Union official wants meat-plant workers on early COVID-19 vaccine list | CBC News","URL":"https://www.cbc.ca/news/canada/calgary/alberta-meatpacking-workers-covid-19-vaccine-union-cargill-jbs-1.5889640","author":[{"family":"Pennell","given":"Justine"}],"accessed":{"date-parts":[["2021",4,8]]},"issued":{"date-parts":[["2021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(Pennell, 2021)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This action supports the acceptability of the notion of women as vulnerable sector and how this results in making provision to ensure that they receive protection. As such most of the female migrant workers in the health sector working as caregivers came through the same stream of temporary foreign workers have received their first dose of the vaccine while their counterparts in the Agricultural sector have not. </w:t>
      </w:r>
    </w:p>
    <w:p w14:paraId="074067EC" w14:textId="0D013686"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From a general perspective, </w:t>
      </w:r>
      <w:r w:rsidR="00BE37E2">
        <w:rPr>
          <w:rFonts w:ascii="Times New Roman" w:hAnsi="Times New Roman" w:cs="Times New Roman"/>
          <w:sz w:val="24"/>
          <w:szCs w:val="24"/>
        </w:rPr>
        <w:t>i</w:t>
      </w:r>
      <w:r w:rsidRPr="00D542A1">
        <w:rPr>
          <w:rFonts w:ascii="Times New Roman" w:hAnsi="Times New Roman" w:cs="Times New Roman"/>
          <w:sz w:val="24"/>
          <w:szCs w:val="24"/>
        </w:rPr>
        <w:t>t may seem convenient to conclude that migrant workers have been taken care of because migrants in health sectors who are visible to the public and useful i</w:t>
      </w:r>
      <w:r w:rsidR="00DA3167">
        <w:rPr>
          <w:rFonts w:ascii="Times New Roman" w:hAnsi="Times New Roman" w:cs="Times New Roman"/>
          <w:sz w:val="24"/>
          <w:szCs w:val="24"/>
        </w:rPr>
        <w:t>n</w:t>
      </w:r>
      <w:r w:rsidRPr="00D542A1">
        <w:rPr>
          <w:rFonts w:ascii="Times New Roman" w:hAnsi="Times New Roman" w:cs="Times New Roman"/>
          <w:sz w:val="24"/>
          <w:szCs w:val="24"/>
        </w:rPr>
        <w:t xml:space="preserve"> saving lives have been tested and vaccinated, yet the other group of migrants feeding Canadians were not accorded the same curtesy. Consequently, with the use of intersectionality, the unique experience of migrants who happened to be men in the agricultural sector have been identified as vulnerable and unique policies need to be formulated for these group separate from other migrants. Finally, the masculinity theory that considers men independent, strong, not to be rescued could also explain why despite research on the deplorable conditions of work and living conditions of</w:t>
      </w:r>
      <w:r w:rsidR="00DA3167">
        <w:rPr>
          <w:rFonts w:ascii="Times New Roman" w:hAnsi="Times New Roman" w:cs="Times New Roman"/>
          <w:sz w:val="24"/>
          <w:szCs w:val="24"/>
        </w:rPr>
        <w:t xml:space="preserve"> </w:t>
      </w:r>
      <w:r w:rsidRPr="00D542A1">
        <w:rPr>
          <w:rFonts w:ascii="Times New Roman" w:hAnsi="Times New Roman" w:cs="Times New Roman"/>
          <w:sz w:val="24"/>
          <w:szCs w:val="24"/>
        </w:rPr>
        <w:lastRenderedPageBreak/>
        <w:t>these subset of migrants, there has been little or no change culminating to the recent spread of COVID-19 virus that nearly crippled Canada’s agricultural sector.</w:t>
      </w:r>
    </w:p>
    <w:p w14:paraId="4CDF705F"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81" w:name="_Toc72494788"/>
      <w:r w:rsidRPr="00D542A1">
        <w:rPr>
          <w:rFonts w:ascii="Times New Roman" w:eastAsiaTheme="majorEastAsia" w:hAnsi="Times New Roman" w:cs="Times New Roman"/>
          <w:color w:val="2F5496" w:themeColor="accent1" w:themeShade="BF"/>
          <w:sz w:val="24"/>
          <w:szCs w:val="24"/>
          <w:lang w:val="en-US"/>
        </w:rPr>
        <w:t>Remediation and Policy Recommendations</w:t>
      </w:r>
      <w:bookmarkEnd w:id="81"/>
    </w:p>
    <w:p w14:paraId="32E6C9B9" w14:textId="77777777" w:rsidR="00D542A1" w:rsidRPr="00D542A1" w:rsidRDefault="00D542A1" w:rsidP="00BE37E2">
      <w:pPr>
        <w:jc w:val="both"/>
        <w:rPr>
          <w:rFonts w:ascii="Times New Roman" w:hAnsi="Times New Roman" w:cs="Times New Roman"/>
          <w:sz w:val="24"/>
          <w:szCs w:val="24"/>
          <w:lang w:val="en-US"/>
        </w:rPr>
      </w:pPr>
    </w:p>
    <w:p w14:paraId="5AD5968C" w14:textId="77777777"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The seasonal agricultural workers who are now called essential workers in agriculture and food related industries are most often people with little money and social power, they also deal with structural discrimination. Essentially, this is what makes them vulnerable because they are powerless to protect themselves from oppression and injustice. The Canadian Prime Minister, Justin Trudeau, recently commented in recognition of the migrants’ workers vulnerability saying </w:t>
      </w:r>
    </w:p>
    <w:p w14:paraId="4EFD589E" w14:textId="77777777" w:rsidR="00D542A1" w:rsidRPr="00D542A1" w:rsidRDefault="00D542A1" w:rsidP="00BE37E2">
      <w:pPr>
        <w:spacing w:line="240" w:lineRule="auto"/>
        <w:ind w:left="851" w:right="1138"/>
        <w:jc w:val="both"/>
        <w:rPr>
          <w:rFonts w:ascii="Times New Roman" w:hAnsi="Times New Roman" w:cs="Times New Roman"/>
          <w:sz w:val="24"/>
          <w:szCs w:val="24"/>
        </w:rPr>
      </w:pPr>
      <w:r w:rsidRPr="00D542A1">
        <w:rPr>
          <w:rFonts w:ascii="Times New Roman" w:hAnsi="Times New Roman" w:cs="Times New Roman"/>
          <w:sz w:val="24"/>
          <w:szCs w:val="24"/>
        </w:rPr>
        <w:t xml:space="preserve">One of the things that this crisis has shown us is various points of vulnerability both in our supply chains, but also in terms of people who work in jobs we find extremely important right across the country for feeding Canadians, for allowing our economy to run,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{"citationID":"EDDRFCTt","properties":{"formattedCitation":"(Turnbull, 2020, p. 1)","plainCitation":"(Turnbull, 2020, p. 1)","dontUpdate":true,"noteIndex":0},"citationItems":[{"id":777,"uris":["http://zotero.org/users/5481489/items/SJ7XRVN8"],"uri":["http://zotero.org/users/5481489/items/SJ7XRVN8"],"itemData":{"id":777,"type":"webpage","abstract":"Many of the workers at an Alberta meat processing plant hit with COVID-19 are Filipino and new to Canada, and now face an increasing sense of isolation over the outbreak.","container-title":"CTVNews","language":"en","note":"section: Politics","title":"Cargill workers, many of them new to Canada, face isolation over COVID-19","URL":"https://www.ctvnews.ca/politics/cargill-workers-many-of-them-new-to-canada-face-isolation-over-covid-19-1.4929139","author":[{"family":"Turnbull","given":"sarah"}],"accessed":{"date-parts":[["2021",2,2]]},"issued":{"date-parts":[["2020"]]}},"locator":"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 p. 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w:t>
      </w:r>
    </w:p>
    <w:p w14:paraId="683D847B" w14:textId="77777777" w:rsidR="00D542A1" w:rsidRPr="00D542A1" w:rsidRDefault="00D542A1" w:rsidP="00BE37E2">
      <w:pPr>
        <w:spacing w:line="240" w:lineRule="auto"/>
        <w:ind w:left="851" w:right="1138"/>
        <w:jc w:val="both"/>
        <w:rPr>
          <w:rFonts w:ascii="Times New Roman" w:hAnsi="Times New Roman" w:cs="Times New Roman"/>
          <w:sz w:val="24"/>
          <w:szCs w:val="24"/>
        </w:rPr>
      </w:pPr>
    </w:p>
    <w:p w14:paraId="1B104FC8" w14:textId="1F647A7B"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Despite the crucial role migrant workers play in feeding the nation, yet the migrants have been made invisible. They work in the most dangerous jobs, yet they receive low wage for that, live in the substandard houses, and this because of the their migration and social status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{"citationID":"j4YHnRkL","properties":{"formattedCitation":"(Ramos et al., 2020b)","plainCitation":"(Ramos et al., 2020b)","noteIndex":0},"citationItems":[{"id":1121,"uris":["http://zotero.org/users/5481489/items/D5JKCWND"],"uri":["http://zotero.org/users/5481489/items/D5JKCWND"],"itemData":{"id":1121,"type":"article-journal","abstract":"From the farms to the packing plants, essential workers in critical food production industries keep food on our tables while risking their and their families’ health and well-being to bring home a paycheck. They work in essential industries but are often invisible. The disparities illuminated by COVID-19 are not new. Instead, they are the result of years of inequities built into practices, policies, and systems that reinforce societal power structures. As a society, we are now at an antagonizing moment where we can change our collective trajectory to focus forward and promote equity and justice for workers in agriculture and food-related industries. To that end, we describe our experience and approach in addressing COVID-19 outbreaks in meat processing facilities, which included three pillars of action based on public health ethics and international human rights: (1) worksite prevention and control, (2) community-based prevention and control, and (3) treatment. Our approach can be translated to promote the health, safety, and well-being of the broader agricultural workforce.","container-title":"Journal of Agromedicine","DOI":"10.1080/1059924X.2020.1814925","ISSN":"1059-924X, 1545-0813","issue":"4","journalAbbreviation":"Journal of Agromedicine","language":"en","page":"378-382","source":"DOI.org (Crossref)","title":"Invisible No More: The Impact of COVID-19 on Essential Food Production Workers","title-short":"Invisible No More","volume":"25","author":[{"family":"Ramos","given":"Athena K."},{"family":"Lowe","given":"Abigail E."},{"family":"Herstein","given":"Jocelyn J."},{"family":"Schwedhelm","given":"Shelly"},{"family":"Dineen","given":"Kelly K."},{"family":"Lowe","given":"John J."}],"issued":{"date-parts":[["2020",10,1]]}}}],"schema":"https://github.com/citation-style-language/schema/raw/master/csl-citation.json"}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rPr>
        <w:t>(Ramos et al., 2020b)</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Even though they were given the honour of being called essential workers, yet the benefits and concession granted to other migrant workers in the health care sector was not accorded to them. As a result of all this unfavorable conditions and outcomes, there should</w:t>
      </w:r>
      <w:r w:rsidR="00DA3167">
        <w:rPr>
          <w:rFonts w:ascii="Times New Roman" w:hAnsi="Times New Roman" w:cs="Times New Roman"/>
          <w:sz w:val="24"/>
          <w:szCs w:val="24"/>
        </w:rPr>
        <w:t xml:space="preserve"> be</w:t>
      </w:r>
      <w:r w:rsidRPr="00D542A1">
        <w:rPr>
          <w:rFonts w:ascii="Times New Roman" w:hAnsi="Times New Roman" w:cs="Times New Roman"/>
          <w:sz w:val="24"/>
          <w:szCs w:val="24"/>
        </w:rPr>
        <w:t xml:space="preserve"> changes in the policies guiding recruitment and treatment of migrant workers in the agricultural sector in Canada.</w:t>
      </w:r>
    </w:p>
    <w:p w14:paraId="5BD1711D" w14:textId="25FF1D10"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First, is the implementation of change of status to permanent residence or creat</w:t>
      </w:r>
      <w:r w:rsidR="00DA3167">
        <w:rPr>
          <w:rFonts w:ascii="Times New Roman" w:hAnsi="Times New Roman" w:cs="Times New Roman"/>
          <w:sz w:val="24"/>
          <w:szCs w:val="24"/>
        </w:rPr>
        <w:t>ion of</w:t>
      </w:r>
      <w:r w:rsidRPr="00D542A1">
        <w:rPr>
          <w:rFonts w:ascii="Times New Roman" w:hAnsi="Times New Roman" w:cs="Times New Roman"/>
          <w:sz w:val="24"/>
          <w:szCs w:val="24"/>
        </w:rPr>
        <w:t xml:space="preserve"> pathway for that as part of the recruitment process. Change of status will improve the socio economic and structural factors affecting their health. Migrants for instance, in spite of having </w:t>
      </w:r>
      <w:r w:rsidRPr="00D542A1">
        <w:rPr>
          <w:rFonts w:ascii="Times New Roman" w:hAnsi="Times New Roman" w:cs="Times New Roman"/>
          <w:sz w:val="24"/>
          <w:szCs w:val="24"/>
        </w:rPr>
        <w:lastRenderedPageBreak/>
        <w:t xml:space="preserve">legal access to health care and other benefits in Canada, most workers experience difficulties in gaining access to the benefits attached to their contract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{"citationID":"aqKx5I9p","properties":{"formattedCitation":"(Mclaughlin, 2009)","plainCitation":"(Mclaughlin, 2009)","noteIndex":0},"citationItems":[{"id":1282,"uris":["http://zotero.org/users/5481489/items/GASGJVYJ"],"uri":["http://zotero.org/users/5481489/items/GASGJVYJ"],"itemData":{"id":1282,"type":"article-journal","source":"ResearchGate","title":"Migration and Health: Implications for Development A Case Study of Mexican and Jamaican Migrants in Canada's Seasonal Agricultural Workers Program","title-short":"Migration and Health","author":[{"family":"Mclaughlin","given":"Janet"}],"issued":{"date-parts":[["2009",1,1]]}}}],"schema":"https://github.com/citation-style-language/schema/raw/master/csl-citation.json"}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(Mclaughlin, 2009)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Some of these difficulties are those associated with social determinants of health </w:t>
      </w:r>
      <w:r w:rsidR="00DA3167">
        <w:rPr>
          <w:rFonts w:ascii="Times New Roman" w:hAnsi="Times New Roman" w:cs="Times New Roman"/>
          <w:sz w:val="24"/>
          <w:szCs w:val="24"/>
        </w:rPr>
        <w:t xml:space="preserve">and </w:t>
      </w:r>
      <w:r w:rsidRPr="00D542A1">
        <w:rPr>
          <w:rFonts w:ascii="Times New Roman" w:hAnsi="Times New Roman" w:cs="Times New Roman"/>
          <w:sz w:val="24"/>
          <w:szCs w:val="24"/>
        </w:rPr>
        <w:t xml:space="preserve">include; “long workdays, dependence on employers to access health care, unwillingness to take time off work for fear of losing employment or pay,”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{"citationID":"M1iTt7Ux","properties":{"formattedCitation":"(Pysklywec et al., 2011, p. 1041)","plainCitation":"(Pysklywec et al., 2011, p. 1041)","noteIndex":0},"citationItems":[{"id":983,"uris":["http://zotero.org/users/5481489/items/YNB7XYFQ"],"uri":["http://zotero.org/users/5481489/items/YNB7XYFQ"],"itemData":{"id":983,"type":"article-journal","abstract":"See related analysis article by Preibisch and Hennebry on page [1033][1] and at [www.cmaj.ca/cgi/doi/10.1503/cmaj.090736][2].\n\nJosé, a migrant farm worker from Mexico, presents with a one-month history of low back pain. Through broken English and Spanish, he tells you that he has been in Canada for","container-title":"CMAJ","DOI":"10.1503/cmaj.091404","ISSN":"0820-3946, 1488-2329","issue":"9","language":"en","note":"publisher: CMAJ\nsection: Practice\nPMID: 21502349","page":"1039-1042","source":"www.cmaj.ca","title":"Doctors within borders: meeting the health care needs of migrant farm workers in Canada","title-short":"Doctors within borders","volume":"183","author":[{"family":"Pysklywec","given":"Michael"},{"family":"McLaughlin","given":"Janet"},{"family":"Tew","given":"Michelle"},{"family":"Haines","given":"Ted"}],"issued":{"date-parts":[["2011",6,14]]}},"locator":"1041"}],"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(Pysklywec et al., 2011, p. 1041)</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the working condition, blacklist</w:t>
      </w:r>
      <w:r w:rsidR="00DA3167">
        <w:rPr>
          <w:rFonts w:ascii="Times New Roman" w:hAnsi="Times New Roman" w:cs="Times New Roman"/>
          <w:sz w:val="24"/>
          <w:szCs w:val="24"/>
        </w:rPr>
        <w:t>ing</w:t>
      </w:r>
      <w:r w:rsidRPr="00D542A1">
        <w:rPr>
          <w:rFonts w:ascii="Times New Roman" w:hAnsi="Times New Roman" w:cs="Times New Roman"/>
          <w:sz w:val="24"/>
          <w:szCs w:val="24"/>
        </w:rPr>
        <w:t xml:space="preserve"> and possible deportation.</w:t>
      </w:r>
    </w:p>
    <w:p w14:paraId="0CED4DFD" w14:textId="2D2A97E4"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Secondly the </w:t>
      </w:r>
      <w:r w:rsidR="00BE37E2" w:rsidRPr="00D542A1">
        <w:rPr>
          <w:rFonts w:ascii="Times New Roman" w:hAnsi="Times New Roman" w:cs="Times New Roman"/>
          <w:sz w:val="24"/>
          <w:szCs w:val="24"/>
        </w:rPr>
        <w:t>third-party</w:t>
      </w:r>
      <w:r w:rsidRPr="00D542A1">
        <w:rPr>
          <w:rFonts w:ascii="Times New Roman" w:hAnsi="Times New Roman" w:cs="Times New Roman"/>
          <w:sz w:val="24"/>
          <w:szCs w:val="24"/>
        </w:rPr>
        <w:t xml:space="preserve"> recruiters should be abolished because they are part of the exploitative process the migrants go through. The conditions attached to the contract of migrant worker needs to be reviewed with the utmost urgency with the elimination of third party, the recruiters, Canadian government needs to handle the hiring and recruiting of migrant workers directly. It is also important that workers have a choice of who to work for and for how long they wish</w:t>
      </w:r>
      <w:r w:rsidR="00DA3167">
        <w:rPr>
          <w:rFonts w:ascii="Times New Roman" w:hAnsi="Times New Roman" w:cs="Times New Roman"/>
          <w:sz w:val="24"/>
          <w:szCs w:val="24"/>
        </w:rPr>
        <w:t xml:space="preserve"> to work</w:t>
      </w:r>
      <w:r w:rsidRPr="00D542A1">
        <w:rPr>
          <w:rFonts w:ascii="Times New Roman" w:hAnsi="Times New Roman" w:cs="Times New Roman"/>
          <w:sz w:val="24"/>
          <w:szCs w:val="24"/>
        </w:rPr>
        <w:t xml:space="preserve"> without any form of coercion. </w:t>
      </w:r>
    </w:p>
    <w:p w14:paraId="06D59E55" w14:textId="461D55CD"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 xml:space="preserve">Thirdly the removal of the temporality attached to the hiring of migrants. This action will eliminate the uncertainties attached to the program and reduce the stress of commuting between host and originating countries frequently, a contributing factor to health stressors. Additionally, the change will help in stabilizing and giving </w:t>
      </w:r>
      <w:r w:rsidR="00DA3167">
        <w:rPr>
          <w:rFonts w:ascii="Times New Roman" w:hAnsi="Times New Roman" w:cs="Times New Roman"/>
          <w:sz w:val="24"/>
          <w:szCs w:val="24"/>
        </w:rPr>
        <w:t>migrants</w:t>
      </w:r>
      <w:r w:rsidRPr="00D542A1">
        <w:rPr>
          <w:rFonts w:ascii="Times New Roman" w:hAnsi="Times New Roman" w:cs="Times New Roman"/>
          <w:sz w:val="24"/>
          <w:szCs w:val="24"/>
        </w:rPr>
        <w:t xml:space="preserve"> some root in the destination country instead of living in a country for years and yet</w:t>
      </w:r>
      <w:r w:rsidR="00DA3167">
        <w:rPr>
          <w:rFonts w:ascii="Times New Roman" w:hAnsi="Times New Roman" w:cs="Times New Roman"/>
          <w:sz w:val="24"/>
          <w:szCs w:val="24"/>
        </w:rPr>
        <w:t xml:space="preserve"> remain</w:t>
      </w:r>
      <w:r w:rsidRPr="00D542A1">
        <w:rPr>
          <w:rFonts w:ascii="Times New Roman" w:hAnsi="Times New Roman" w:cs="Times New Roman"/>
          <w:sz w:val="24"/>
          <w:szCs w:val="24"/>
        </w:rPr>
        <w:t xml:space="preserve"> a perfect stranger and invisible. That is, providing avenue for integration and settlement for these migrants which is one of the things causing stress, and </w:t>
      </w:r>
      <w:r w:rsidR="00DA3167">
        <w:rPr>
          <w:rFonts w:ascii="Times New Roman" w:hAnsi="Times New Roman" w:cs="Times New Roman"/>
          <w:sz w:val="24"/>
          <w:szCs w:val="24"/>
        </w:rPr>
        <w:t>unique</w:t>
      </w:r>
      <w:r w:rsidRPr="00D542A1">
        <w:rPr>
          <w:rFonts w:ascii="Times New Roman" w:hAnsi="Times New Roman" w:cs="Times New Roman"/>
          <w:sz w:val="24"/>
          <w:szCs w:val="24"/>
        </w:rPr>
        <w:t xml:space="preserve"> migrant workers in the agricultural sector. </w:t>
      </w:r>
    </w:p>
    <w:p w14:paraId="4C27D7ED"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82" w:name="_Toc72494789"/>
      <w:r w:rsidRPr="00D542A1">
        <w:rPr>
          <w:rFonts w:ascii="Times New Roman" w:eastAsiaTheme="majorEastAsia" w:hAnsi="Times New Roman" w:cs="Times New Roman"/>
          <w:color w:val="2F5496" w:themeColor="accent1" w:themeShade="BF"/>
          <w:sz w:val="24"/>
          <w:szCs w:val="24"/>
          <w:lang w:val="en-US"/>
        </w:rPr>
        <w:t>Conclusion</w:t>
      </w:r>
      <w:bookmarkEnd w:id="82"/>
    </w:p>
    <w:p w14:paraId="2F939004" w14:textId="77777777" w:rsidR="00D542A1" w:rsidRPr="00D542A1" w:rsidRDefault="00D542A1" w:rsidP="00BE37E2">
      <w:pPr>
        <w:jc w:val="both"/>
        <w:rPr>
          <w:rFonts w:ascii="Times New Roman" w:hAnsi="Times New Roman" w:cs="Times New Roman"/>
          <w:sz w:val="24"/>
          <w:szCs w:val="24"/>
          <w:lang w:val="en-US"/>
        </w:rPr>
      </w:pPr>
    </w:p>
    <w:p w14:paraId="4B08B907" w14:textId="09EA7FE9"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In conclusion, male migrants have been understudied as a unique category, this study was designed to unpack the multiple layers embedded in the health decline of male migrants. The </w:t>
      </w:r>
      <w:r w:rsidRPr="00D542A1">
        <w:rPr>
          <w:rFonts w:ascii="Times New Roman" w:hAnsi="Times New Roman" w:cs="Times New Roman"/>
          <w:sz w:val="24"/>
          <w:szCs w:val="24"/>
        </w:rPr>
        <w:lastRenderedPageBreak/>
        <w:t>argument has gone beyond assuming the cause of health decline borders on the inability to access healthcare and lifestyle changes. Additionally, the case studies have provided further evidence and incentive for change in the structural factors surrounding migrant’s recruitment, which by the</w:t>
      </w:r>
      <w:r w:rsidR="008952DB">
        <w:rPr>
          <w:rFonts w:ascii="Times New Roman" w:hAnsi="Times New Roman" w:cs="Times New Roman"/>
          <w:sz w:val="24"/>
          <w:szCs w:val="24"/>
        </w:rPr>
        <w:t xml:space="preserve"> way,</w:t>
      </w:r>
      <w:r w:rsidRPr="00D542A1">
        <w:rPr>
          <w:rFonts w:ascii="Times New Roman" w:hAnsi="Times New Roman" w:cs="Times New Roman"/>
          <w:sz w:val="24"/>
          <w:szCs w:val="24"/>
        </w:rPr>
        <w:t xml:space="preserve"> is due for review after decades of using same arrangement, SAWP since 1966 </w:t>
      </w:r>
      <w:r w:rsidRPr="00D542A1">
        <w:rPr>
          <w:rFonts w:ascii="Times New Roman" w:hAnsi="Times New Roman" w:cs="Times New Roman"/>
          <w:sz w:val="24"/>
          <w:szCs w:val="24"/>
        </w:rPr>
        <w:fldChar w:fldCharType="begin"/>
      </w:r>
      <w:r w:rsidRPr="00D542A1">
        <w:rPr>
          <w:rFonts w:ascii="Times New Roman" w:hAnsi="Times New Roman" w:cs="Times New Roman"/>
          <w:sz w:val="24"/>
          <w:szCs w:val="24"/>
        </w:rPr>
        <w:instrText xml:space="preserve"> ADDIN ZOTERO_ITEM CSL_CITATION {"citationID":"HlwoNICt","properties":{"formattedCitation":"(Binford, 2019)","plainCitation":"(Binford, 2019)","noteIndex":0},"citationItems":[{"id":1305,"uris":["http://zotero.org/users/5481489/items/BDUIA38A"],"uri":["http://zotero.org/users/5481489/items/BDUIA38A"],"itemData":{"id":1305,"type":"article-journal","abstract":"This article assesses Temporary Foreign Worker Programs (TFWPs) through the prism of Canada’s Seasonal Agriculture Worker Program (SAWP), often represented as a model because of the many rights granted workers and the multiple forms of protection put in place to protect those rights. A careful study of the extant anthropological and sociological literatures, including the author’s work, reveal the immense power that growers wield over temporary foreign workers from Mexico and various English-speaking Caribbean nations. Two consequences of this power have been rises in productivity and the expansion of the SAWP, to the point that it dominates key sectors of Canadian agriculture. Workers are either prevented from joining unions or punished, via blacklisting in some cases, for forming local bargaining units. The author suggests that all such programs be dismantled. At the least, the question of the future of TFWPs merits open and frank discussion.","container-title":"Dialectical Anthropology","DOI":"http://dx.doi.org.proxy.bib.uottawa.ca/10.1007/s10624-019-09553-6","ISSN":"03044092","issue":"4","language":"English","note":"number-of-pages: 347-366\npublisher-place: Amsterdam, Netherlands\npublisher: Springer Nature B.V.","page":"347-366","source":"ProQuest","title":"Assessing temporary foreign worker programs through the prism of Canada’s Seasonal Agricultural Worker Program: can they be reformed or should they be eliminated?","title-short":"Assessing temporary foreign worker programs through the prism of Canada’s Seasonal Agricultural Worker Program","volume":"43","author":[{"family":"Binford","given":"Arthur Leigh"}],"issued":{"date-parts":[["2019"]]}}}],"schema":"https://github.com/citation-style-language/schema/raw/master/csl-citation.json"} </w:instrText>
      </w:r>
      <w:r w:rsidRPr="00D542A1">
        <w:rPr>
          <w:rFonts w:ascii="Times New Roman" w:hAnsi="Times New Roman" w:cs="Times New Roman"/>
          <w:sz w:val="24"/>
          <w:szCs w:val="24"/>
        </w:rPr>
        <w:fldChar w:fldCharType="separate"/>
      </w:r>
      <w:r w:rsidRPr="00D542A1">
        <w:rPr>
          <w:rFonts w:ascii="Times New Roman" w:hAnsi="Times New Roman" w:cs="Times New Roman"/>
          <w:sz w:val="24"/>
          <w:szCs w:val="24"/>
        </w:rPr>
        <w:t>(Binford, 2019)</w:t>
      </w:r>
      <w:r w:rsidRPr="00D542A1">
        <w:rPr>
          <w:rFonts w:ascii="Times New Roman" w:hAnsi="Times New Roman" w:cs="Times New Roman"/>
          <w:sz w:val="24"/>
          <w:szCs w:val="24"/>
        </w:rPr>
        <w:fldChar w:fldCharType="end"/>
      </w:r>
      <w:r w:rsidRPr="00D542A1">
        <w:rPr>
          <w:rFonts w:ascii="Times New Roman" w:hAnsi="Times New Roman" w:cs="Times New Roman"/>
          <w:sz w:val="24"/>
          <w:szCs w:val="24"/>
        </w:rPr>
        <w:t xml:space="preserve">.  </w:t>
      </w:r>
    </w:p>
    <w:p w14:paraId="28AF17A3" w14:textId="77777777"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 xml:space="preserve">The social determinant of health, hence, was a useful tool in explaining the loss of HIE by immigrants after some years in the destination country. The SDH provided the interactive tools useful in exploring the living and working conditions of the migrants as a contributing factor to their gradual health decline pre pandemic period. This concept was also used in analysing how the spread of the virus was exacerbated because of the same working and living arrangements leaving the migrants very vulnerable. Using the </w:t>
      </w:r>
      <w:proofErr w:type="spellStart"/>
      <w:r w:rsidRPr="00D542A1">
        <w:rPr>
          <w:rFonts w:ascii="Times New Roman" w:hAnsi="Times New Roman" w:cs="Times New Roman"/>
          <w:sz w:val="24"/>
          <w:szCs w:val="24"/>
        </w:rPr>
        <w:t>Dahlgreen</w:t>
      </w:r>
      <w:proofErr w:type="spellEnd"/>
      <w:r w:rsidRPr="00D542A1">
        <w:rPr>
          <w:rFonts w:ascii="Times New Roman" w:hAnsi="Times New Roman" w:cs="Times New Roman"/>
          <w:sz w:val="24"/>
          <w:szCs w:val="24"/>
        </w:rPr>
        <w:t xml:space="preserve"> &amp; Whitehead (1991) Model, the cause of health decline of migrants was further highlighted using the overlapping influences of migration, work, gender, social and economic factors beyond the control of migrants. </w:t>
      </w:r>
    </w:p>
    <w:p w14:paraId="602A96BD" w14:textId="431141EB" w:rsidR="00D542A1" w:rsidRPr="00D542A1" w:rsidRDefault="00D542A1" w:rsidP="00BE37E2">
      <w:pPr>
        <w:spacing w:line="480" w:lineRule="auto"/>
        <w:ind w:firstLine="851"/>
        <w:jc w:val="both"/>
        <w:rPr>
          <w:rFonts w:ascii="Times New Roman" w:hAnsi="Times New Roman" w:cs="Times New Roman"/>
          <w:sz w:val="24"/>
          <w:szCs w:val="24"/>
        </w:rPr>
      </w:pPr>
      <w:r w:rsidRPr="00D542A1">
        <w:rPr>
          <w:rFonts w:ascii="Times New Roman" w:hAnsi="Times New Roman" w:cs="Times New Roman"/>
          <w:sz w:val="24"/>
          <w:szCs w:val="24"/>
        </w:rPr>
        <w:t>Further using the theory of masculinity, the cases highlighted the importance of ‘breadwinner role as the driving force in working in the unsafe conditions, in the farm and meatpacking plants. Th</w:t>
      </w:r>
      <w:r w:rsidR="008952DB">
        <w:rPr>
          <w:rFonts w:ascii="Times New Roman" w:hAnsi="Times New Roman" w:cs="Times New Roman"/>
          <w:sz w:val="24"/>
          <w:szCs w:val="24"/>
        </w:rPr>
        <w:t>ere</w:t>
      </w:r>
      <w:r w:rsidRPr="00D542A1">
        <w:rPr>
          <w:rFonts w:ascii="Times New Roman" w:hAnsi="Times New Roman" w:cs="Times New Roman"/>
          <w:sz w:val="24"/>
          <w:szCs w:val="24"/>
        </w:rPr>
        <w:t xml:space="preserve"> was an evidence that these male migrants are not working in risky jobs to </w:t>
      </w:r>
      <w:r w:rsidR="008952DB">
        <w:rPr>
          <w:rFonts w:ascii="Times New Roman" w:hAnsi="Times New Roman" w:cs="Times New Roman"/>
          <w:sz w:val="24"/>
          <w:szCs w:val="24"/>
        </w:rPr>
        <w:t>exhibit</w:t>
      </w:r>
      <w:r w:rsidRPr="00D542A1">
        <w:rPr>
          <w:rFonts w:ascii="Times New Roman" w:hAnsi="Times New Roman" w:cs="Times New Roman"/>
          <w:sz w:val="24"/>
          <w:szCs w:val="24"/>
        </w:rPr>
        <w:t xml:space="preserve"> inherent aptitude for risk or to prove their manhood but because they want to provide for their family. This was evident in their opposition in working in a risky job and the</w:t>
      </w:r>
      <w:r w:rsidR="008952DB">
        <w:rPr>
          <w:rFonts w:ascii="Times New Roman" w:hAnsi="Times New Roman" w:cs="Times New Roman"/>
          <w:sz w:val="24"/>
          <w:szCs w:val="24"/>
        </w:rPr>
        <w:t>ir struggle</w:t>
      </w:r>
      <w:r w:rsidRPr="00D542A1">
        <w:rPr>
          <w:rFonts w:ascii="Times New Roman" w:hAnsi="Times New Roman" w:cs="Times New Roman"/>
          <w:sz w:val="24"/>
          <w:szCs w:val="24"/>
        </w:rPr>
        <w:t xml:space="preserve"> for ways to reduce such risk. Notably, because they do not have a choice, they had to do the jobs anyway in addition to the terrible living condition.</w:t>
      </w:r>
    </w:p>
    <w:p w14:paraId="5CE5B849" w14:textId="16F7CBAD" w:rsidR="00D542A1" w:rsidRPr="00D542A1" w:rsidRDefault="00D542A1" w:rsidP="00BE37E2">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 xml:space="preserve">Furthermore, using intersectionality, the paper provided a lens to unpack the multiple layers unique to male migrants, using case studies of industries dominated by men. The various lived experiences of these migrant men, their migration status, type of work, living conditions, social and economics factors like integration, wage, government activities, law and policies all intercept </w:t>
      </w:r>
      <w:r w:rsidRPr="00D542A1">
        <w:rPr>
          <w:rFonts w:ascii="Times New Roman" w:hAnsi="Times New Roman" w:cs="Times New Roman"/>
          <w:sz w:val="24"/>
          <w:szCs w:val="24"/>
        </w:rPr>
        <w:lastRenderedPageBreak/>
        <w:t xml:space="preserve">to affect the HIE of male migrants. This is an experience unique to male migrants in the selected study which cast them as vulnerable group and thus deserved to be recognised and protected. </w:t>
      </w:r>
      <w:bookmarkStart w:id="83" w:name="_Hlk71063251"/>
      <w:r w:rsidRPr="00D542A1">
        <w:rPr>
          <w:rFonts w:ascii="Times New Roman" w:hAnsi="Times New Roman" w:cs="Times New Roman"/>
          <w:sz w:val="24"/>
          <w:szCs w:val="24"/>
        </w:rPr>
        <w:t>This is also an important point supporting the ‘breadwinner role’ of men, these male migrants are not working in risky jobs to show inherent aptitude for risk or to prove their manhood but because they want to provide for their family. This was evident in their opposition in working in a risky job and seek</w:t>
      </w:r>
      <w:r w:rsidR="008952DB">
        <w:rPr>
          <w:rFonts w:ascii="Times New Roman" w:hAnsi="Times New Roman" w:cs="Times New Roman"/>
          <w:sz w:val="24"/>
          <w:szCs w:val="24"/>
        </w:rPr>
        <w:t>ing</w:t>
      </w:r>
      <w:r w:rsidRPr="00D542A1">
        <w:rPr>
          <w:rFonts w:ascii="Times New Roman" w:hAnsi="Times New Roman" w:cs="Times New Roman"/>
          <w:sz w:val="24"/>
          <w:szCs w:val="24"/>
        </w:rPr>
        <w:t xml:space="preserve"> for ways to reduce such risk</w:t>
      </w:r>
      <w:r w:rsidR="008952DB">
        <w:rPr>
          <w:rFonts w:ascii="Times New Roman" w:hAnsi="Times New Roman" w:cs="Times New Roman"/>
          <w:sz w:val="24"/>
          <w:szCs w:val="24"/>
        </w:rPr>
        <w:t>.</w:t>
      </w:r>
      <w:r w:rsidRPr="00D542A1">
        <w:rPr>
          <w:rFonts w:ascii="Times New Roman" w:hAnsi="Times New Roman" w:cs="Times New Roman"/>
          <w:sz w:val="24"/>
          <w:szCs w:val="24"/>
        </w:rPr>
        <w:t xml:space="preserve"> </w:t>
      </w:r>
      <w:bookmarkEnd w:id="83"/>
    </w:p>
    <w:p w14:paraId="73DBAA5F" w14:textId="236AF872" w:rsidR="00D542A1" w:rsidRPr="00D542A1" w:rsidRDefault="00D542A1" w:rsidP="008952DB">
      <w:pPr>
        <w:spacing w:line="480" w:lineRule="auto"/>
        <w:ind w:firstLine="709"/>
        <w:jc w:val="both"/>
        <w:rPr>
          <w:rFonts w:ascii="Times New Roman" w:hAnsi="Times New Roman" w:cs="Times New Roman"/>
          <w:sz w:val="24"/>
          <w:szCs w:val="24"/>
        </w:rPr>
      </w:pPr>
      <w:r w:rsidRPr="00D542A1">
        <w:rPr>
          <w:rFonts w:ascii="Times New Roman" w:hAnsi="Times New Roman" w:cs="Times New Roman"/>
          <w:sz w:val="24"/>
          <w:szCs w:val="24"/>
        </w:rPr>
        <w:t>There were some limitations noted during the study because the virus is still evolving, and data base is quite limited, with little or no information on visible minority, the study was based on information from different newspapers and editorials and blogs. The ongoing pandemic and lockdown also made it impossible to conduct interviews at this time which would have been a great addition to this paper. Despite these limitations, the evolving events in the farms and meatpacking plants provided an interesting set of case studies for analysis.</w:t>
      </w:r>
    </w:p>
    <w:p w14:paraId="4D240741" w14:textId="77777777" w:rsidR="00D542A1" w:rsidRPr="00D542A1" w:rsidRDefault="00D542A1" w:rsidP="00BE37E2">
      <w:pPr>
        <w:jc w:val="both"/>
        <w:rPr>
          <w:rFonts w:ascii="Times New Roman" w:eastAsiaTheme="majorEastAsia" w:hAnsi="Times New Roman" w:cs="Times New Roman"/>
          <w:color w:val="2F5496" w:themeColor="accent1" w:themeShade="BF"/>
          <w:sz w:val="24"/>
          <w:szCs w:val="24"/>
          <w:lang w:val="en-US"/>
        </w:rPr>
      </w:pPr>
      <w:r w:rsidRPr="00D542A1">
        <w:rPr>
          <w:rFonts w:ascii="Times New Roman" w:eastAsiaTheme="majorEastAsia" w:hAnsi="Times New Roman" w:cs="Times New Roman"/>
          <w:color w:val="2F5496" w:themeColor="accent1" w:themeShade="BF"/>
          <w:sz w:val="24"/>
          <w:szCs w:val="24"/>
          <w:lang w:val="en-US"/>
        </w:rPr>
        <w:br w:type="page"/>
      </w:r>
    </w:p>
    <w:p w14:paraId="7A37357B"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84" w:name="_Toc72494790"/>
      <w:r w:rsidRPr="00D542A1">
        <w:rPr>
          <w:rFonts w:ascii="Times New Roman" w:eastAsiaTheme="majorEastAsia" w:hAnsi="Times New Roman" w:cs="Times New Roman"/>
          <w:color w:val="2F5496" w:themeColor="accent1" w:themeShade="BF"/>
          <w:sz w:val="24"/>
          <w:szCs w:val="24"/>
          <w:lang w:val="en-US"/>
        </w:rPr>
        <w:lastRenderedPageBreak/>
        <w:t>Appendix - Acronyms</w:t>
      </w:r>
      <w:bookmarkEnd w:id="84"/>
    </w:p>
    <w:p w14:paraId="330BACF7" w14:textId="77777777" w:rsidR="00D542A1" w:rsidRPr="00D542A1" w:rsidRDefault="00D542A1" w:rsidP="00BE37E2">
      <w:pPr>
        <w:jc w:val="both"/>
        <w:rPr>
          <w:rFonts w:ascii="Times New Roman" w:hAnsi="Times New Roman" w:cs="Times New Roman"/>
          <w:sz w:val="24"/>
          <w:szCs w:val="24"/>
          <w:lang w:val="en-US"/>
        </w:rPr>
      </w:pPr>
    </w:p>
    <w:p w14:paraId="61F74E2E" w14:textId="77777777" w:rsidR="00D542A1" w:rsidRPr="00D542A1" w:rsidRDefault="00D542A1" w:rsidP="00BE37E2">
      <w:pPr>
        <w:jc w:val="both"/>
        <w:rPr>
          <w:rFonts w:ascii="Times New Roman" w:hAnsi="Times New Roman" w:cs="Times New Roman"/>
          <w:sz w:val="24"/>
          <w:szCs w:val="24"/>
          <w:lang w:val="en-US"/>
        </w:rPr>
      </w:pPr>
      <w:r w:rsidRPr="00D542A1">
        <w:rPr>
          <w:rFonts w:ascii="Times New Roman" w:hAnsi="Times New Roman" w:cs="Times New Roman"/>
          <w:sz w:val="24"/>
          <w:szCs w:val="24"/>
          <w:lang w:val="en-US"/>
        </w:rPr>
        <w:t>TFWP    Temporary Foreign Worker Program</w:t>
      </w:r>
    </w:p>
    <w:p w14:paraId="677F1B5E" w14:textId="77777777" w:rsidR="00D542A1" w:rsidRPr="00D542A1" w:rsidRDefault="00D542A1" w:rsidP="00BE37E2">
      <w:pPr>
        <w:jc w:val="both"/>
        <w:rPr>
          <w:rFonts w:ascii="Times New Roman" w:hAnsi="Times New Roman" w:cs="Times New Roman"/>
          <w:sz w:val="24"/>
          <w:szCs w:val="24"/>
          <w:lang w:val="en-US"/>
        </w:rPr>
      </w:pPr>
      <w:r w:rsidRPr="00D542A1">
        <w:rPr>
          <w:rFonts w:ascii="Times New Roman" w:hAnsi="Times New Roman" w:cs="Times New Roman"/>
          <w:sz w:val="24"/>
          <w:szCs w:val="24"/>
          <w:lang w:val="en-US"/>
        </w:rPr>
        <w:t>SAWP    Seasonal Agricultural Workers Program</w:t>
      </w:r>
    </w:p>
    <w:p w14:paraId="1249CB21" w14:textId="77777777" w:rsidR="00D542A1" w:rsidRPr="00D542A1" w:rsidRDefault="00D542A1" w:rsidP="00BE37E2">
      <w:pPr>
        <w:jc w:val="both"/>
        <w:rPr>
          <w:rFonts w:ascii="Times New Roman" w:hAnsi="Times New Roman" w:cs="Times New Roman"/>
          <w:sz w:val="24"/>
          <w:szCs w:val="24"/>
          <w:lang w:val="en-US"/>
        </w:rPr>
      </w:pPr>
      <w:r w:rsidRPr="00D542A1">
        <w:rPr>
          <w:rFonts w:ascii="Times New Roman" w:hAnsi="Times New Roman" w:cs="Times New Roman"/>
          <w:sz w:val="24"/>
          <w:szCs w:val="24"/>
          <w:lang w:val="en-US"/>
        </w:rPr>
        <w:t>HIE      Healthy Immigrant Effect</w:t>
      </w:r>
    </w:p>
    <w:p w14:paraId="34026CA2" w14:textId="09229924" w:rsidR="00D542A1" w:rsidRDefault="00D542A1" w:rsidP="00BE37E2">
      <w:pPr>
        <w:jc w:val="both"/>
        <w:rPr>
          <w:rFonts w:ascii="Times New Roman" w:hAnsi="Times New Roman" w:cs="Times New Roman"/>
          <w:sz w:val="24"/>
          <w:szCs w:val="24"/>
          <w:lang w:val="en-US"/>
        </w:rPr>
      </w:pPr>
      <w:r w:rsidRPr="00D542A1">
        <w:rPr>
          <w:rFonts w:ascii="Times New Roman" w:hAnsi="Times New Roman" w:cs="Times New Roman"/>
          <w:sz w:val="24"/>
          <w:szCs w:val="24"/>
          <w:lang w:val="en-US"/>
        </w:rPr>
        <w:t>SDH     Social Determinant of Health</w:t>
      </w:r>
    </w:p>
    <w:p w14:paraId="0F599F3F" w14:textId="671068CE" w:rsidR="00D542A1" w:rsidRDefault="00D542A1" w:rsidP="00BE37E2">
      <w:pPr>
        <w:jc w:val="both"/>
        <w:rPr>
          <w:rFonts w:ascii="Times New Roman" w:hAnsi="Times New Roman" w:cs="Times New Roman"/>
          <w:sz w:val="24"/>
          <w:szCs w:val="24"/>
          <w:lang w:val="en-US"/>
        </w:rPr>
      </w:pPr>
    </w:p>
    <w:p w14:paraId="7B9198CC" w14:textId="10C69EBC" w:rsidR="00D542A1" w:rsidRDefault="00D542A1" w:rsidP="00BE37E2">
      <w:pPr>
        <w:jc w:val="both"/>
        <w:rPr>
          <w:rFonts w:ascii="Times New Roman" w:hAnsi="Times New Roman" w:cs="Times New Roman"/>
          <w:sz w:val="24"/>
          <w:szCs w:val="24"/>
          <w:lang w:val="en-US"/>
        </w:rPr>
      </w:pPr>
    </w:p>
    <w:p w14:paraId="2EC44B18" w14:textId="2530C6ED" w:rsidR="00D542A1" w:rsidRDefault="00D542A1" w:rsidP="00BE37E2">
      <w:pPr>
        <w:jc w:val="both"/>
        <w:rPr>
          <w:rFonts w:ascii="Times New Roman" w:hAnsi="Times New Roman" w:cs="Times New Roman"/>
          <w:sz w:val="24"/>
          <w:szCs w:val="24"/>
          <w:lang w:val="en-US"/>
        </w:rPr>
      </w:pPr>
    </w:p>
    <w:p w14:paraId="5B4C3E00" w14:textId="58C70ACB" w:rsidR="00D542A1" w:rsidRDefault="00D542A1" w:rsidP="00BE37E2">
      <w:pPr>
        <w:jc w:val="both"/>
        <w:rPr>
          <w:rFonts w:ascii="Times New Roman" w:hAnsi="Times New Roman" w:cs="Times New Roman"/>
          <w:sz w:val="24"/>
          <w:szCs w:val="24"/>
          <w:lang w:val="en-US"/>
        </w:rPr>
      </w:pPr>
    </w:p>
    <w:p w14:paraId="66F5E15D" w14:textId="30839459" w:rsidR="00D542A1" w:rsidRDefault="00D542A1" w:rsidP="00BE37E2">
      <w:pPr>
        <w:jc w:val="both"/>
        <w:rPr>
          <w:rFonts w:ascii="Times New Roman" w:hAnsi="Times New Roman" w:cs="Times New Roman"/>
          <w:sz w:val="24"/>
          <w:szCs w:val="24"/>
          <w:lang w:val="en-US"/>
        </w:rPr>
      </w:pPr>
    </w:p>
    <w:p w14:paraId="42DEDCCB" w14:textId="3A7E8238" w:rsidR="00D542A1" w:rsidRDefault="00D542A1" w:rsidP="00BE37E2">
      <w:pPr>
        <w:jc w:val="both"/>
        <w:rPr>
          <w:rFonts w:ascii="Times New Roman" w:hAnsi="Times New Roman" w:cs="Times New Roman"/>
          <w:sz w:val="24"/>
          <w:szCs w:val="24"/>
          <w:lang w:val="en-US"/>
        </w:rPr>
      </w:pPr>
    </w:p>
    <w:p w14:paraId="2256703E" w14:textId="33A38A48" w:rsidR="00D542A1" w:rsidRDefault="00D542A1" w:rsidP="00BE37E2">
      <w:pPr>
        <w:jc w:val="both"/>
        <w:rPr>
          <w:rFonts w:ascii="Times New Roman" w:hAnsi="Times New Roman" w:cs="Times New Roman"/>
          <w:sz w:val="24"/>
          <w:szCs w:val="24"/>
          <w:lang w:val="en-US"/>
        </w:rPr>
      </w:pPr>
    </w:p>
    <w:p w14:paraId="23FCADDF" w14:textId="30426AEF" w:rsidR="00D542A1" w:rsidRDefault="00D542A1" w:rsidP="00BE37E2">
      <w:pPr>
        <w:jc w:val="both"/>
        <w:rPr>
          <w:rFonts w:ascii="Times New Roman" w:hAnsi="Times New Roman" w:cs="Times New Roman"/>
          <w:sz w:val="24"/>
          <w:szCs w:val="24"/>
          <w:lang w:val="en-US"/>
        </w:rPr>
      </w:pPr>
    </w:p>
    <w:p w14:paraId="7F0D2E29" w14:textId="28425792" w:rsidR="00D542A1" w:rsidRDefault="00D542A1" w:rsidP="00BE37E2">
      <w:pPr>
        <w:jc w:val="both"/>
        <w:rPr>
          <w:rFonts w:ascii="Times New Roman" w:hAnsi="Times New Roman" w:cs="Times New Roman"/>
          <w:sz w:val="24"/>
          <w:szCs w:val="24"/>
          <w:lang w:val="en-US"/>
        </w:rPr>
      </w:pPr>
    </w:p>
    <w:p w14:paraId="1426471F" w14:textId="4490937E" w:rsidR="00D542A1" w:rsidRDefault="00D542A1" w:rsidP="00BE37E2">
      <w:pPr>
        <w:jc w:val="both"/>
        <w:rPr>
          <w:rFonts w:ascii="Times New Roman" w:hAnsi="Times New Roman" w:cs="Times New Roman"/>
          <w:sz w:val="24"/>
          <w:szCs w:val="24"/>
          <w:lang w:val="en-US"/>
        </w:rPr>
      </w:pPr>
    </w:p>
    <w:p w14:paraId="797731E5" w14:textId="0409A913" w:rsidR="00D542A1" w:rsidRDefault="00D542A1" w:rsidP="00BE37E2">
      <w:pPr>
        <w:jc w:val="both"/>
        <w:rPr>
          <w:rFonts w:ascii="Times New Roman" w:hAnsi="Times New Roman" w:cs="Times New Roman"/>
          <w:sz w:val="24"/>
          <w:szCs w:val="24"/>
          <w:lang w:val="en-US"/>
        </w:rPr>
      </w:pPr>
    </w:p>
    <w:p w14:paraId="01A7FDE5" w14:textId="615C59F7" w:rsidR="00D542A1" w:rsidRDefault="00D542A1" w:rsidP="00BE37E2">
      <w:pPr>
        <w:jc w:val="both"/>
        <w:rPr>
          <w:rFonts w:ascii="Times New Roman" w:hAnsi="Times New Roman" w:cs="Times New Roman"/>
          <w:sz w:val="24"/>
          <w:szCs w:val="24"/>
          <w:lang w:val="en-US"/>
        </w:rPr>
      </w:pPr>
    </w:p>
    <w:p w14:paraId="2EF44860" w14:textId="36BAC16F" w:rsidR="00D542A1" w:rsidRDefault="00D542A1" w:rsidP="00BE37E2">
      <w:pPr>
        <w:jc w:val="both"/>
        <w:rPr>
          <w:rFonts w:ascii="Times New Roman" w:hAnsi="Times New Roman" w:cs="Times New Roman"/>
          <w:sz w:val="24"/>
          <w:szCs w:val="24"/>
          <w:lang w:val="en-US"/>
        </w:rPr>
      </w:pPr>
    </w:p>
    <w:p w14:paraId="359B8323" w14:textId="5E358E63" w:rsidR="00D542A1" w:rsidRDefault="00D542A1" w:rsidP="00BE37E2">
      <w:pPr>
        <w:jc w:val="both"/>
        <w:rPr>
          <w:rFonts w:ascii="Times New Roman" w:hAnsi="Times New Roman" w:cs="Times New Roman"/>
          <w:sz w:val="24"/>
          <w:szCs w:val="24"/>
          <w:lang w:val="en-US"/>
        </w:rPr>
      </w:pPr>
    </w:p>
    <w:p w14:paraId="47A45769" w14:textId="11E56057" w:rsidR="00D542A1" w:rsidRDefault="00D542A1" w:rsidP="00BE37E2">
      <w:pPr>
        <w:jc w:val="both"/>
        <w:rPr>
          <w:rFonts w:ascii="Times New Roman" w:hAnsi="Times New Roman" w:cs="Times New Roman"/>
          <w:sz w:val="24"/>
          <w:szCs w:val="24"/>
          <w:lang w:val="en-US"/>
        </w:rPr>
      </w:pPr>
    </w:p>
    <w:p w14:paraId="27ADAF4A" w14:textId="2C76F2CD" w:rsidR="00D542A1" w:rsidRDefault="00D542A1" w:rsidP="00BE37E2">
      <w:pPr>
        <w:jc w:val="both"/>
        <w:rPr>
          <w:rFonts w:ascii="Times New Roman" w:hAnsi="Times New Roman" w:cs="Times New Roman"/>
          <w:sz w:val="24"/>
          <w:szCs w:val="24"/>
          <w:lang w:val="en-US"/>
        </w:rPr>
      </w:pPr>
    </w:p>
    <w:p w14:paraId="6A4D6049" w14:textId="7A877F60" w:rsidR="00D542A1" w:rsidRDefault="00D542A1" w:rsidP="00BE37E2">
      <w:pPr>
        <w:jc w:val="both"/>
        <w:rPr>
          <w:rFonts w:ascii="Times New Roman" w:hAnsi="Times New Roman" w:cs="Times New Roman"/>
          <w:sz w:val="24"/>
          <w:szCs w:val="24"/>
          <w:lang w:val="en-US"/>
        </w:rPr>
      </w:pPr>
    </w:p>
    <w:p w14:paraId="3B2E827B" w14:textId="2A8C91FF" w:rsidR="00D542A1" w:rsidRDefault="00D542A1" w:rsidP="00BE37E2">
      <w:pPr>
        <w:jc w:val="both"/>
        <w:rPr>
          <w:rFonts w:ascii="Times New Roman" w:hAnsi="Times New Roman" w:cs="Times New Roman"/>
          <w:sz w:val="24"/>
          <w:szCs w:val="24"/>
          <w:lang w:val="en-US"/>
        </w:rPr>
      </w:pPr>
    </w:p>
    <w:p w14:paraId="6DC9A100" w14:textId="708C351F" w:rsidR="00D542A1" w:rsidRDefault="00D542A1" w:rsidP="00BE37E2">
      <w:pPr>
        <w:jc w:val="both"/>
        <w:rPr>
          <w:rFonts w:ascii="Times New Roman" w:hAnsi="Times New Roman" w:cs="Times New Roman"/>
          <w:sz w:val="24"/>
          <w:szCs w:val="24"/>
          <w:lang w:val="en-US"/>
        </w:rPr>
      </w:pPr>
    </w:p>
    <w:p w14:paraId="4DDEEC3C" w14:textId="2FBD1293" w:rsidR="00D542A1" w:rsidRDefault="00D542A1" w:rsidP="00BE37E2">
      <w:pPr>
        <w:jc w:val="both"/>
        <w:rPr>
          <w:rFonts w:ascii="Times New Roman" w:hAnsi="Times New Roman" w:cs="Times New Roman"/>
          <w:sz w:val="24"/>
          <w:szCs w:val="24"/>
          <w:lang w:val="en-US"/>
        </w:rPr>
      </w:pPr>
    </w:p>
    <w:p w14:paraId="037E56B7" w14:textId="6C6FC049" w:rsidR="00D542A1" w:rsidRDefault="00D542A1" w:rsidP="00BE37E2">
      <w:pPr>
        <w:jc w:val="both"/>
        <w:rPr>
          <w:rFonts w:ascii="Times New Roman" w:hAnsi="Times New Roman" w:cs="Times New Roman"/>
          <w:sz w:val="24"/>
          <w:szCs w:val="24"/>
          <w:lang w:val="en-US"/>
        </w:rPr>
      </w:pPr>
    </w:p>
    <w:p w14:paraId="16309500" w14:textId="72F895A4" w:rsidR="00D542A1" w:rsidRDefault="00D542A1" w:rsidP="00BE37E2">
      <w:pPr>
        <w:jc w:val="both"/>
        <w:rPr>
          <w:rFonts w:ascii="Times New Roman" w:hAnsi="Times New Roman" w:cs="Times New Roman"/>
          <w:sz w:val="24"/>
          <w:szCs w:val="24"/>
          <w:lang w:val="en-US"/>
        </w:rPr>
      </w:pPr>
    </w:p>
    <w:p w14:paraId="2D97D14B" w14:textId="77777777" w:rsidR="00D542A1" w:rsidRPr="00D542A1" w:rsidRDefault="00D542A1" w:rsidP="00BE37E2">
      <w:pPr>
        <w:jc w:val="both"/>
        <w:rPr>
          <w:rFonts w:ascii="Times New Roman" w:eastAsiaTheme="majorEastAsia" w:hAnsi="Times New Roman" w:cs="Times New Roman"/>
          <w:color w:val="2F5496" w:themeColor="accent1" w:themeShade="BF"/>
          <w:sz w:val="24"/>
          <w:szCs w:val="24"/>
          <w:lang w:val="en-US"/>
        </w:rPr>
      </w:pPr>
    </w:p>
    <w:p w14:paraId="5C0E4CCE" w14:textId="77777777" w:rsidR="00D542A1" w:rsidRPr="00D542A1" w:rsidRDefault="00D542A1" w:rsidP="00BE37E2">
      <w:pPr>
        <w:keepNext/>
        <w:keepLines/>
        <w:spacing w:before="240" w:after="0"/>
        <w:jc w:val="both"/>
        <w:outlineLvl w:val="0"/>
        <w:rPr>
          <w:rFonts w:ascii="Times New Roman" w:eastAsiaTheme="majorEastAsia" w:hAnsi="Times New Roman" w:cs="Times New Roman"/>
          <w:color w:val="2F5496" w:themeColor="accent1" w:themeShade="BF"/>
          <w:sz w:val="24"/>
          <w:szCs w:val="24"/>
          <w:lang w:val="en-US"/>
        </w:rPr>
      </w:pPr>
      <w:bookmarkStart w:id="85" w:name="_Toc72494791"/>
      <w:bookmarkEnd w:id="1"/>
      <w:r w:rsidRPr="00D542A1">
        <w:rPr>
          <w:rFonts w:ascii="Times New Roman" w:eastAsiaTheme="majorEastAsia" w:hAnsi="Times New Roman" w:cs="Times New Roman"/>
          <w:color w:val="2F5496" w:themeColor="accent1" w:themeShade="BF"/>
          <w:sz w:val="24"/>
          <w:szCs w:val="24"/>
          <w:lang w:val="en-US"/>
        </w:rPr>
        <w:lastRenderedPageBreak/>
        <w:t>Bibliography</w:t>
      </w:r>
      <w:bookmarkEnd w:id="85"/>
    </w:p>
    <w:p w14:paraId="13011C11" w14:textId="59CA03CE" w:rsidR="00D542A1" w:rsidRDefault="00D542A1" w:rsidP="00A46E23">
      <w:pPr>
        <w:jc w:val="both"/>
      </w:pPr>
    </w:p>
    <w:p w14:paraId="7C57F73B"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fldChar w:fldCharType="begin"/>
      </w:r>
      <w:r w:rsidRPr="00A46E23">
        <w:rPr>
          <w:rFonts w:ascii="Times New Roman" w:hAnsi="Times New Roman" w:cs="Times New Roman"/>
          <w:sz w:val="24"/>
          <w:szCs w:val="24"/>
        </w:rPr>
        <w:instrText xml:space="preserve"> ADDIN ZOTERO_BIBL {"uncited":[],"omitted":[],"custom":[]} CSL_BIBLIOGRAPHY </w:instrText>
      </w:r>
      <w:r w:rsidRPr="00A46E23">
        <w:rPr>
          <w:rFonts w:ascii="Times New Roman" w:hAnsi="Times New Roman" w:cs="Times New Roman"/>
          <w:sz w:val="24"/>
          <w:szCs w:val="24"/>
        </w:rPr>
        <w:fldChar w:fldCharType="separate"/>
      </w:r>
      <w:r w:rsidRPr="00A46E23">
        <w:rPr>
          <w:rFonts w:ascii="Times New Roman" w:hAnsi="Times New Roman" w:cs="Times New Roman"/>
          <w:sz w:val="24"/>
          <w:szCs w:val="24"/>
        </w:rPr>
        <w:t xml:space="preserve">Ahmed, S., Shommu, N. S., Rumana, N., Barron, G. R. S., Wicklum, S., &amp; Turin, T. C. (2016). Barriers to Access of Primary Healthcare by Immigrant Populations in Canada: A Literature Review. </w:t>
      </w:r>
      <w:r w:rsidRPr="00A46E23">
        <w:rPr>
          <w:rFonts w:ascii="Times New Roman" w:hAnsi="Times New Roman" w:cs="Times New Roman"/>
          <w:i/>
          <w:iCs/>
          <w:sz w:val="24"/>
          <w:szCs w:val="24"/>
        </w:rPr>
        <w:t>Journal of Immigrant and Minority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w:t>
      </w:r>
      <w:r w:rsidRPr="00A46E23">
        <w:rPr>
          <w:rFonts w:ascii="Times New Roman" w:hAnsi="Times New Roman" w:cs="Times New Roman"/>
          <w:sz w:val="24"/>
          <w:szCs w:val="24"/>
        </w:rPr>
        <w:t>(6), 1522–1540. https://doi.org/10.1007/s10903-015-0276-z</w:t>
      </w:r>
    </w:p>
    <w:p w14:paraId="55B49EC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Ambrosini, M., &amp; Barone, C. (2007). </w:t>
      </w:r>
      <w:r w:rsidRPr="00A46E23">
        <w:rPr>
          <w:rFonts w:ascii="Times New Roman" w:hAnsi="Times New Roman" w:cs="Times New Roman"/>
          <w:i/>
          <w:iCs/>
          <w:sz w:val="24"/>
          <w:szCs w:val="24"/>
        </w:rPr>
        <w:t>Employment and working conditions of migrant workers</w:t>
      </w:r>
      <w:r w:rsidRPr="00A46E23">
        <w:rPr>
          <w:rFonts w:ascii="Times New Roman" w:hAnsi="Times New Roman" w:cs="Times New Roman"/>
          <w:sz w:val="24"/>
          <w:szCs w:val="24"/>
        </w:rPr>
        <w:t>. Eurofound. https://www.eurofound.europa.eu/publications/report/2007/employment-and-working-conditions-of-migrant-workers</w:t>
      </w:r>
    </w:p>
    <w:p w14:paraId="0D3BF40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Barnetson, B. (2013). </w:t>
      </w:r>
      <w:r w:rsidRPr="00A46E23">
        <w:rPr>
          <w:rFonts w:ascii="Times New Roman" w:hAnsi="Times New Roman" w:cs="Times New Roman"/>
          <w:i/>
          <w:iCs/>
          <w:sz w:val="24"/>
          <w:szCs w:val="24"/>
        </w:rPr>
        <w:t>Making It Home: Alberta Workplace Injuries and the Union Safety Dividend</w:t>
      </w:r>
      <w:r w:rsidRPr="00A46E23">
        <w:rPr>
          <w:rFonts w:ascii="Times New Roman" w:hAnsi="Times New Roman" w:cs="Times New Roman"/>
          <w:sz w:val="24"/>
          <w:szCs w:val="24"/>
        </w:rPr>
        <w:t>. Parkland Institute. https://www.parklandinstitute.ca/making_it_home</w:t>
      </w:r>
    </w:p>
    <w:p w14:paraId="500CE80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Barrow, T. (2020, May 22). </w:t>
      </w:r>
      <w:r w:rsidRPr="00A46E23">
        <w:rPr>
          <w:rFonts w:ascii="Times New Roman" w:hAnsi="Times New Roman" w:cs="Times New Roman"/>
          <w:i/>
          <w:iCs/>
          <w:sz w:val="24"/>
          <w:szCs w:val="24"/>
        </w:rPr>
        <w:t>JBS meat packing plant in Brooks resumes full operations</w:t>
      </w:r>
      <w:r w:rsidRPr="00A46E23">
        <w:rPr>
          <w:rFonts w:ascii="Times New Roman" w:hAnsi="Times New Roman" w:cs="Times New Roman"/>
          <w:sz w:val="24"/>
          <w:szCs w:val="24"/>
        </w:rPr>
        <w:t>. Calgary. https://calgary.ctvnews.ca/jbs-meat-packing-plant-in-brooks-resumes-full-operations-1.4950038</w:t>
      </w:r>
    </w:p>
    <w:p w14:paraId="1A2D9B8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Basok, T. (2002). Vulnerable Labour in a Vulnerable Sector. In </w:t>
      </w:r>
      <w:r w:rsidRPr="00A46E23">
        <w:rPr>
          <w:rFonts w:ascii="Times New Roman" w:hAnsi="Times New Roman" w:cs="Times New Roman"/>
          <w:i/>
          <w:iCs/>
          <w:sz w:val="24"/>
          <w:szCs w:val="24"/>
        </w:rPr>
        <w:t>Tortillas and Tomatoes</w:t>
      </w:r>
      <w:r w:rsidRPr="00A46E23">
        <w:rPr>
          <w:rFonts w:ascii="Times New Roman" w:hAnsi="Times New Roman" w:cs="Times New Roman"/>
          <w:sz w:val="24"/>
          <w:szCs w:val="24"/>
        </w:rPr>
        <w:t xml:space="preserve"> (pp. 58–68). McGill-Queen’s University Press; JSTOR. http://www.jstor.org/stable/j.ctt8174r.7</w:t>
      </w:r>
    </w:p>
    <w:p w14:paraId="62B434C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Baum, K. B., &amp; Grant, T. (2020, August 17). Migrant farm workers call for safety from reprisals for speaking out; The accounts are emblematic of long-standing issues within the TFW program, which the federal government has admitted is flawed and puts too much power in the hands of employers. </w:t>
      </w:r>
      <w:r w:rsidRPr="00A46E23">
        <w:rPr>
          <w:rFonts w:ascii="Times New Roman" w:hAnsi="Times New Roman" w:cs="Times New Roman"/>
          <w:i/>
          <w:iCs/>
          <w:sz w:val="24"/>
          <w:szCs w:val="24"/>
        </w:rPr>
        <w:t>The Globe and Mail (Breaking News)</w:t>
      </w:r>
      <w:r w:rsidRPr="00A46E23">
        <w:rPr>
          <w:rFonts w:ascii="Times New Roman" w:hAnsi="Times New Roman" w:cs="Times New Roman"/>
          <w:sz w:val="24"/>
          <w:szCs w:val="24"/>
        </w:rPr>
        <w:t>. http://global.factiva.com/redir/default.aspx?P=sa&amp;an=GMBN000020200817eg8g000gp&amp;cat=a&amp;ep=ASE</w:t>
      </w:r>
    </w:p>
    <w:p w14:paraId="3658981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Beaumont, H. (2020). </w:t>
      </w:r>
      <w:r w:rsidRPr="00A46E23">
        <w:rPr>
          <w:rFonts w:ascii="Times New Roman" w:hAnsi="Times New Roman" w:cs="Times New Roman"/>
          <w:i/>
          <w:iCs/>
          <w:sz w:val="24"/>
          <w:szCs w:val="24"/>
        </w:rPr>
        <w:t>Coronavirus sheds light on Canada’s poor treatment of migrant workers</w:t>
      </w:r>
      <w:r w:rsidRPr="00A46E23">
        <w:rPr>
          <w:rFonts w:ascii="Times New Roman" w:hAnsi="Times New Roman" w:cs="Times New Roman"/>
          <w:sz w:val="24"/>
          <w:szCs w:val="24"/>
        </w:rPr>
        <w:t>. The Guardian. http://www.theguardian.com/world/2020/jul/20/canada-migrant-farm-workers-coronavirus</w:t>
      </w:r>
    </w:p>
    <w:p w14:paraId="7FD0A617" w14:textId="77777777" w:rsidR="00BE37E2" w:rsidRPr="00E67C9A" w:rsidRDefault="00BE37E2" w:rsidP="00A46E23">
      <w:pPr>
        <w:pStyle w:val="Bibliography"/>
        <w:jc w:val="both"/>
        <w:rPr>
          <w:rFonts w:ascii="Times New Roman" w:hAnsi="Times New Roman" w:cs="Times New Roman"/>
          <w:sz w:val="24"/>
          <w:szCs w:val="24"/>
          <w:lang w:val="fr-FR"/>
        </w:rPr>
      </w:pPr>
      <w:r w:rsidRPr="00A46E23">
        <w:rPr>
          <w:rFonts w:ascii="Times New Roman" w:hAnsi="Times New Roman" w:cs="Times New Roman"/>
          <w:sz w:val="24"/>
          <w:szCs w:val="24"/>
        </w:rPr>
        <w:t xml:space="preserve">Bejan, R., &amp; Allain, K. (2021). Profits trump COVID-19 protections for migrant seafood workers in Atlantic Canada. </w:t>
      </w:r>
      <w:r w:rsidRPr="00E67C9A">
        <w:rPr>
          <w:rFonts w:ascii="Times New Roman" w:hAnsi="Times New Roman" w:cs="Times New Roman"/>
          <w:i/>
          <w:iCs/>
          <w:sz w:val="24"/>
          <w:szCs w:val="24"/>
          <w:lang w:val="fr-FR"/>
        </w:rPr>
        <w:t>OHS Canada Magazine</w:t>
      </w:r>
      <w:r w:rsidRPr="00E67C9A">
        <w:rPr>
          <w:rFonts w:ascii="Times New Roman" w:hAnsi="Times New Roman" w:cs="Times New Roman"/>
          <w:sz w:val="24"/>
          <w:szCs w:val="24"/>
          <w:lang w:val="fr-FR"/>
        </w:rPr>
        <w:t>. https://www.ohscanada.com/features/profits-trump-covid-19-protections-migrant-seafood-workers-atlantic-canada/</w:t>
      </w:r>
    </w:p>
    <w:p w14:paraId="0280AF7A"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t>Benach</w:t>
      </w:r>
      <w:proofErr w:type="spellEnd"/>
      <w:r w:rsidRPr="00E67C9A">
        <w:rPr>
          <w:rFonts w:ascii="Times New Roman" w:hAnsi="Times New Roman" w:cs="Times New Roman"/>
          <w:sz w:val="24"/>
          <w:szCs w:val="24"/>
          <w:lang w:val="fr-FR"/>
        </w:rPr>
        <w:t xml:space="preserve">, J., Muntaner, C., </w:t>
      </w:r>
      <w:proofErr w:type="spellStart"/>
      <w:r w:rsidRPr="00E67C9A">
        <w:rPr>
          <w:rFonts w:ascii="Times New Roman" w:hAnsi="Times New Roman" w:cs="Times New Roman"/>
          <w:sz w:val="24"/>
          <w:szCs w:val="24"/>
          <w:lang w:val="fr-FR"/>
        </w:rPr>
        <w:t>Delclos</w:t>
      </w:r>
      <w:proofErr w:type="spellEnd"/>
      <w:r w:rsidRPr="00E67C9A">
        <w:rPr>
          <w:rFonts w:ascii="Times New Roman" w:hAnsi="Times New Roman" w:cs="Times New Roman"/>
          <w:sz w:val="24"/>
          <w:szCs w:val="24"/>
          <w:lang w:val="fr-FR"/>
        </w:rPr>
        <w:t xml:space="preserve">, C., </w:t>
      </w:r>
      <w:proofErr w:type="spellStart"/>
      <w:r w:rsidRPr="00E67C9A">
        <w:rPr>
          <w:rFonts w:ascii="Times New Roman" w:hAnsi="Times New Roman" w:cs="Times New Roman"/>
          <w:sz w:val="24"/>
          <w:szCs w:val="24"/>
          <w:lang w:val="fr-FR"/>
        </w:rPr>
        <w:t>Menéndez</w:t>
      </w:r>
      <w:proofErr w:type="spellEnd"/>
      <w:r w:rsidRPr="00E67C9A">
        <w:rPr>
          <w:rFonts w:ascii="Times New Roman" w:hAnsi="Times New Roman" w:cs="Times New Roman"/>
          <w:sz w:val="24"/>
          <w:szCs w:val="24"/>
          <w:lang w:val="fr-FR"/>
        </w:rPr>
        <w:t xml:space="preserve">, M., &amp; </w:t>
      </w:r>
      <w:proofErr w:type="spellStart"/>
      <w:r w:rsidRPr="00E67C9A">
        <w:rPr>
          <w:rFonts w:ascii="Times New Roman" w:hAnsi="Times New Roman" w:cs="Times New Roman"/>
          <w:sz w:val="24"/>
          <w:szCs w:val="24"/>
          <w:lang w:val="fr-FR"/>
        </w:rPr>
        <w:t>Ronquillo</w:t>
      </w:r>
      <w:proofErr w:type="spellEnd"/>
      <w:r w:rsidRPr="00E67C9A">
        <w:rPr>
          <w:rFonts w:ascii="Times New Roman" w:hAnsi="Times New Roman" w:cs="Times New Roman"/>
          <w:sz w:val="24"/>
          <w:szCs w:val="24"/>
          <w:lang w:val="fr-FR"/>
        </w:rPr>
        <w:t xml:space="preserve">, C. (2011). </w:t>
      </w:r>
      <w:r w:rsidRPr="00A46E23">
        <w:rPr>
          <w:rFonts w:ascii="Times New Roman" w:hAnsi="Times New Roman" w:cs="Times New Roman"/>
          <w:sz w:val="24"/>
          <w:szCs w:val="24"/>
        </w:rPr>
        <w:t xml:space="preserve">Migration and “Low-Skilled” Workers in Destination Countries. </w:t>
      </w:r>
      <w:r w:rsidRPr="00A46E23">
        <w:rPr>
          <w:rFonts w:ascii="Times New Roman" w:hAnsi="Times New Roman" w:cs="Times New Roman"/>
          <w:i/>
          <w:iCs/>
          <w:sz w:val="24"/>
          <w:szCs w:val="24"/>
        </w:rPr>
        <w:t>PLOS Medicine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8</w:t>
      </w:r>
      <w:r w:rsidRPr="00A46E23">
        <w:rPr>
          <w:rFonts w:ascii="Times New Roman" w:hAnsi="Times New Roman" w:cs="Times New Roman"/>
          <w:sz w:val="24"/>
          <w:szCs w:val="24"/>
        </w:rPr>
        <w:t>(6), e1001043. https://doi.org/10.1371/journal.pmed.1001043</w:t>
      </w:r>
    </w:p>
    <w:p w14:paraId="1DD89D2F" w14:textId="6D0A600B"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Binford, A. L. (2019). Assessing temporary foreign worker programs through the prism of Canada’s Seasonal Agricultural Worker Program: Can they be </w:t>
      </w:r>
      <w:r w:rsidR="00890D96" w:rsidRPr="00A46E23">
        <w:rPr>
          <w:rFonts w:ascii="Times New Roman" w:hAnsi="Times New Roman" w:cs="Times New Roman"/>
          <w:sz w:val="24"/>
          <w:szCs w:val="24"/>
        </w:rPr>
        <w:t>reformed,</w:t>
      </w:r>
      <w:r w:rsidRPr="00A46E23">
        <w:rPr>
          <w:rFonts w:ascii="Times New Roman" w:hAnsi="Times New Roman" w:cs="Times New Roman"/>
          <w:sz w:val="24"/>
          <w:szCs w:val="24"/>
        </w:rPr>
        <w:t xml:space="preserve"> or should they be eliminated? </w:t>
      </w:r>
      <w:r w:rsidRPr="00A46E23">
        <w:rPr>
          <w:rFonts w:ascii="Times New Roman" w:hAnsi="Times New Roman" w:cs="Times New Roman"/>
          <w:i/>
          <w:iCs/>
          <w:sz w:val="24"/>
          <w:szCs w:val="24"/>
        </w:rPr>
        <w:t>Dialectical Anthropology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43</w:t>
      </w:r>
      <w:r w:rsidRPr="00A46E23">
        <w:rPr>
          <w:rFonts w:ascii="Times New Roman" w:hAnsi="Times New Roman" w:cs="Times New Roman"/>
          <w:sz w:val="24"/>
          <w:szCs w:val="24"/>
        </w:rPr>
        <w:t>(4), 347–366. http://dx.doi.org.proxy.bib.uottawa.ca/10.1007/s10624-019-09553-6</w:t>
      </w:r>
    </w:p>
    <w:p w14:paraId="1A12E0F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Bogart, N. (2020, June 29). </w:t>
      </w:r>
      <w:r w:rsidRPr="00A46E23">
        <w:rPr>
          <w:rFonts w:ascii="Times New Roman" w:hAnsi="Times New Roman" w:cs="Times New Roman"/>
          <w:i/>
          <w:iCs/>
          <w:sz w:val="24"/>
          <w:szCs w:val="24"/>
        </w:rPr>
        <w:t>Advocates demand Ontario shut down farms as COVID-19 cases soar among workers</w:t>
      </w:r>
      <w:r w:rsidRPr="00A46E23">
        <w:rPr>
          <w:rFonts w:ascii="Times New Roman" w:hAnsi="Times New Roman" w:cs="Times New Roman"/>
          <w:sz w:val="24"/>
          <w:szCs w:val="24"/>
        </w:rPr>
        <w:t>. Coronavirus. https://www.ctvnews.ca/health/coronavirus/advocates-demand-ontario-shut-down-farms-as-covid-19-cases-soar-among-workers-1.5004897</w:t>
      </w:r>
    </w:p>
    <w:p w14:paraId="614CC90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Boswell, R., Macdonald, M., Jedwab, J., Weinfeld, M., Ziniak, M., Garner, L., Siemiatycki, M., Go, A., Nipp, D., Stanley, T. J., Schwinghamer, S., Ghosh, R., Armony, V., &amp; Rohani, F. (2019). </w:t>
      </w:r>
      <w:r w:rsidRPr="00A46E23">
        <w:rPr>
          <w:rFonts w:ascii="Times New Roman" w:hAnsi="Times New Roman" w:cs="Times New Roman"/>
          <w:i/>
          <w:iCs/>
          <w:sz w:val="24"/>
          <w:szCs w:val="24"/>
        </w:rPr>
        <w:t>Our Immigration Saga: Canada@150</w:t>
      </w:r>
      <w:r w:rsidRPr="00A46E23">
        <w:rPr>
          <w:rFonts w:ascii="Times New Roman" w:hAnsi="Times New Roman" w:cs="Times New Roman"/>
          <w:sz w:val="24"/>
          <w:szCs w:val="24"/>
        </w:rPr>
        <w:t>. 65.</w:t>
      </w:r>
    </w:p>
    <w:p w14:paraId="59CA04D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Bourgeault, I. L., Wrede, S., Benoit, C., &amp; Neiterman, E. (2016). </w:t>
      </w:r>
      <w:r w:rsidRPr="00A46E23">
        <w:rPr>
          <w:rFonts w:ascii="Times New Roman" w:hAnsi="Times New Roman" w:cs="Times New Roman"/>
          <w:i/>
          <w:iCs/>
          <w:sz w:val="24"/>
          <w:szCs w:val="24"/>
        </w:rPr>
        <w:t>Professions and the migration of expert labour: Towards an intersectional analysis of transnational mobility patterns and integration pathways of health professionals</w:t>
      </w:r>
      <w:r w:rsidRPr="00A46E23">
        <w:rPr>
          <w:rFonts w:ascii="Times New Roman" w:hAnsi="Times New Roman" w:cs="Times New Roman"/>
          <w:sz w:val="24"/>
          <w:szCs w:val="24"/>
        </w:rPr>
        <w:t>. 18.</w:t>
      </w:r>
    </w:p>
    <w:p w14:paraId="36277A8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Brabete, A. C. (2017a). Examining Migrants’ Health From a Gender Perspective. In </w:t>
      </w:r>
      <w:r w:rsidRPr="00A46E23">
        <w:rPr>
          <w:rFonts w:ascii="Times New Roman" w:hAnsi="Times New Roman" w:cs="Times New Roman"/>
          <w:i/>
          <w:iCs/>
          <w:sz w:val="24"/>
          <w:szCs w:val="24"/>
        </w:rPr>
        <w:t>The Psychology of Gender and Health</w:t>
      </w:r>
      <w:r w:rsidRPr="00A46E23">
        <w:rPr>
          <w:rFonts w:ascii="Times New Roman" w:hAnsi="Times New Roman" w:cs="Times New Roman"/>
          <w:sz w:val="24"/>
          <w:szCs w:val="24"/>
        </w:rPr>
        <w:t xml:space="preserve"> (pp. 231–250). Elsevier. https://doi.org/10.1016/B978-0-12-803864-2.00008-0</w:t>
      </w:r>
    </w:p>
    <w:p w14:paraId="2394542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Brabete, A. C. (2017b). Examining Migrants’ Health From a Gender Perspective. In </w:t>
      </w:r>
      <w:r w:rsidRPr="00A46E23">
        <w:rPr>
          <w:rFonts w:ascii="Times New Roman" w:hAnsi="Times New Roman" w:cs="Times New Roman"/>
          <w:i/>
          <w:iCs/>
          <w:sz w:val="24"/>
          <w:szCs w:val="24"/>
        </w:rPr>
        <w:t>The Psychology of Gender and Health</w:t>
      </w:r>
      <w:r w:rsidRPr="00A46E23">
        <w:rPr>
          <w:rFonts w:ascii="Times New Roman" w:hAnsi="Times New Roman" w:cs="Times New Roman"/>
          <w:sz w:val="24"/>
          <w:szCs w:val="24"/>
        </w:rPr>
        <w:t xml:space="preserve"> (pp. 231–250). Elsevier. https://doi.org/10.1016/B978-0-12-803864-2.00008-0</w:t>
      </w:r>
    </w:p>
    <w:p w14:paraId="0C6D1E1C"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Brown, T. (2021). </w:t>
      </w:r>
      <w:r w:rsidRPr="00A46E23">
        <w:rPr>
          <w:rFonts w:ascii="Times New Roman" w:hAnsi="Times New Roman" w:cs="Times New Roman"/>
          <w:i/>
          <w:iCs/>
          <w:sz w:val="24"/>
          <w:szCs w:val="24"/>
        </w:rPr>
        <w:t>Thousands of migrant workers labouring on Canada’s farms in unsafe conditions amid deadly COVID-19 third wave</w:t>
      </w:r>
      <w:r w:rsidRPr="00A46E23">
        <w:rPr>
          <w:rFonts w:ascii="Times New Roman" w:hAnsi="Times New Roman" w:cs="Times New Roman"/>
          <w:sz w:val="24"/>
          <w:szCs w:val="24"/>
        </w:rPr>
        <w:t>. World Socialist Web Site. https://www.wsws.org/en/articles/2021/04/29/cami-a29.html</w:t>
      </w:r>
    </w:p>
    <w:p w14:paraId="5128C5A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Budworth, M.-H., Rose, A., &amp; Mann, S. (2017). </w:t>
      </w:r>
      <w:r w:rsidRPr="00A46E23">
        <w:rPr>
          <w:rFonts w:ascii="Times New Roman" w:hAnsi="Times New Roman" w:cs="Times New Roman"/>
          <w:i/>
          <w:iCs/>
          <w:sz w:val="24"/>
          <w:szCs w:val="24"/>
        </w:rPr>
        <w:t>Report on the Seasonal Agricultural  Worker Program</w:t>
      </w:r>
      <w:r w:rsidRPr="00A46E23">
        <w:rPr>
          <w:rFonts w:ascii="Times New Roman" w:hAnsi="Times New Roman" w:cs="Times New Roman"/>
          <w:sz w:val="24"/>
          <w:szCs w:val="24"/>
        </w:rPr>
        <w:t>.</w:t>
      </w:r>
    </w:p>
    <w:p w14:paraId="24337B5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Cameron, B., Kaatz, V., &amp; Morrison, C. (2020). </w:t>
      </w:r>
      <w:r w:rsidRPr="00A46E23">
        <w:rPr>
          <w:rFonts w:ascii="Times New Roman" w:hAnsi="Times New Roman" w:cs="Times New Roman"/>
          <w:i/>
          <w:iCs/>
          <w:sz w:val="24"/>
          <w:szCs w:val="24"/>
        </w:rPr>
        <w:t>Gender Inclusion in Agriculture, Aquaculture, and Fisheries in Prince Edward Island, Canada: Results from a Survey</w:t>
      </w:r>
      <w:r w:rsidRPr="00A46E23">
        <w:rPr>
          <w:rFonts w:ascii="Times New Roman" w:hAnsi="Times New Roman" w:cs="Times New Roman"/>
          <w:sz w:val="24"/>
          <w:szCs w:val="24"/>
        </w:rPr>
        <w:t>. 80.</w:t>
      </w:r>
    </w:p>
    <w:p w14:paraId="660EE8F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Cameron, L., Lalich, N., Bauer, S., Booker, V., Bogue, H. O., Samuels, S., &amp; Steege, A. L. (2006). Occupational health survey of farm workers by camp health aides. </w:t>
      </w:r>
      <w:r w:rsidRPr="00A46E23">
        <w:rPr>
          <w:rFonts w:ascii="Times New Roman" w:hAnsi="Times New Roman" w:cs="Times New Roman"/>
          <w:i/>
          <w:iCs/>
          <w:sz w:val="24"/>
          <w:szCs w:val="24"/>
        </w:rPr>
        <w:t>Journal of Agricultural Safety and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12</w:t>
      </w:r>
      <w:r w:rsidRPr="00A46E23">
        <w:rPr>
          <w:rFonts w:ascii="Times New Roman" w:hAnsi="Times New Roman" w:cs="Times New Roman"/>
          <w:sz w:val="24"/>
          <w:szCs w:val="24"/>
        </w:rPr>
        <w:t>(2), 139–153. https://doi.org/10.13031/2013.20389</w:t>
      </w:r>
    </w:p>
    <w:p w14:paraId="650BD59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Cargill Canada. (2021). </w:t>
      </w:r>
      <w:r w:rsidRPr="00A46E23">
        <w:rPr>
          <w:rFonts w:ascii="Times New Roman" w:hAnsi="Times New Roman" w:cs="Times New Roman"/>
          <w:i/>
          <w:iCs/>
          <w:sz w:val="24"/>
          <w:szCs w:val="24"/>
        </w:rPr>
        <w:t>Cargill is committed to helping the world thrive. | Cargill Canada</w:t>
      </w:r>
      <w:r w:rsidRPr="00A46E23">
        <w:rPr>
          <w:rFonts w:ascii="Times New Roman" w:hAnsi="Times New Roman" w:cs="Times New Roman"/>
          <w:sz w:val="24"/>
          <w:szCs w:val="24"/>
        </w:rPr>
        <w:t>. https://www.cargill.ca/en/home</w:t>
      </w:r>
    </w:p>
    <w:p w14:paraId="120F0DB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Clementson, L. (2020, June 20). </w:t>
      </w:r>
      <w:r w:rsidRPr="00A46E23">
        <w:rPr>
          <w:rFonts w:ascii="Times New Roman" w:hAnsi="Times New Roman" w:cs="Times New Roman"/>
          <w:i/>
          <w:iCs/>
          <w:sz w:val="24"/>
          <w:szCs w:val="24"/>
        </w:rPr>
        <w:t>“He was a good and caring person,” says wife of migrant worker who died of COVID-19 on Ontario farm | CBC News</w:t>
      </w:r>
      <w:r w:rsidRPr="00A46E23">
        <w:rPr>
          <w:rFonts w:ascii="Times New Roman" w:hAnsi="Times New Roman" w:cs="Times New Roman"/>
          <w:sz w:val="24"/>
          <w:szCs w:val="24"/>
        </w:rPr>
        <w:t>. CBC. https://www.cbc.ca/news/canada/bonifacio-eugenio-romero-wife-speaks-out-1.5620445</w:t>
      </w:r>
    </w:p>
    <w:p w14:paraId="668D7D2B"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Collins, P. H., &amp; Bilge, S. (2016). </w:t>
      </w:r>
      <w:r w:rsidRPr="00A46E23">
        <w:rPr>
          <w:rFonts w:ascii="Times New Roman" w:hAnsi="Times New Roman" w:cs="Times New Roman"/>
          <w:i/>
          <w:iCs/>
          <w:sz w:val="24"/>
          <w:szCs w:val="24"/>
        </w:rPr>
        <w:t>Intersectionality</w:t>
      </w:r>
      <w:r w:rsidRPr="00A46E23">
        <w:rPr>
          <w:rFonts w:ascii="Times New Roman" w:hAnsi="Times New Roman" w:cs="Times New Roman"/>
          <w:sz w:val="24"/>
          <w:szCs w:val="24"/>
        </w:rPr>
        <w:t>. https://uottawa.brightspace.com/content/enforced/172421-</w:t>
      </w:r>
      <w:r w:rsidRPr="00A46E23">
        <w:rPr>
          <w:rFonts w:ascii="Times New Roman" w:hAnsi="Times New Roman" w:cs="Times New Roman"/>
          <w:sz w:val="24"/>
          <w:szCs w:val="24"/>
        </w:rPr>
        <w:lastRenderedPageBreak/>
        <w:t>2209FS0293991A00/Collins%20and%20Bilge-Chp1.pdf?d2lSessionVal=vUwNzeihnDEXWGp9pRoRu01Kk&amp;ou=172421</w:t>
      </w:r>
    </w:p>
    <w:p w14:paraId="5D07BF19"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Connell, R. W., &amp; Messerschmidt, J. W. (2005). Hegemonic Masculinity: Rethinking the Concept. </w:t>
      </w:r>
      <w:r w:rsidRPr="00A46E23">
        <w:rPr>
          <w:rFonts w:ascii="Times New Roman" w:hAnsi="Times New Roman" w:cs="Times New Roman"/>
          <w:i/>
          <w:iCs/>
          <w:sz w:val="24"/>
          <w:szCs w:val="24"/>
        </w:rPr>
        <w:t>Gender and Society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19</w:t>
      </w:r>
      <w:r w:rsidRPr="00A46E23">
        <w:rPr>
          <w:rFonts w:ascii="Times New Roman" w:hAnsi="Times New Roman" w:cs="Times New Roman"/>
          <w:sz w:val="24"/>
          <w:szCs w:val="24"/>
        </w:rPr>
        <w:t>(6), 829–859.</w:t>
      </w:r>
    </w:p>
    <w:p w14:paraId="0D3B122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CPHA. (n.d.). </w:t>
      </w:r>
      <w:r w:rsidRPr="00A46E23">
        <w:rPr>
          <w:rFonts w:ascii="Times New Roman" w:hAnsi="Times New Roman" w:cs="Times New Roman"/>
          <w:i/>
          <w:iCs/>
          <w:sz w:val="24"/>
          <w:szCs w:val="24"/>
        </w:rPr>
        <w:t>Canada’s leadership in addressing the social determinants of health | Canadian Public Health Association</w:t>
      </w:r>
      <w:r w:rsidRPr="00A46E23">
        <w:rPr>
          <w:rFonts w:ascii="Times New Roman" w:hAnsi="Times New Roman" w:cs="Times New Roman"/>
          <w:sz w:val="24"/>
          <w:szCs w:val="24"/>
        </w:rPr>
        <w:t>. Retrieved February 23, 2021, from https://www.cpha.ca/canadas-leadership-addressing-social-determinants-health</w:t>
      </w:r>
    </w:p>
    <w:p w14:paraId="2E3517F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Cucinotta, D., &amp; Vanelli, M. (2020). WHO Declares COVID-19 a Pandemic. </w:t>
      </w:r>
      <w:r w:rsidRPr="00A46E23">
        <w:rPr>
          <w:rFonts w:ascii="Times New Roman" w:hAnsi="Times New Roman" w:cs="Times New Roman"/>
          <w:i/>
          <w:iCs/>
          <w:sz w:val="24"/>
          <w:szCs w:val="24"/>
        </w:rPr>
        <w:t>Acta Bio-Medica: Atenei Parmensis</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91</w:t>
      </w:r>
      <w:r w:rsidRPr="00A46E23">
        <w:rPr>
          <w:rFonts w:ascii="Times New Roman" w:hAnsi="Times New Roman" w:cs="Times New Roman"/>
          <w:sz w:val="24"/>
          <w:szCs w:val="24"/>
        </w:rPr>
        <w:t>(1), 157–160. https://doi.org/10.23750/abm.v91i1.9397</w:t>
      </w:r>
    </w:p>
    <w:p w14:paraId="45E66EB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Dahlgren, G., &amp; Whitehead, M. (2007). </w:t>
      </w:r>
      <w:r w:rsidRPr="00A46E23">
        <w:rPr>
          <w:rFonts w:ascii="Times New Roman" w:hAnsi="Times New Roman" w:cs="Times New Roman"/>
          <w:i/>
          <w:iCs/>
          <w:sz w:val="24"/>
          <w:szCs w:val="24"/>
        </w:rPr>
        <w:t>European strategies for tackling social inequities in health: Levelling up Part 2</w:t>
      </w:r>
      <w:r w:rsidRPr="00A46E23">
        <w:rPr>
          <w:rFonts w:ascii="Times New Roman" w:hAnsi="Times New Roman" w:cs="Times New Roman"/>
          <w:sz w:val="24"/>
          <w:szCs w:val="24"/>
        </w:rPr>
        <w:t>. 149.</w:t>
      </w:r>
    </w:p>
    <w:p w14:paraId="3431936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Deri, C. A. (2016). </w:t>
      </w:r>
      <w:r w:rsidRPr="00A46E23">
        <w:rPr>
          <w:rFonts w:ascii="Times New Roman" w:hAnsi="Times New Roman" w:cs="Times New Roman"/>
          <w:i/>
          <w:iCs/>
          <w:sz w:val="24"/>
          <w:szCs w:val="24"/>
        </w:rPr>
        <w:t>Understanding the “healthy immigrant effect” in Canada</w:t>
      </w:r>
      <w:r w:rsidRPr="00A46E23">
        <w:rPr>
          <w:rFonts w:ascii="Times New Roman" w:hAnsi="Times New Roman" w:cs="Times New Roman"/>
          <w:sz w:val="24"/>
          <w:szCs w:val="24"/>
        </w:rPr>
        <w:t>. https://books-scholarsportal-info.proxy.bib.uottawa.ca/en/read?id=/ebooks/ebooks0/gibson_cppc-chrc/2016-06-25/1/10050282#page=7</w:t>
      </w:r>
    </w:p>
    <w:p w14:paraId="6CF1CAF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Dixon-Perera, L. (2020). </w:t>
      </w:r>
      <w:r w:rsidRPr="00A46E23">
        <w:rPr>
          <w:rFonts w:ascii="Times New Roman" w:hAnsi="Times New Roman" w:cs="Times New Roman"/>
          <w:i/>
          <w:iCs/>
          <w:sz w:val="24"/>
          <w:szCs w:val="24"/>
        </w:rPr>
        <w:t>Regulatory Approaches to International Labour Recruitment in Canada</w:t>
      </w:r>
      <w:r w:rsidRPr="00A46E23">
        <w:rPr>
          <w:rFonts w:ascii="Times New Roman" w:hAnsi="Times New Roman" w:cs="Times New Roman"/>
          <w:sz w:val="24"/>
          <w:szCs w:val="24"/>
        </w:rPr>
        <w:t>. 79.</w:t>
      </w:r>
    </w:p>
    <w:p w14:paraId="13041DB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Donaldson, M., &amp; Howson, R. (2009). </w:t>
      </w:r>
      <w:r w:rsidRPr="00A46E23">
        <w:rPr>
          <w:rFonts w:ascii="Times New Roman" w:hAnsi="Times New Roman" w:cs="Times New Roman"/>
          <w:i/>
          <w:iCs/>
          <w:sz w:val="24"/>
          <w:szCs w:val="24"/>
        </w:rPr>
        <w:t>Men, migration and hegemonic masculinity</w:t>
      </w:r>
      <w:r w:rsidRPr="00A46E23">
        <w:rPr>
          <w:rFonts w:ascii="Times New Roman" w:hAnsi="Times New Roman" w:cs="Times New Roman"/>
          <w:sz w:val="24"/>
          <w:szCs w:val="24"/>
        </w:rPr>
        <w:t>. 9.</w:t>
      </w:r>
    </w:p>
    <w:p w14:paraId="1FF4503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Dryden, J. (2020a). </w:t>
      </w:r>
      <w:r w:rsidRPr="00A46E23">
        <w:rPr>
          <w:rFonts w:ascii="Times New Roman" w:hAnsi="Times New Roman" w:cs="Times New Roman"/>
          <w:i/>
          <w:iCs/>
          <w:sz w:val="24"/>
          <w:szCs w:val="24"/>
        </w:rPr>
        <w:t>Filipino workers at meatpacking plant feel unfairly blamed for Canada’s biggest COVID-19 outbreak | CBC News</w:t>
      </w:r>
      <w:r w:rsidRPr="00A46E23">
        <w:rPr>
          <w:rFonts w:ascii="Times New Roman" w:hAnsi="Times New Roman" w:cs="Times New Roman"/>
          <w:sz w:val="24"/>
          <w:szCs w:val="24"/>
        </w:rPr>
        <w:t>. CBC. https://www.cbc.ca/news/canada/calgary/cargill-high-river-jbs-brooks-deena-hinshaw-1.5545113</w:t>
      </w:r>
    </w:p>
    <w:p w14:paraId="7AB729CB"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Dryden, J. (2020b). </w:t>
      </w:r>
      <w:r w:rsidRPr="00A46E23">
        <w:rPr>
          <w:rFonts w:ascii="Times New Roman" w:hAnsi="Times New Roman" w:cs="Times New Roman"/>
          <w:i/>
          <w:iCs/>
          <w:sz w:val="24"/>
          <w:szCs w:val="24"/>
        </w:rPr>
        <w:t>What led to Alberta’s biggest outbreak? Cargill meat plant’s hundreds of COVID-19 cases | CBC News</w:t>
      </w:r>
      <w:r w:rsidRPr="00A46E23">
        <w:rPr>
          <w:rFonts w:ascii="Times New Roman" w:hAnsi="Times New Roman" w:cs="Times New Roman"/>
          <w:sz w:val="24"/>
          <w:szCs w:val="24"/>
        </w:rPr>
        <w:t>. CBC. https://www.cbc.ca/news/canada/calgary/cargill-alberta-covid-19-deena-hinshaw-1.5537377</w:t>
      </w:r>
    </w:p>
    <w:p w14:paraId="5FCB57B1"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Dryden, J. (2020c, April 29). </w:t>
      </w:r>
      <w:r w:rsidRPr="00A46E23">
        <w:rPr>
          <w:rFonts w:ascii="Times New Roman" w:hAnsi="Times New Roman" w:cs="Times New Roman"/>
          <w:i/>
          <w:iCs/>
          <w:sz w:val="24"/>
          <w:szCs w:val="24"/>
        </w:rPr>
        <w:t>Alberta meat-processing plant tied to Canada’s largest COVID-19 outbreak to reopen within days | CBC News</w:t>
      </w:r>
      <w:r w:rsidRPr="00A46E23">
        <w:rPr>
          <w:rFonts w:ascii="Times New Roman" w:hAnsi="Times New Roman" w:cs="Times New Roman"/>
          <w:sz w:val="24"/>
          <w:szCs w:val="24"/>
        </w:rPr>
        <w:t>. CBC. https://www.cbc.ca/news/canada/calgary/cargill-high-river-jon-nash-meat-packing-plant-covid-19-1.5549774</w:t>
      </w:r>
    </w:p>
    <w:p w14:paraId="16F0006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Dryden, J., &amp; Rieger, S. (2021, February 6). </w:t>
      </w:r>
      <w:r w:rsidRPr="00A46E23">
        <w:rPr>
          <w:rFonts w:ascii="Times New Roman" w:hAnsi="Times New Roman" w:cs="Times New Roman"/>
          <w:i/>
          <w:iCs/>
          <w:sz w:val="24"/>
          <w:szCs w:val="24"/>
        </w:rPr>
        <w:t>New COVID-19 outbreak declared at Cargill meat plant in Alberta—Site of Canada’s largest outbreak | CBC News</w:t>
      </w:r>
      <w:r w:rsidRPr="00A46E23">
        <w:rPr>
          <w:rFonts w:ascii="Times New Roman" w:hAnsi="Times New Roman" w:cs="Times New Roman"/>
          <w:sz w:val="24"/>
          <w:szCs w:val="24"/>
        </w:rPr>
        <w:t>. CBC. https://www.cbc.ca/news/canada/calgary/cargill-high-river-outbreak-1.5904444</w:t>
      </w:r>
    </w:p>
    <w:p w14:paraId="104B9CB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Edmiston, J. (2020). </w:t>
      </w:r>
      <w:r w:rsidRPr="00A46E23">
        <w:rPr>
          <w:rFonts w:ascii="Times New Roman" w:hAnsi="Times New Roman" w:cs="Times New Roman"/>
          <w:i/>
          <w:iCs/>
          <w:sz w:val="24"/>
          <w:szCs w:val="24"/>
        </w:rPr>
        <w:t>Three meat-packing plants turn out 85% of Canada’s beef. How did this happen?</w:t>
      </w:r>
      <w:r w:rsidRPr="00A46E23">
        <w:rPr>
          <w:rFonts w:ascii="Times New Roman" w:hAnsi="Times New Roman" w:cs="Times New Roman"/>
          <w:sz w:val="24"/>
          <w:szCs w:val="24"/>
        </w:rPr>
        <w:t xml:space="preserve"> Financialpost. https://financialpost.com/commodities/agriculture/why-only-three-meat-packing-plants-process-the-vast-majority-of-canadas-beef</w:t>
      </w:r>
    </w:p>
    <w:p w14:paraId="3FC7447C"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Farré, L. (2016). New evidence on the healthy immigrant effect. </w:t>
      </w:r>
      <w:r w:rsidRPr="00A46E23">
        <w:rPr>
          <w:rFonts w:ascii="Times New Roman" w:hAnsi="Times New Roman" w:cs="Times New Roman"/>
          <w:i/>
          <w:iCs/>
          <w:sz w:val="24"/>
          <w:szCs w:val="24"/>
        </w:rPr>
        <w:t>Journal of Population Economics</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29</w:t>
      </w:r>
      <w:r w:rsidRPr="00A46E23">
        <w:rPr>
          <w:rFonts w:ascii="Times New Roman" w:hAnsi="Times New Roman" w:cs="Times New Roman"/>
          <w:sz w:val="24"/>
          <w:szCs w:val="24"/>
        </w:rPr>
        <w:t>(2), 365–394. https://doi.org/10.1007/s00148-015-0578-4</w:t>
      </w:r>
    </w:p>
    <w:p w14:paraId="5A9B317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Ferguson, R. (2020, July 25). Stage 3 move delayed for Toronto and Peel; Premier also threatens to force COVID testing on migrant farm workers. </w:t>
      </w:r>
      <w:r w:rsidRPr="00A46E23">
        <w:rPr>
          <w:rFonts w:ascii="Times New Roman" w:hAnsi="Times New Roman" w:cs="Times New Roman"/>
          <w:i/>
          <w:iCs/>
          <w:sz w:val="24"/>
          <w:szCs w:val="24"/>
        </w:rPr>
        <w:t>The Toronto Star</w:t>
      </w:r>
      <w:r w:rsidRPr="00A46E23">
        <w:rPr>
          <w:rFonts w:ascii="Times New Roman" w:hAnsi="Times New Roman" w:cs="Times New Roman"/>
          <w:sz w:val="24"/>
          <w:szCs w:val="24"/>
        </w:rPr>
        <w:t>, A8.</w:t>
      </w:r>
    </w:p>
    <w:p w14:paraId="0EC6B6EC"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Foote, N. (2020, June 26). Working conditions in meat processing plants make them hotbed for COVID-19. </w:t>
      </w:r>
      <w:r w:rsidRPr="00A46E23">
        <w:rPr>
          <w:rFonts w:ascii="Times New Roman" w:hAnsi="Times New Roman" w:cs="Times New Roman"/>
          <w:i/>
          <w:iCs/>
          <w:sz w:val="24"/>
          <w:szCs w:val="24"/>
        </w:rPr>
        <w:t>Www.Euractiv.Com</w:t>
      </w:r>
      <w:r w:rsidRPr="00A46E23">
        <w:rPr>
          <w:rFonts w:ascii="Times New Roman" w:hAnsi="Times New Roman" w:cs="Times New Roman"/>
          <w:sz w:val="24"/>
          <w:szCs w:val="24"/>
        </w:rPr>
        <w:t>. https://www.euractiv.com/section/agriculture-food/news/working-conditions-in-meat-processing-plants-make-them-hotbed-for-covid-19/</w:t>
      </w:r>
    </w:p>
    <w:p w14:paraId="786430C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Foster, J., Taylor, A., &amp; Khan, C. (2015). The dynamics of union responses to migrant workers in Canada. </w:t>
      </w:r>
      <w:r w:rsidRPr="00A46E23">
        <w:rPr>
          <w:rFonts w:ascii="Times New Roman" w:hAnsi="Times New Roman" w:cs="Times New Roman"/>
          <w:i/>
          <w:iCs/>
          <w:sz w:val="24"/>
          <w:szCs w:val="24"/>
        </w:rPr>
        <w:t>Work, Employment and Society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29</w:t>
      </w:r>
      <w:r w:rsidRPr="00A46E23">
        <w:rPr>
          <w:rFonts w:ascii="Times New Roman" w:hAnsi="Times New Roman" w:cs="Times New Roman"/>
          <w:sz w:val="24"/>
          <w:szCs w:val="24"/>
        </w:rPr>
        <w:t>(3), 409–426. https://doi.org/10.1177/0950017014559964</w:t>
      </w:r>
    </w:p>
    <w:p w14:paraId="36B0599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Frangou, C. (2020a). </w:t>
      </w:r>
      <w:r w:rsidRPr="00A46E23">
        <w:rPr>
          <w:rFonts w:ascii="Times New Roman" w:hAnsi="Times New Roman" w:cs="Times New Roman"/>
          <w:i/>
          <w:iCs/>
          <w:sz w:val="24"/>
          <w:szCs w:val="24"/>
        </w:rPr>
        <w:t>Lives on the line: As Cargill employees return to the site of Canada’s largest COVID-19 outbreak, fear lingers still - ProQuest</w:t>
      </w:r>
      <w:r w:rsidRPr="00A46E23">
        <w:rPr>
          <w:rFonts w:ascii="Times New Roman" w:hAnsi="Times New Roman" w:cs="Times New Roman"/>
          <w:sz w:val="24"/>
          <w:szCs w:val="24"/>
        </w:rPr>
        <w:t>. https://search-proquest-com.proxy.bib.uottawa.ca/docview/2401926777/E0A56D1DD6154ACDPQ/8?accountid=14701</w:t>
      </w:r>
    </w:p>
    <w:p w14:paraId="26692C0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Frangou, C. (2020b, June). Lives on the line: As Cargill employees return to the site of Canada’s largest COVID-19 outbreak, fear lingers still. </w:t>
      </w:r>
      <w:r w:rsidRPr="00A46E23">
        <w:rPr>
          <w:rFonts w:ascii="Times New Roman" w:hAnsi="Times New Roman" w:cs="Times New Roman"/>
          <w:i/>
          <w:iCs/>
          <w:sz w:val="24"/>
          <w:szCs w:val="24"/>
        </w:rPr>
        <w:t>Maclean’s</w:t>
      </w:r>
      <w:r w:rsidRPr="00A46E23">
        <w:rPr>
          <w:rFonts w:ascii="Times New Roman" w:hAnsi="Times New Roman" w:cs="Times New Roman"/>
          <w:sz w:val="24"/>
          <w:szCs w:val="24"/>
        </w:rPr>
        <w:t>. http://search.proquest.com/docview/2401926777/abstract/706A912433A54E4DPQ/1</w:t>
      </w:r>
    </w:p>
    <w:p w14:paraId="2BCBCBC9"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Fu, L., Wang, B., Yuan, T., Chen, X., Ao, Y., Fitzpatrick, T., Li, P., Zhou, Y., Lin, Y., Duan, Q., Luo, G., Fan, S., Lu, Y., Feng, A., Zhan, Y., Liang, B., Cai, W., Zhang, L., Du, X., … Zou, H. (2020). Clinical characteristics of coronavirus disease 2019 (COVID-19) in China: A systematic review and meta-analysis. </w:t>
      </w:r>
      <w:r w:rsidRPr="00A46E23">
        <w:rPr>
          <w:rFonts w:ascii="Times New Roman" w:hAnsi="Times New Roman" w:cs="Times New Roman"/>
          <w:i/>
          <w:iCs/>
          <w:sz w:val="24"/>
          <w:szCs w:val="24"/>
        </w:rPr>
        <w:t>Journal of Infection</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80</w:t>
      </w:r>
      <w:r w:rsidRPr="00A46E23">
        <w:rPr>
          <w:rFonts w:ascii="Times New Roman" w:hAnsi="Times New Roman" w:cs="Times New Roman"/>
          <w:sz w:val="24"/>
          <w:szCs w:val="24"/>
        </w:rPr>
        <w:t>(6), 656–665. https://doi.org/10.1016/j.jinf.2020.03.041</w:t>
      </w:r>
    </w:p>
    <w:p w14:paraId="4455A86C"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Gesualdi-Fecteau, D. (2014). The recruitment of Guatemalan agricultural workers by Canadian employers: Mapping the web of a transnational network. </w:t>
      </w:r>
      <w:r w:rsidRPr="00A46E23">
        <w:rPr>
          <w:rFonts w:ascii="Times New Roman" w:hAnsi="Times New Roman" w:cs="Times New Roman"/>
          <w:i/>
          <w:iCs/>
          <w:sz w:val="24"/>
          <w:szCs w:val="24"/>
        </w:rPr>
        <w:t>International Journal of Migration and Border Studies</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w:t>
      </w:r>
      <w:r w:rsidRPr="00A46E23">
        <w:rPr>
          <w:rFonts w:ascii="Times New Roman" w:hAnsi="Times New Roman" w:cs="Times New Roman"/>
          <w:sz w:val="24"/>
          <w:szCs w:val="24"/>
        </w:rPr>
        <w:t>, 291. https://doi.org/10.1504/IJMBS.2014.068967</w:t>
      </w:r>
    </w:p>
    <w:p w14:paraId="252B1F3D" w14:textId="77777777" w:rsidR="00BE37E2" w:rsidRPr="00E67C9A" w:rsidRDefault="00BE37E2" w:rsidP="00A46E23">
      <w:pPr>
        <w:pStyle w:val="Bibliography"/>
        <w:jc w:val="both"/>
        <w:rPr>
          <w:rFonts w:ascii="Times New Roman" w:hAnsi="Times New Roman" w:cs="Times New Roman"/>
          <w:sz w:val="24"/>
          <w:szCs w:val="24"/>
          <w:lang w:val="fr-FR"/>
        </w:rPr>
      </w:pPr>
      <w:proofErr w:type="spellStart"/>
      <w:r w:rsidRPr="00E67C9A">
        <w:rPr>
          <w:rFonts w:ascii="Times New Roman" w:hAnsi="Times New Roman" w:cs="Times New Roman"/>
          <w:sz w:val="24"/>
          <w:szCs w:val="24"/>
          <w:lang w:val="fr-FR"/>
        </w:rPr>
        <w:t>Gesualdi</w:t>
      </w:r>
      <w:proofErr w:type="spellEnd"/>
      <w:r w:rsidRPr="00E67C9A">
        <w:rPr>
          <w:rFonts w:ascii="Times New Roman" w:hAnsi="Times New Roman" w:cs="Times New Roman"/>
          <w:sz w:val="24"/>
          <w:szCs w:val="24"/>
          <w:lang w:val="fr-FR"/>
        </w:rPr>
        <w:t xml:space="preserve">-Fecteau, D., Thibault, A., </w:t>
      </w:r>
      <w:proofErr w:type="spellStart"/>
      <w:r w:rsidRPr="00E67C9A">
        <w:rPr>
          <w:rFonts w:ascii="Times New Roman" w:hAnsi="Times New Roman" w:cs="Times New Roman"/>
          <w:sz w:val="24"/>
          <w:szCs w:val="24"/>
          <w:lang w:val="fr-FR"/>
        </w:rPr>
        <w:t>Schivone</w:t>
      </w:r>
      <w:proofErr w:type="spellEnd"/>
      <w:r w:rsidRPr="00E67C9A">
        <w:rPr>
          <w:rFonts w:ascii="Times New Roman" w:hAnsi="Times New Roman" w:cs="Times New Roman"/>
          <w:sz w:val="24"/>
          <w:szCs w:val="24"/>
          <w:lang w:val="fr-FR"/>
        </w:rPr>
        <w:t xml:space="preserve">, N., Dufour, C., Gouin, S., </w:t>
      </w:r>
      <w:proofErr w:type="spellStart"/>
      <w:r w:rsidRPr="00E67C9A">
        <w:rPr>
          <w:rFonts w:ascii="Times New Roman" w:hAnsi="Times New Roman" w:cs="Times New Roman"/>
          <w:sz w:val="24"/>
          <w:szCs w:val="24"/>
          <w:lang w:val="fr-FR"/>
        </w:rPr>
        <w:t>Monjean</w:t>
      </w:r>
      <w:proofErr w:type="spellEnd"/>
      <w:r w:rsidRPr="00E67C9A">
        <w:rPr>
          <w:rFonts w:ascii="Times New Roman" w:hAnsi="Times New Roman" w:cs="Times New Roman"/>
          <w:sz w:val="24"/>
          <w:szCs w:val="24"/>
          <w:lang w:val="fr-FR"/>
        </w:rPr>
        <w:t xml:space="preserve">, N., &amp; Moses, É. (2017). </w:t>
      </w:r>
      <w:r w:rsidRPr="00A46E23">
        <w:rPr>
          <w:rFonts w:ascii="Times New Roman" w:hAnsi="Times New Roman" w:cs="Times New Roman"/>
          <w:sz w:val="24"/>
          <w:szCs w:val="24"/>
        </w:rPr>
        <w:t xml:space="preserve">A STORY OF DEBT AND BROKEN PROMISES? THE recruitment of guatemalan MIGRANT workers IN QUEBEC. </w:t>
      </w:r>
      <w:r w:rsidRPr="00E67C9A">
        <w:rPr>
          <w:rFonts w:ascii="Times New Roman" w:hAnsi="Times New Roman" w:cs="Times New Roman"/>
          <w:i/>
          <w:iCs/>
          <w:sz w:val="24"/>
          <w:szCs w:val="24"/>
          <w:lang w:val="fr-FR"/>
        </w:rPr>
        <w:t>Revue Québécoise de Droit International</w:t>
      </w:r>
      <w:r w:rsidRPr="00E67C9A">
        <w:rPr>
          <w:rFonts w:ascii="Times New Roman" w:hAnsi="Times New Roman" w:cs="Times New Roman"/>
          <w:sz w:val="24"/>
          <w:szCs w:val="24"/>
          <w:lang w:val="fr-FR"/>
        </w:rPr>
        <w:t xml:space="preserve">, </w:t>
      </w:r>
      <w:r w:rsidRPr="00E67C9A">
        <w:rPr>
          <w:rFonts w:ascii="Times New Roman" w:hAnsi="Times New Roman" w:cs="Times New Roman"/>
          <w:i/>
          <w:iCs/>
          <w:sz w:val="24"/>
          <w:szCs w:val="24"/>
          <w:lang w:val="fr-FR"/>
        </w:rPr>
        <w:t>30</w:t>
      </w:r>
      <w:r w:rsidRPr="00E67C9A">
        <w:rPr>
          <w:rFonts w:ascii="Times New Roman" w:hAnsi="Times New Roman" w:cs="Times New Roman"/>
          <w:sz w:val="24"/>
          <w:szCs w:val="24"/>
          <w:lang w:val="fr-FR"/>
        </w:rPr>
        <w:t>(2), 95. https://doi.org/10.7202/1064679ar</w:t>
      </w:r>
    </w:p>
    <w:p w14:paraId="025A1F23"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lastRenderedPageBreak/>
        <w:t>Glauser</w:t>
      </w:r>
      <w:proofErr w:type="spellEnd"/>
      <w:r w:rsidRPr="00E67C9A">
        <w:rPr>
          <w:rFonts w:ascii="Times New Roman" w:hAnsi="Times New Roman" w:cs="Times New Roman"/>
          <w:sz w:val="24"/>
          <w:szCs w:val="24"/>
          <w:lang w:val="fr-FR"/>
        </w:rPr>
        <w:t xml:space="preserve">, W. (2020). </w:t>
      </w:r>
      <w:r w:rsidRPr="00A46E23">
        <w:rPr>
          <w:rFonts w:ascii="Times New Roman" w:hAnsi="Times New Roman" w:cs="Times New Roman"/>
          <w:i/>
          <w:iCs/>
          <w:sz w:val="24"/>
          <w:szCs w:val="24"/>
        </w:rPr>
        <w:t>Fear, neglect, and close quarters: Inside Ontario’s migrant-worker health crisis</w:t>
      </w:r>
      <w:r w:rsidRPr="00A46E23">
        <w:rPr>
          <w:rFonts w:ascii="Times New Roman" w:hAnsi="Times New Roman" w:cs="Times New Roman"/>
          <w:sz w:val="24"/>
          <w:szCs w:val="24"/>
        </w:rPr>
        <w:t>. TVO.Org. https://www.tvo.org/article/fear-neglect-and-close-quarters-inside-ontarios-migrant-worker-health-crisis</w:t>
      </w:r>
    </w:p>
    <w:p w14:paraId="5669292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Glouberman, S., &amp; Millar, J. (2003). Evolution of the Determinants of Health, Health Policy, and Health Information Systems in Canada. </w:t>
      </w:r>
      <w:r w:rsidRPr="00A46E23">
        <w:rPr>
          <w:rFonts w:ascii="Times New Roman" w:hAnsi="Times New Roman" w:cs="Times New Roman"/>
          <w:i/>
          <w:iCs/>
          <w:sz w:val="24"/>
          <w:szCs w:val="24"/>
        </w:rPr>
        <w:t>American Journal of Public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93</w:t>
      </w:r>
      <w:r w:rsidRPr="00A46E23">
        <w:rPr>
          <w:rFonts w:ascii="Times New Roman" w:hAnsi="Times New Roman" w:cs="Times New Roman"/>
          <w:sz w:val="24"/>
          <w:szCs w:val="24"/>
        </w:rPr>
        <w:t>(3), 388–392.</w:t>
      </w:r>
    </w:p>
    <w:p w14:paraId="1B5B9F4D"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Government of Canada. (2020). </w:t>
      </w:r>
      <w:r w:rsidRPr="00A46E23">
        <w:rPr>
          <w:rFonts w:ascii="Times New Roman" w:hAnsi="Times New Roman" w:cs="Times New Roman"/>
          <w:i/>
          <w:iCs/>
          <w:sz w:val="24"/>
          <w:szCs w:val="24"/>
        </w:rPr>
        <w:t>The distribution of temporary foreign workers across industries in Canada</w:t>
      </w:r>
      <w:r w:rsidRPr="00A46E23">
        <w:rPr>
          <w:rFonts w:ascii="Times New Roman" w:hAnsi="Times New Roman" w:cs="Times New Roman"/>
          <w:sz w:val="24"/>
          <w:szCs w:val="24"/>
        </w:rPr>
        <w:t>. https://www150.statcan.gc.ca/n1/pub/45-28-0001/2020001/article/00028-eng.htm</w:t>
      </w:r>
    </w:p>
    <w:p w14:paraId="24FAFBF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Grant, T., Ha, T. T., Tait, C., &amp; Baum, K. B. (2020, May 4). </w:t>
      </w:r>
      <w:r w:rsidRPr="00A46E23">
        <w:rPr>
          <w:rFonts w:ascii="Times New Roman" w:hAnsi="Times New Roman" w:cs="Times New Roman"/>
          <w:i/>
          <w:iCs/>
          <w:sz w:val="24"/>
          <w:szCs w:val="24"/>
        </w:rPr>
        <w:t>Cargill meat plant, site of Canada’s largest COVID-19 outbreak, prepares to reopen: Negotiations between facility and union continue late into night as poll shows most workers are afraid to return</w:t>
      </w:r>
      <w:r w:rsidRPr="00A46E23">
        <w:rPr>
          <w:rFonts w:ascii="Times New Roman" w:hAnsi="Times New Roman" w:cs="Times New Roman"/>
          <w:sz w:val="24"/>
          <w:szCs w:val="24"/>
        </w:rPr>
        <w:t>. The Globe and Mail (Online); The Globe and Mail. http://search.proquest.com/docview/2397460803/citation/596205CEFD0B445DPQ/1</w:t>
      </w:r>
    </w:p>
    <w:p w14:paraId="4BA0953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Graveland, B. (2020). </w:t>
      </w:r>
      <w:r w:rsidRPr="00A46E23">
        <w:rPr>
          <w:rFonts w:ascii="Times New Roman" w:hAnsi="Times New Roman" w:cs="Times New Roman"/>
          <w:i/>
          <w:iCs/>
          <w:sz w:val="24"/>
          <w:szCs w:val="24"/>
        </w:rPr>
        <w:t>‘Death is so real’: Immigrant group says meat workers afraid after COVID-19 plant closure</w:t>
      </w:r>
      <w:r w:rsidRPr="00A46E23">
        <w:rPr>
          <w:rFonts w:ascii="Times New Roman" w:hAnsi="Times New Roman" w:cs="Times New Roman"/>
          <w:sz w:val="24"/>
          <w:szCs w:val="24"/>
        </w:rPr>
        <w:t>. Global News. https://globalnews.ca/news/6868617/death-is-so-real-immigrant-group-says-meat-workers-afraid-after-covid-19-plant-closure/</w:t>
      </w:r>
    </w:p>
    <w:p w14:paraId="6A88FCBA" w14:textId="77777777" w:rsidR="00BE37E2" w:rsidRPr="00E67C9A" w:rsidRDefault="00BE37E2" w:rsidP="00A46E23">
      <w:pPr>
        <w:pStyle w:val="Bibliography"/>
        <w:jc w:val="both"/>
        <w:rPr>
          <w:rFonts w:ascii="Times New Roman" w:hAnsi="Times New Roman" w:cs="Times New Roman"/>
          <w:sz w:val="24"/>
          <w:szCs w:val="24"/>
          <w:lang w:val="fr-FR"/>
        </w:rPr>
      </w:pPr>
      <w:r w:rsidRPr="00A46E23">
        <w:rPr>
          <w:rFonts w:ascii="Times New Roman" w:hAnsi="Times New Roman" w:cs="Times New Roman"/>
          <w:sz w:val="24"/>
          <w:szCs w:val="24"/>
        </w:rPr>
        <w:t xml:space="preserve">Gushulak, B. (2007). Healthier on arrival? Further insight into the “healthy immigrant effect.” </w:t>
      </w:r>
      <w:r w:rsidRPr="00E67C9A">
        <w:rPr>
          <w:rFonts w:ascii="Times New Roman" w:hAnsi="Times New Roman" w:cs="Times New Roman"/>
          <w:i/>
          <w:iCs/>
          <w:sz w:val="24"/>
          <w:szCs w:val="24"/>
          <w:lang w:val="fr-FR"/>
        </w:rPr>
        <w:t>CMAJ</w:t>
      </w:r>
      <w:r w:rsidRPr="00E67C9A">
        <w:rPr>
          <w:rFonts w:ascii="Times New Roman" w:hAnsi="Times New Roman" w:cs="Times New Roman"/>
          <w:sz w:val="24"/>
          <w:szCs w:val="24"/>
          <w:lang w:val="fr-FR"/>
        </w:rPr>
        <w:t xml:space="preserve">, </w:t>
      </w:r>
      <w:r w:rsidRPr="00E67C9A">
        <w:rPr>
          <w:rFonts w:ascii="Times New Roman" w:hAnsi="Times New Roman" w:cs="Times New Roman"/>
          <w:i/>
          <w:iCs/>
          <w:sz w:val="24"/>
          <w:szCs w:val="24"/>
          <w:lang w:val="fr-FR"/>
        </w:rPr>
        <w:t>176</w:t>
      </w:r>
      <w:r w:rsidRPr="00E67C9A">
        <w:rPr>
          <w:rFonts w:ascii="Times New Roman" w:hAnsi="Times New Roman" w:cs="Times New Roman"/>
          <w:sz w:val="24"/>
          <w:szCs w:val="24"/>
          <w:lang w:val="fr-FR"/>
        </w:rPr>
        <w:t>(10), 1439–1440. https://doi.org/10.1503/cmaj.070395</w:t>
      </w:r>
    </w:p>
    <w:p w14:paraId="245449AF"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t>Gushulak</w:t>
      </w:r>
      <w:proofErr w:type="spellEnd"/>
      <w:r w:rsidRPr="00E67C9A">
        <w:rPr>
          <w:rFonts w:ascii="Times New Roman" w:hAnsi="Times New Roman" w:cs="Times New Roman"/>
          <w:sz w:val="24"/>
          <w:szCs w:val="24"/>
          <w:lang w:val="fr-FR"/>
        </w:rPr>
        <w:t xml:space="preserve">, B. D., </w:t>
      </w:r>
      <w:proofErr w:type="spellStart"/>
      <w:r w:rsidRPr="00E67C9A">
        <w:rPr>
          <w:rFonts w:ascii="Times New Roman" w:hAnsi="Times New Roman" w:cs="Times New Roman"/>
          <w:sz w:val="24"/>
          <w:szCs w:val="24"/>
          <w:lang w:val="fr-FR"/>
        </w:rPr>
        <w:t>Pottie</w:t>
      </w:r>
      <w:proofErr w:type="spellEnd"/>
      <w:r w:rsidRPr="00E67C9A">
        <w:rPr>
          <w:rFonts w:ascii="Times New Roman" w:hAnsi="Times New Roman" w:cs="Times New Roman"/>
          <w:sz w:val="24"/>
          <w:szCs w:val="24"/>
          <w:lang w:val="fr-FR"/>
        </w:rPr>
        <w:t xml:space="preserve">, K., Roberts, J. H., Torres, S., &amp; </w:t>
      </w:r>
      <w:proofErr w:type="spellStart"/>
      <w:r w:rsidRPr="00E67C9A">
        <w:rPr>
          <w:rFonts w:ascii="Times New Roman" w:hAnsi="Times New Roman" w:cs="Times New Roman"/>
          <w:sz w:val="24"/>
          <w:szCs w:val="24"/>
          <w:lang w:val="fr-FR"/>
        </w:rPr>
        <w:t>DesMeules</w:t>
      </w:r>
      <w:proofErr w:type="spellEnd"/>
      <w:r w:rsidRPr="00E67C9A">
        <w:rPr>
          <w:rFonts w:ascii="Times New Roman" w:hAnsi="Times New Roman" w:cs="Times New Roman"/>
          <w:sz w:val="24"/>
          <w:szCs w:val="24"/>
          <w:lang w:val="fr-FR"/>
        </w:rPr>
        <w:t xml:space="preserve">, M. (2011). </w:t>
      </w:r>
      <w:r w:rsidRPr="00A46E23">
        <w:rPr>
          <w:rFonts w:ascii="Times New Roman" w:hAnsi="Times New Roman" w:cs="Times New Roman"/>
          <w:sz w:val="24"/>
          <w:szCs w:val="24"/>
        </w:rPr>
        <w:t xml:space="preserve">Migration and health in Canada: Health in the global village. </w:t>
      </w:r>
      <w:r w:rsidRPr="00A46E23">
        <w:rPr>
          <w:rFonts w:ascii="Times New Roman" w:hAnsi="Times New Roman" w:cs="Times New Roman"/>
          <w:i/>
          <w:iCs/>
          <w:sz w:val="24"/>
          <w:szCs w:val="24"/>
        </w:rPr>
        <w:t>CMAJ</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183</w:t>
      </w:r>
      <w:r w:rsidRPr="00A46E23">
        <w:rPr>
          <w:rFonts w:ascii="Times New Roman" w:hAnsi="Times New Roman" w:cs="Times New Roman"/>
          <w:sz w:val="24"/>
          <w:szCs w:val="24"/>
        </w:rPr>
        <w:t>(12), E952–E958. https://doi.org/10.1503/cmaj.090287</w:t>
      </w:r>
    </w:p>
    <w:p w14:paraId="509B777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Guthrie, J. (2020, May 27). </w:t>
      </w:r>
      <w:r w:rsidRPr="00A46E23">
        <w:rPr>
          <w:rFonts w:ascii="Times New Roman" w:hAnsi="Times New Roman" w:cs="Times New Roman"/>
          <w:i/>
          <w:iCs/>
          <w:sz w:val="24"/>
          <w:szCs w:val="24"/>
        </w:rPr>
        <w:t>COVID-19 outbreak at Ontario farm highlights deep problems in Canada’s seasonal agricultural worker program</w:t>
      </w:r>
      <w:r w:rsidRPr="00A46E23">
        <w:rPr>
          <w:rFonts w:ascii="Times New Roman" w:hAnsi="Times New Roman" w:cs="Times New Roman"/>
          <w:sz w:val="24"/>
          <w:szCs w:val="24"/>
        </w:rPr>
        <w:t>. Rabble.Ca. https://rabble.ca/blogs/bloggers/views-expressed/2020/05/covid-19-outbreak-ontario-farm-highlights-deep-problems</w:t>
      </w:r>
    </w:p>
    <w:p w14:paraId="7742251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Hancock, A.-M. (2007). Intersectionality as a Normative and Empirical Paradigm. </w:t>
      </w:r>
      <w:r w:rsidRPr="00A46E23">
        <w:rPr>
          <w:rFonts w:ascii="Times New Roman" w:hAnsi="Times New Roman" w:cs="Times New Roman"/>
          <w:i/>
          <w:iCs/>
          <w:sz w:val="24"/>
          <w:szCs w:val="24"/>
        </w:rPr>
        <w:t>Politics &amp; Gender</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3</w:t>
      </w:r>
      <w:r w:rsidRPr="00A46E23">
        <w:rPr>
          <w:rFonts w:ascii="Times New Roman" w:hAnsi="Times New Roman" w:cs="Times New Roman"/>
          <w:sz w:val="24"/>
          <w:szCs w:val="24"/>
        </w:rPr>
        <w:t>(02). https://doi.org/10.1017/S1743923X07000062</w:t>
      </w:r>
    </w:p>
    <w:p w14:paraId="3F957A3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Harrell, W. (1986). Masculinity and farming-related accidents. </w:t>
      </w:r>
      <w:r w:rsidRPr="00A46E23">
        <w:rPr>
          <w:rFonts w:ascii="Times New Roman" w:hAnsi="Times New Roman" w:cs="Times New Roman"/>
          <w:i/>
          <w:iCs/>
          <w:sz w:val="24"/>
          <w:szCs w:val="24"/>
        </w:rPr>
        <w:t>Sex Roles</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15</w:t>
      </w:r>
      <w:r w:rsidRPr="00A46E23">
        <w:rPr>
          <w:rFonts w:ascii="Times New Roman" w:hAnsi="Times New Roman" w:cs="Times New Roman"/>
          <w:sz w:val="24"/>
          <w:szCs w:val="24"/>
        </w:rPr>
        <w:t>(9–10), 467–478. https://doi.org/10.1007/BF00288224</w:t>
      </w:r>
    </w:p>
    <w:p w14:paraId="647E2C8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Harris, C., Jenkins, M., Diego, S., &amp; Glaser, D. (2006). </w:t>
      </w:r>
      <w:r w:rsidRPr="00A46E23">
        <w:rPr>
          <w:rFonts w:ascii="Times New Roman" w:hAnsi="Times New Roman" w:cs="Times New Roman"/>
          <w:i/>
          <w:iCs/>
          <w:sz w:val="24"/>
          <w:szCs w:val="24"/>
        </w:rPr>
        <w:t>Gender Differences in Risk Assessment: Why do Women Take Fewer Risks than Men?</w:t>
      </w:r>
      <w:r w:rsidRPr="00A46E23">
        <w:rPr>
          <w:rFonts w:ascii="Times New Roman" w:hAnsi="Times New Roman" w:cs="Times New Roman"/>
          <w:sz w:val="24"/>
          <w:szCs w:val="24"/>
        </w:rPr>
        <w:t xml:space="preserve"> http://journal.sjdm.org/06016/jdm06016.htm</w:t>
      </w:r>
    </w:p>
    <w:p w14:paraId="577F18C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Harris, K. (2020a). </w:t>
      </w:r>
      <w:r w:rsidRPr="00A46E23">
        <w:rPr>
          <w:rFonts w:ascii="Times New Roman" w:hAnsi="Times New Roman" w:cs="Times New Roman"/>
          <w:i/>
          <w:iCs/>
          <w:sz w:val="24"/>
          <w:szCs w:val="24"/>
        </w:rPr>
        <w:t>Exploitation, abuse, health hazards rise for migrant workers during COVID-19, group says | CBC News</w:t>
      </w:r>
      <w:r w:rsidRPr="00A46E23">
        <w:rPr>
          <w:rFonts w:ascii="Times New Roman" w:hAnsi="Times New Roman" w:cs="Times New Roman"/>
          <w:sz w:val="24"/>
          <w:szCs w:val="24"/>
        </w:rPr>
        <w:t>. CBC. https://www.cbc.ca/news/politics/migrant-workers-farm-deaths-report-1.5602596</w:t>
      </w:r>
    </w:p>
    <w:p w14:paraId="41E5523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Harris, K. (2020b, June 8). </w:t>
      </w:r>
      <w:r w:rsidRPr="00A46E23">
        <w:rPr>
          <w:rFonts w:ascii="Times New Roman" w:hAnsi="Times New Roman" w:cs="Times New Roman"/>
          <w:i/>
          <w:iCs/>
          <w:sz w:val="24"/>
          <w:szCs w:val="24"/>
        </w:rPr>
        <w:t>Exploitation, abuse, health hazards rise for migrant workers during COVID-19, group says | CBC News</w:t>
      </w:r>
      <w:r w:rsidRPr="00A46E23">
        <w:rPr>
          <w:rFonts w:ascii="Times New Roman" w:hAnsi="Times New Roman" w:cs="Times New Roman"/>
          <w:sz w:val="24"/>
          <w:szCs w:val="24"/>
        </w:rPr>
        <w:t>. CBC. https://www.cbc.ca/news/politics/migrant-workers-farm-deaths-report-1.5602596</w:t>
      </w:r>
    </w:p>
    <w:p w14:paraId="158F16D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Hennebry, J. (2010). Not Just a Few Bad Apples: Vulnerability, Health and Temporary Migration in Canada. </w:t>
      </w:r>
      <w:r w:rsidRPr="00A46E23">
        <w:rPr>
          <w:rFonts w:ascii="Times New Roman" w:hAnsi="Times New Roman" w:cs="Times New Roman"/>
          <w:i/>
          <w:iCs/>
          <w:sz w:val="24"/>
          <w:szCs w:val="24"/>
        </w:rPr>
        <w:t>Canadian Issues</w:t>
      </w:r>
      <w:r w:rsidRPr="00A46E23">
        <w:rPr>
          <w:rFonts w:ascii="Times New Roman" w:hAnsi="Times New Roman" w:cs="Times New Roman"/>
          <w:sz w:val="24"/>
          <w:szCs w:val="24"/>
        </w:rPr>
        <w:t>, 73–77.</w:t>
      </w:r>
    </w:p>
    <w:p w14:paraId="2D6C054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Hennebry, J., Mclaughlin, J., &amp; Preibisch, K. (2016). Out of the Loop: (In)access to Health Care for Migrant Workers in Canada. </w:t>
      </w:r>
      <w:r w:rsidRPr="00A46E23">
        <w:rPr>
          <w:rFonts w:ascii="Times New Roman" w:hAnsi="Times New Roman" w:cs="Times New Roman"/>
          <w:i/>
          <w:iCs/>
          <w:sz w:val="24"/>
          <w:szCs w:val="24"/>
        </w:rPr>
        <w:t>Journal of International Migration and Integration</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17</w:t>
      </w:r>
      <w:r w:rsidRPr="00A46E23">
        <w:rPr>
          <w:rFonts w:ascii="Times New Roman" w:hAnsi="Times New Roman" w:cs="Times New Roman"/>
          <w:sz w:val="24"/>
          <w:szCs w:val="24"/>
        </w:rPr>
        <w:t>(2), 521–538. http://dx.doi.org.proxy.bib.uottawa.ca/10.1007/s12134-015-0417-1</w:t>
      </w:r>
    </w:p>
    <w:p w14:paraId="24145AF4"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t>Hire</w:t>
      </w:r>
      <w:proofErr w:type="spellEnd"/>
      <w:r w:rsidRPr="00E67C9A">
        <w:rPr>
          <w:rFonts w:ascii="Times New Roman" w:hAnsi="Times New Roman" w:cs="Times New Roman"/>
          <w:sz w:val="24"/>
          <w:szCs w:val="24"/>
          <w:lang w:val="fr-FR"/>
        </w:rPr>
        <w:t xml:space="preserve"> Immigrants Ottawa. (</w:t>
      </w:r>
      <w:proofErr w:type="spellStart"/>
      <w:proofErr w:type="gramStart"/>
      <w:r w:rsidRPr="00E67C9A">
        <w:rPr>
          <w:rFonts w:ascii="Times New Roman" w:hAnsi="Times New Roman" w:cs="Times New Roman"/>
          <w:sz w:val="24"/>
          <w:szCs w:val="24"/>
          <w:lang w:val="fr-FR"/>
        </w:rPr>
        <w:t>n.d</w:t>
      </w:r>
      <w:proofErr w:type="spellEnd"/>
      <w:r w:rsidRPr="00E67C9A">
        <w:rPr>
          <w:rFonts w:ascii="Times New Roman" w:hAnsi="Times New Roman" w:cs="Times New Roman"/>
          <w:sz w:val="24"/>
          <w:szCs w:val="24"/>
          <w:lang w:val="fr-FR"/>
        </w:rPr>
        <w:t>.</w:t>
      </w:r>
      <w:proofErr w:type="gramEnd"/>
      <w:r w:rsidRPr="00E67C9A">
        <w:rPr>
          <w:rFonts w:ascii="Times New Roman" w:hAnsi="Times New Roman" w:cs="Times New Roman"/>
          <w:sz w:val="24"/>
          <w:szCs w:val="24"/>
          <w:lang w:val="fr-FR"/>
        </w:rPr>
        <w:t xml:space="preserve">). </w:t>
      </w:r>
      <w:proofErr w:type="spellStart"/>
      <w:r w:rsidRPr="00E67C9A">
        <w:rPr>
          <w:rFonts w:ascii="Times New Roman" w:hAnsi="Times New Roman" w:cs="Times New Roman"/>
          <w:sz w:val="24"/>
          <w:szCs w:val="24"/>
          <w:lang w:val="fr-FR"/>
        </w:rPr>
        <w:t>Why</w:t>
      </w:r>
      <w:proofErr w:type="spellEnd"/>
      <w:r w:rsidRPr="00E67C9A">
        <w:rPr>
          <w:rFonts w:ascii="Times New Roman" w:hAnsi="Times New Roman" w:cs="Times New Roman"/>
          <w:sz w:val="24"/>
          <w:szCs w:val="24"/>
          <w:lang w:val="fr-FR"/>
        </w:rPr>
        <w:t xml:space="preserve"> </w:t>
      </w:r>
      <w:proofErr w:type="spellStart"/>
      <w:r w:rsidRPr="00E67C9A">
        <w:rPr>
          <w:rFonts w:ascii="Times New Roman" w:hAnsi="Times New Roman" w:cs="Times New Roman"/>
          <w:sz w:val="24"/>
          <w:szCs w:val="24"/>
          <w:lang w:val="fr-FR"/>
        </w:rPr>
        <w:t>Hire</w:t>
      </w:r>
      <w:proofErr w:type="spellEnd"/>
      <w:r w:rsidRPr="00E67C9A">
        <w:rPr>
          <w:rFonts w:ascii="Times New Roman" w:hAnsi="Times New Roman" w:cs="Times New Roman"/>
          <w:sz w:val="24"/>
          <w:szCs w:val="24"/>
          <w:lang w:val="fr-FR"/>
        </w:rPr>
        <w:t xml:space="preserve"> </w:t>
      </w:r>
      <w:proofErr w:type="gramStart"/>
      <w:r w:rsidRPr="00E67C9A">
        <w:rPr>
          <w:rFonts w:ascii="Times New Roman" w:hAnsi="Times New Roman" w:cs="Times New Roman"/>
          <w:sz w:val="24"/>
          <w:szCs w:val="24"/>
          <w:lang w:val="fr-FR"/>
        </w:rPr>
        <w:t>Immigrants?</w:t>
      </w:r>
      <w:proofErr w:type="gramEnd"/>
      <w:r w:rsidRPr="00E67C9A">
        <w:rPr>
          <w:rFonts w:ascii="Times New Roman" w:hAnsi="Times New Roman" w:cs="Times New Roman"/>
          <w:sz w:val="24"/>
          <w:szCs w:val="24"/>
          <w:lang w:val="fr-FR"/>
        </w:rPr>
        <w:t xml:space="preserve"> </w:t>
      </w:r>
      <w:proofErr w:type="spellStart"/>
      <w:r w:rsidRPr="00E67C9A">
        <w:rPr>
          <w:rFonts w:ascii="Times New Roman" w:hAnsi="Times New Roman" w:cs="Times New Roman"/>
          <w:i/>
          <w:iCs/>
          <w:sz w:val="24"/>
          <w:szCs w:val="24"/>
          <w:lang w:val="fr-FR"/>
        </w:rPr>
        <w:t>Hire</w:t>
      </w:r>
      <w:proofErr w:type="spellEnd"/>
      <w:r w:rsidRPr="00E67C9A">
        <w:rPr>
          <w:rFonts w:ascii="Times New Roman" w:hAnsi="Times New Roman" w:cs="Times New Roman"/>
          <w:i/>
          <w:iCs/>
          <w:sz w:val="24"/>
          <w:szCs w:val="24"/>
          <w:lang w:val="fr-FR"/>
        </w:rPr>
        <w:t xml:space="preserve"> Immigrants Ottawa</w:t>
      </w:r>
      <w:r w:rsidRPr="00E67C9A">
        <w:rPr>
          <w:rFonts w:ascii="Times New Roman" w:hAnsi="Times New Roman" w:cs="Times New Roman"/>
          <w:sz w:val="24"/>
          <w:szCs w:val="24"/>
          <w:lang w:val="fr-FR"/>
        </w:rPr>
        <w:t xml:space="preserve">. </w:t>
      </w:r>
      <w:r w:rsidRPr="00A46E23">
        <w:rPr>
          <w:rFonts w:ascii="Times New Roman" w:hAnsi="Times New Roman" w:cs="Times New Roman"/>
          <w:sz w:val="24"/>
          <w:szCs w:val="24"/>
        </w:rPr>
        <w:t>Retrieved March 2, 2021, from http://www.hireimmigrantsottawa.ca/for-employers/why-hire-immigrants/</w:t>
      </w:r>
    </w:p>
    <w:p w14:paraId="3BF1FF6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Immigration, R. and C. C. (2013, April 17). </w:t>
      </w:r>
      <w:r w:rsidRPr="00A46E23">
        <w:rPr>
          <w:rFonts w:ascii="Times New Roman" w:hAnsi="Times New Roman" w:cs="Times New Roman"/>
          <w:i/>
          <w:iCs/>
          <w:sz w:val="24"/>
          <w:szCs w:val="24"/>
        </w:rPr>
        <w:t>Medical refusals and inadmissibility</w:t>
      </w:r>
      <w:r w:rsidRPr="00A46E23">
        <w:rPr>
          <w:rFonts w:ascii="Times New Roman" w:hAnsi="Times New Roman" w:cs="Times New Roman"/>
          <w:sz w:val="24"/>
          <w:szCs w:val="24"/>
        </w:rPr>
        <w:t xml:space="preserve"> [Program descriptions]. Aem. https://www.canada.ca/en/immigration-refugees-citizenship/corporate/publications-manuals/operational-bulletins-manuals/standard-requirements/medical-requirements/refusals-inadmissibility.html</w:t>
      </w:r>
    </w:p>
    <w:p w14:paraId="4DE01E89"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Immigration, R. and C. C. (2014, May 28). </w:t>
      </w:r>
      <w:r w:rsidRPr="00A46E23">
        <w:rPr>
          <w:rFonts w:ascii="Times New Roman" w:hAnsi="Times New Roman" w:cs="Times New Roman"/>
          <w:i/>
          <w:iCs/>
          <w:sz w:val="24"/>
          <w:szCs w:val="24"/>
        </w:rPr>
        <w:t>Foreign workers: Assessing medical requirements</w:t>
      </w:r>
      <w:r w:rsidRPr="00A46E23">
        <w:rPr>
          <w:rFonts w:ascii="Times New Roman" w:hAnsi="Times New Roman" w:cs="Times New Roman"/>
          <w:sz w:val="24"/>
          <w:szCs w:val="24"/>
        </w:rPr>
        <w:t xml:space="preserve"> [Program descriptions]. Aem. https://www.canada.ca/en/immigration-refugees-citizenship/corporate/publications-manuals/operational-bulletins-manuals/temporary-residents/foreign-workers/eligibility/assessing-medical-requirements.html</w:t>
      </w:r>
    </w:p>
    <w:p w14:paraId="2A003AD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International Labour Organisation (Ed.). (2010). </w:t>
      </w:r>
      <w:r w:rsidRPr="00A46E23">
        <w:rPr>
          <w:rFonts w:ascii="Times New Roman" w:hAnsi="Times New Roman" w:cs="Times New Roman"/>
          <w:i/>
          <w:iCs/>
          <w:sz w:val="24"/>
          <w:szCs w:val="24"/>
        </w:rPr>
        <w:t>International labour migration: A rights-based approach</w:t>
      </w:r>
      <w:r w:rsidRPr="00A46E23">
        <w:rPr>
          <w:rFonts w:ascii="Times New Roman" w:hAnsi="Times New Roman" w:cs="Times New Roman"/>
          <w:sz w:val="24"/>
          <w:szCs w:val="24"/>
        </w:rPr>
        <w:t>. International Labour Office.</w:t>
      </w:r>
    </w:p>
    <w:p w14:paraId="65DF535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Janovsky, S. (2020). </w:t>
      </w:r>
      <w:r w:rsidRPr="00A46E23">
        <w:rPr>
          <w:rFonts w:ascii="Times New Roman" w:hAnsi="Times New Roman" w:cs="Times New Roman"/>
          <w:i/>
          <w:iCs/>
          <w:sz w:val="24"/>
          <w:szCs w:val="24"/>
        </w:rPr>
        <w:t>COVID-19: Physical Distancing</w:t>
      </w:r>
      <w:r w:rsidRPr="00A46E23">
        <w:rPr>
          <w:rFonts w:ascii="Times New Roman" w:hAnsi="Times New Roman" w:cs="Times New Roman"/>
          <w:sz w:val="24"/>
          <w:szCs w:val="24"/>
        </w:rPr>
        <w:t>. 2.</w:t>
      </w:r>
    </w:p>
    <w:p w14:paraId="438CA0F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Jeffords, S. (2020, June 2). COVID-19 outbreak at Norfolk County farm grows; 164 people test positive. </w:t>
      </w:r>
      <w:r w:rsidRPr="00A46E23">
        <w:rPr>
          <w:rFonts w:ascii="Times New Roman" w:hAnsi="Times New Roman" w:cs="Times New Roman"/>
          <w:i/>
          <w:iCs/>
          <w:sz w:val="24"/>
          <w:szCs w:val="24"/>
        </w:rPr>
        <w:t>The Canadian Press</w:t>
      </w:r>
      <w:r w:rsidRPr="00A46E23">
        <w:rPr>
          <w:rFonts w:ascii="Times New Roman" w:hAnsi="Times New Roman" w:cs="Times New Roman"/>
          <w:sz w:val="24"/>
          <w:szCs w:val="24"/>
        </w:rPr>
        <w:t>. http://global.factiva.com/redir/default.aspx?P=sa&amp;an=CPR0000020200602eg6200aq5&amp;cat=a&amp;ep=ASE</w:t>
      </w:r>
    </w:p>
    <w:p w14:paraId="05073F2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Kalich, A., Heinemann, L., &amp; Ghahari, S. (2016a). A Scoping Review of Immigrant Experience of Health Care Access Barriers in Canada. </w:t>
      </w:r>
      <w:r w:rsidRPr="00A46E23">
        <w:rPr>
          <w:rFonts w:ascii="Times New Roman" w:hAnsi="Times New Roman" w:cs="Times New Roman"/>
          <w:i/>
          <w:iCs/>
          <w:sz w:val="24"/>
          <w:szCs w:val="24"/>
        </w:rPr>
        <w:t>Journal of Immigrant and Minority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w:t>
      </w:r>
      <w:r w:rsidRPr="00A46E23">
        <w:rPr>
          <w:rFonts w:ascii="Times New Roman" w:hAnsi="Times New Roman" w:cs="Times New Roman"/>
          <w:sz w:val="24"/>
          <w:szCs w:val="24"/>
        </w:rPr>
        <w:t>(3), 697–709. https://doi.org/10.1007/s10903-015-0237-6</w:t>
      </w:r>
    </w:p>
    <w:p w14:paraId="020F845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Kalich, A., Heinemann, L., &amp; Ghahari, S. (2016b). A Scoping Review of Immigrant Experience of Health Care Access Barriers in Canada. </w:t>
      </w:r>
      <w:r w:rsidRPr="00A46E23">
        <w:rPr>
          <w:rFonts w:ascii="Times New Roman" w:hAnsi="Times New Roman" w:cs="Times New Roman"/>
          <w:i/>
          <w:iCs/>
          <w:sz w:val="24"/>
          <w:szCs w:val="24"/>
        </w:rPr>
        <w:t>Journal of Immigrant and Minority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w:t>
      </w:r>
      <w:r w:rsidRPr="00A46E23">
        <w:rPr>
          <w:rFonts w:ascii="Times New Roman" w:hAnsi="Times New Roman" w:cs="Times New Roman"/>
          <w:sz w:val="24"/>
          <w:szCs w:val="24"/>
        </w:rPr>
        <w:t>(3), 697–709. https://doi.org/10.1007/s10903-015-0237-6</w:t>
      </w:r>
    </w:p>
    <w:p w14:paraId="28546255" w14:textId="77777777" w:rsidR="00BE37E2" w:rsidRPr="00E67C9A" w:rsidRDefault="00BE37E2" w:rsidP="00A46E23">
      <w:pPr>
        <w:pStyle w:val="Bibliography"/>
        <w:jc w:val="both"/>
        <w:rPr>
          <w:rFonts w:ascii="Times New Roman" w:hAnsi="Times New Roman" w:cs="Times New Roman"/>
          <w:sz w:val="24"/>
          <w:szCs w:val="24"/>
          <w:lang w:val="fr-FR"/>
        </w:rPr>
      </w:pPr>
      <w:r w:rsidRPr="00A46E23">
        <w:rPr>
          <w:rFonts w:ascii="Times New Roman" w:hAnsi="Times New Roman" w:cs="Times New Roman"/>
          <w:sz w:val="24"/>
          <w:szCs w:val="24"/>
        </w:rPr>
        <w:lastRenderedPageBreak/>
        <w:t xml:space="preserve">Kelly, M. L. (2020). </w:t>
      </w:r>
      <w:r w:rsidRPr="00A46E23">
        <w:rPr>
          <w:rFonts w:ascii="Times New Roman" w:hAnsi="Times New Roman" w:cs="Times New Roman"/>
          <w:i/>
          <w:iCs/>
          <w:sz w:val="24"/>
          <w:szCs w:val="24"/>
        </w:rPr>
        <w:t>Scientists Want To Know Why More Men Than Women Are Apparently Dying Of COVID-19</w:t>
      </w:r>
      <w:r w:rsidRPr="00A46E23">
        <w:rPr>
          <w:rFonts w:ascii="Times New Roman" w:hAnsi="Times New Roman" w:cs="Times New Roman"/>
          <w:sz w:val="24"/>
          <w:szCs w:val="24"/>
        </w:rPr>
        <w:t xml:space="preserve">. </w:t>
      </w:r>
      <w:r w:rsidRPr="00E67C9A">
        <w:rPr>
          <w:rFonts w:ascii="Times New Roman" w:hAnsi="Times New Roman" w:cs="Times New Roman"/>
          <w:sz w:val="24"/>
          <w:szCs w:val="24"/>
          <w:lang w:val="fr-FR"/>
        </w:rPr>
        <w:t>NPR.Org. https://www.npr.org/2020/04/08/830205897/scientists-want-to-know-why-more-men-than-women-are-apparently-dying-of-covid-19</w:t>
      </w:r>
    </w:p>
    <w:p w14:paraId="484D2C39" w14:textId="77777777" w:rsidR="00BE37E2" w:rsidRPr="00A46E23" w:rsidRDefault="00BE37E2" w:rsidP="00A46E23">
      <w:pPr>
        <w:pStyle w:val="Bibliography"/>
        <w:jc w:val="both"/>
        <w:rPr>
          <w:rFonts w:ascii="Times New Roman" w:hAnsi="Times New Roman" w:cs="Times New Roman"/>
          <w:sz w:val="24"/>
          <w:szCs w:val="24"/>
        </w:rPr>
      </w:pPr>
      <w:r w:rsidRPr="00E67C9A">
        <w:rPr>
          <w:rFonts w:ascii="Times New Roman" w:hAnsi="Times New Roman" w:cs="Times New Roman"/>
          <w:sz w:val="24"/>
          <w:szCs w:val="24"/>
          <w:lang w:val="fr-FR"/>
        </w:rPr>
        <w:t xml:space="preserve">Kobayashi, K. M., &amp; Prus, S. G. (2012). </w:t>
      </w:r>
      <w:r w:rsidRPr="00A46E23">
        <w:rPr>
          <w:rFonts w:ascii="Times New Roman" w:hAnsi="Times New Roman" w:cs="Times New Roman"/>
          <w:sz w:val="24"/>
          <w:szCs w:val="24"/>
        </w:rPr>
        <w:t xml:space="preserve">Examining the gender, ethnicity, and age dimensions of the healthy immigrant effect: Factors in the development of equitable health policy. </w:t>
      </w:r>
      <w:r w:rsidRPr="00A46E23">
        <w:rPr>
          <w:rFonts w:ascii="Times New Roman" w:hAnsi="Times New Roman" w:cs="Times New Roman"/>
          <w:i/>
          <w:iCs/>
          <w:sz w:val="24"/>
          <w:szCs w:val="24"/>
        </w:rPr>
        <w:t>International Journal for Equity in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11</w:t>
      </w:r>
      <w:r w:rsidRPr="00A46E23">
        <w:rPr>
          <w:rFonts w:ascii="Times New Roman" w:hAnsi="Times New Roman" w:cs="Times New Roman"/>
          <w:sz w:val="24"/>
          <w:szCs w:val="24"/>
        </w:rPr>
        <w:t>, 8–8. https://doi.org/10.1186/1475-9276-11-8</w:t>
      </w:r>
    </w:p>
    <w:p w14:paraId="53A6734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Martin, H., &amp; Finn, S. (2010). </w:t>
      </w:r>
      <w:r w:rsidRPr="00A46E23">
        <w:rPr>
          <w:rFonts w:ascii="Times New Roman" w:hAnsi="Times New Roman" w:cs="Times New Roman"/>
          <w:i/>
          <w:iCs/>
          <w:sz w:val="24"/>
          <w:szCs w:val="24"/>
        </w:rPr>
        <w:t>Masculinity and Femininity in the MMPI-2 and MMPI-A</w:t>
      </w:r>
      <w:r w:rsidRPr="00A46E23">
        <w:rPr>
          <w:rFonts w:ascii="Times New Roman" w:hAnsi="Times New Roman" w:cs="Times New Roman"/>
          <w:sz w:val="24"/>
          <w:szCs w:val="24"/>
        </w:rPr>
        <w:t>. U of Minnesota Press.</w:t>
      </w:r>
    </w:p>
    <w:p w14:paraId="33A14C3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McDonald, J. T., &amp; Kennedy, S. (2004). Insights into the ‘healthy immigrant effect’: Health status and health service use of immigrants to Canada. </w:t>
      </w:r>
      <w:r w:rsidRPr="00A46E23">
        <w:rPr>
          <w:rFonts w:ascii="Times New Roman" w:hAnsi="Times New Roman" w:cs="Times New Roman"/>
          <w:i/>
          <w:iCs/>
          <w:sz w:val="24"/>
          <w:szCs w:val="24"/>
        </w:rPr>
        <w:t>Social Science &amp; Medicine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59</w:t>
      </w:r>
      <w:r w:rsidRPr="00A46E23">
        <w:rPr>
          <w:rFonts w:ascii="Times New Roman" w:hAnsi="Times New Roman" w:cs="Times New Roman"/>
          <w:sz w:val="24"/>
          <w:szCs w:val="24"/>
        </w:rPr>
        <w:t>(8), 1613–1627. https://doi.org/10.1016/j.socscimed.2004.02.004</w:t>
      </w:r>
    </w:p>
    <w:p w14:paraId="4DF51F7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McLaughlin, J. (2009). </w:t>
      </w:r>
      <w:r w:rsidRPr="00A46E23">
        <w:rPr>
          <w:rFonts w:ascii="Times New Roman" w:hAnsi="Times New Roman" w:cs="Times New Roman"/>
          <w:i/>
          <w:iCs/>
          <w:sz w:val="24"/>
          <w:szCs w:val="24"/>
        </w:rPr>
        <w:t>Trouble in our Fields: Health and Human Rights among Mexican and Caribbean Migrant Farm Workers in Canada</w:t>
      </w:r>
      <w:r w:rsidRPr="00A46E23">
        <w:rPr>
          <w:rFonts w:ascii="Times New Roman" w:hAnsi="Times New Roman" w:cs="Times New Roman"/>
          <w:sz w:val="24"/>
          <w:szCs w:val="24"/>
        </w:rPr>
        <w:t>. 676.</w:t>
      </w:r>
    </w:p>
    <w:p w14:paraId="4FC4D10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Mclaughlin, J. (2009). </w:t>
      </w:r>
      <w:r w:rsidRPr="00A46E23">
        <w:rPr>
          <w:rFonts w:ascii="Times New Roman" w:hAnsi="Times New Roman" w:cs="Times New Roman"/>
          <w:i/>
          <w:iCs/>
          <w:sz w:val="24"/>
          <w:szCs w:val="24"/>
        </w:rPr>
        <w:t>Migration and Health: Implications for Development A Case Study of Mexican and Jamaican Migrants in Canada’s Seasonal Agricultural Workers Program</w:t>
      </w:r>
      <w:r w:rsidRPr="00A46E23">
        <w:rPr>
          <w:rFonts w:ascii="Times New Roman" w:hAnsi="Times New Roman" w:cs="Times New Roman"/>
          <w:sz w:val="24"/>
          <w:szCs w:val="24"/>
        </w:rPr>
        <w:t>.</w:t>
      </w:r>
    </w:p>
    <w:p w14:paraId="4C93C73E" w14:textId="77777777" w:rsidR="00BE37E2" w:rsidRPr="00E67C9A" w:rsidRDefault="00BE37E2" w:rsidP="00A46E23">
      <w:pPr>
        <w:pStyle w:val="Bibliography"/>
        <w:jc w:val="both"/>
        <w:rPr>
          <w:rFonts w:ascii="Times New Roman" w:hAnsi="Times New Roman" w:cs="Times New Roman"/>
          <w:sz w:val="24"/>
          <w:szCs w:val="24"/>
          <w:lang w:val="fr-FR"/>
        </w:rPr>
      </w:pPr>
      <w:r w:rsidRPr="00A46E23">
        <w:rPr>
          <w:rFonts w:ascii="Times New Roman" w:hAnsi="Times New Roman" w:cs="Times New Roman"/>
          <w:sz w:val="24"/>
          <w:szCs w:val="24"/>
        </w:rPr>
        <w:t xml:space="preserve">Mellström, U., &amp; Ericson, M. (2014). Masculinity at risk. </w:t>
      </w:r>
      <w:r w:rsidRPr="00E67C9A">
        <w:rPr>
          <w:rFonts w:ascii="Times New Roman" w:hAnsi="Times New Roman" w:cs="Times New Roman"/>
          <w:i/>
          <w:iCs/>
          <w:sz w:val="24"/>
          <w:szCs w:val="24"/>
          <w:lang w:val="fr-FR"/>
        </w:rPr>
        <w:t>NORMA</w:t>
      </w:r>
      <w:r w:rsidRPr="00E67C9A">
        <w:rPr>
          <w:rFonts w:ascii="Times New Roman" w:hAnsi="Times New Roman" w:cs="Times New Roman"/>
          <w:sz w:val="24"/>
          <w:szCs w:val="24"/>
          <w:lang w:val="fr-FR"/>
        </w:rPr>
        <w:t xml:space="preserve">, </w:t>
      </w:r>
      <w:r w:rsidRPr="00E67C9A">
        <w:rPr>
          <w:rFonts w:ascii="Times New Roman" w:hAnsi="Times New Roman" w:cs="Times New Roman"/>
          <w:i/>
          <w:iCs/>
          <w:sz w:val="24"/>
          <w:szCs w:val="24"/>
          <w:lang w:val="fr-FR"/>
        </w:rPr>
        <w:t>9</w:t>
      </w:r>
      <w:r w:rsidRPr="00E67C9A">
        <w:rPr>
          <w:rFonts w:ascii="Times New Roman" w:hAnsi="Times New Roman" w:cs="Times New Roman"/>
          <w:sz w:val="24"/>
          <w:szCs w:val="24"/>
          <w:lang w:val="fr-FR"/>
        </w:rPr>
        <w:t>(3), 147–150. https://doi.org/10.1080/18902138.2014.951181</w:t>
      </w:r>
    </w:p>
    <w:p w14:paraId="5C4F7D39"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t>Mousaid</w:t>
      </w:r>
      <w:proofErr w:type="spellEnd"/>
      <w:r w:rsidRPr="00E67C9A">
        <w:rPr>
          <w:rFonts w:ascii="Times New Roman" w:hAnsi="Times New Roman" w:cs="Times New Roman"/>
          <w:sz w:val="24"/>
          <w:szCs w:val="24"/>
          <w:lang w:val="fr-FR"/>
        </w:rPr>
        <w:t xml:space="preserve">, S., De </w:t>
      </w:r>
      <w:proofErr w:type="spellStart"/>
      <w:r w:rsidRPr="00E67C9A">
        <w:rPr>
          <w:rFonts w:ascii="Times New Roman" w:hAnsi="Times New Roman" w:cs="Times New Roman"/>
          <w:sz w:val="24"/>
          <w:szCs w:val="24"/>
          <w:lang w:val="fr-FR"/>
        </w:rPr>
        <w:t>Moortel</w:t>
      </w:r>
      <w:proofErr w:type="spellEnd"/>
      <w:r w:rsidRPr="00E67C9A">
        <w:rPr>
          <w:rFonts w:ascii="Times New Roman" w:hAnsi="Times New Roman" w:cs="Times New Roman"/>
          <w:sz w:val="24"/>
          <w:szCs w:val="24"/>
          <w:lang w:val="fr-FR"/>
        </w:rPr>
        <w:t xml:space="preserve">, D., </w:t>
      </w:r>
      <w:proofErr w:type="spellStart"/>
      <w:r w:rsidRPr="00E67C9A">
        <w:rPr>
          <w:rFonts w:ascii="Times New Roman" w:hAnsi="Times New Roman" w:cs="Times New Roman"/>
          <w:sz w:val="24"/>
          <w:szCs w:val="24"/>
          <w:lang w:val="fr-FR"/>
        </w:rPr>
        <w:t>Malmusi</w:t>
      </w:r>
      <w:proofErr w:type="spellEnd"/>
      <w:r w:rsidRPr="00E67C9A">
        <w:rPr>
          <w:rFonts w:ascii="Times New Roman" w:hAnsi="Times New Roman" w:cs="Times New Roman"/>
          <w:sz w:val="24"/>
          <w:szCs w:val="24"/>
          <w:lang w:val="fr-FR"/>
        </w:rPr>
        <w:t xml:space="preserve">, D., &amp; </w:t>
      </w:r>
      <w:proofErr w:type="spellStart"/>
      <w:r w:rsidRPr="00E67C9A">
        <w:rPr>
          <w:rFonts w:ascii="Times New Roman" w:hAnsi="Times New Roman" w:cs="Times New Roman"/>
          <w:sz w:val="24"/>
          <w:szCs w:val="24"/>
          <w:lang w:val="fr-FR"/>
        </w:rPr>
        <w:t>Vanroelen</w:t>
      </w:r>
      <w:proofErr w:type="spellEnd"/>
      <w:r w:rsidRPr="00E67C9A">
        <w:rPr>
          <w:rFonts w:ascii="Times New Roman" w:hAnsi="Times New Roman" w:cs="Times New Roman"/>
          <w:sz w:val="24"/>
          <w:szCs w:val="24"/>
          <w:lang w:val="fr-FR"/>
        </w:rPr>
        <w:t xml:space="preserve">, C. (2016). </w:t>
      </w:r>
      <w:r w:rsidRPr="00A46E23">
        <w:rPr>
          <w:rFonts w:ascii="Times New Roman" w:hAnsi="Times New Roman" w:cs="Times New Roman"/>
          <w:sz w:val="24"/>
          <w:szCs w:val="24"/>
        </w:rPr>
        <w:t xml:space="preserve">New perspectives on occupational health and safety in immigrant populations: Studying the intersection between immigrant background and gender. </w:t>
      </w:r>
      <w:r w:rsidRPr="00A46E23">
        <w:rPr>
          <w:rFonts w:ascii="Times New Roman" w:hAnsi="Times New Roman" w:cs="Times New Roman"/>
          <w:i/>
          <w:iCs/>
          <w:sz w:val="24"/>
          <w:szCs w:val="24"/>
        </w:rPr>
        <w:t>Ethnicity &amp;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21</w:t>
      </w:r>
      <w:r w:rsidRPr="00A46E23">
        <w:rPr>
          <w:rFonts w:ascii="Times New Roman" w:hAnsi="Times New Roman" w:cs="Times New Roman"/>
          <w:sz w:val="24"/>
          <w:szCs w:val="24"/>
        </w:rPr>
        <w:t>(3), 251–267. https://doi.org/10.1080/13557858.2015.1061103</w:t>
      </w:r>
    </w:p>
    <w:p w14:paraId="7083DC8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National Farmers Union. (2020). </w:t>
      </w:r>
      <w:r w:rsidRPr="00A46E23">
        <w:rPr>
          <w:rFonts w:ascii="Times New Roman" w:hAnsi="Times New Roman" w:cs="Times New Roman"/>
          <w:i/>
          <w:iCs/>
          <w:sz w:val="24"/>
          <w:szCs w:val="24"/>
        </w:rPr>
        <w:t>Meat packing concentration makes Canada’s food system vulnerable</w:t>
      </w:r>
      <w:r w:rsidRPr="00A46E23">
        <w:rPr>
          <w:rFonts w:ascii="Times New Roman" w:hAnsi="Times New Roman" w:cs="Times New Roman"/>
          <w:sz w:val="24"/>
          <w:szCs w:val="24"/>
        </w:rPr>
        <w:t>. National Farmers Union. https://www.nfu.ca/policy/meat-packing-concentration-makes-canadas-food-system-vulnerable/</w:t>
      </w:r>
    </w:p>
    <w:p w14:paraId="0DB02BAB"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Neustaeter, B. (2020). </w:t>
      </w:r>
      <w:r w:rsidRPr="00A46E23">
        <w:rPr>
          <w:rFonts w:ascii="Times New Roman" w:hAnsi="Times New Roman" w:cs="Times New Roman"/>
          <w:i/>
          <w:iCs/>
          <w:sz w:val="24"/>
          <w:szCs w:val="24"/>
        </w:rPr>
        <w:t>These are the meat plants in Canada affected by the coronavirus outbreak</w:t>
      </w:r>
      <w:r w:rsidRPr="00A46E23">
        <w:rPr>
          <w:rFonts w:ascii="Times New Roman" w:hAnsi="Times New Roman" w:cs="Times New Roman"/>
          <w:sz w:val="24"/>
          <w:szCs w:val="24"/>
        </w:rPr>
        <w:t>. Coronavirus. https://www.ctvnews.ca/health/coronavirus/these-are-the-meat-plants-in-canada-affected-by-the-coronavirus-outbreak-1.4916957</w:t>
      </w:r>
    </w:p>
    <w:p w14:paraId="3A88061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Ng, E., Statistics Canada, &amp; Health Analysis Division. (2011). </w:t>
      </w:r>
      <w:r w:rsidRPr="00A46E23">
        <w:rPr>
          <w:rFonts w:ascii="Times New Roman" w:hAnsi="Times New Roman" w:cs="Times New Roman"/>
          <w:i/>
          <w:iCs/>
          <w:sz w:val="24"/>
          <w:szCs w:val="24"/>
        </w:rPr>
        <w:t>Insights into the healthy immigrant effect: Mortality by period of immigration and birthplace</w:t>
      </w:r>
      <w:r w:rsidRPr="00A46E23">
        <w:rPr>
          <w:rFonts w:ascii="Times New Roman" w:hAnsi="Times New Roman" w:cs="Times New Roman"/>
          <w:sz w:val="24"/>
          <w:szCs w:val="24"/>
        </w:rPr>
        <w:t>. Statistics Canada, Health Analysis Division. https://www.deslibris.ca/ID/230002</w:t>
      </w:r>
    </w:p>
    <w:p w14:paraId="0F5E07A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Nikiforuk, A. (2020, April 24). </w:t>
      </w:r>
      <w:r w:rsidRPr="00A46E23">
        <w:rPr>
          <w:rFonts w:ascii="Times New Roman" w:hAnsi="Times New Roman" w:cs="Times New Roman"/>
          <w:i/>
          <w:iCs/>
          <w:sz w:val="24"/>
          <w:szCs w:val="24"/>
        </w:rPr>
        <w:t>Ignoring US Alarms, Alberta Meat Packers Spawned Canada’s Biggest Outbreak</w:t>
      </w:r>
      <w:r w:rsidRPr="00A46E23">
        <w:rPr>
          <w:rFonts w:ascii="Times New Roman" w:hAnsi="Times New Roman" w:cs="Times New Roman"/>
          <w:sz w:val="24"/>
          <w:szCs w:val="24"/>
        </w:rPr>
        <w:t>. The Tyee; The Tyee. https://thetyee.ca/News/2020/04/24/Alberta-Meat-Packers-COVID-Outbreak/</w:t>
      </w:r>
    </w:p>
    <w:p w14:paraId="25578794" w14:textId="77777777" w:rsidR="00BE37E2" w:rsidRPr="00E67C9A" w:rsidRDefault="00BE37E2" w:rsidP="00A46E23">
      <w:pPr>
        <w:pStyle w:val="Bibliography"/>
        <w:jc w:val="both"/>
        <w:rPr>
          <w:rFonts w:ascii="Times New Roman" w:hAnsi="Times New Roman" w:cs="Times New Roman"/>
          <w:sz w:val="24"/>
          <w:szCs w:val="24"/>
          <w:lang w:val="fr-FR"/>
        </w:rPr>
      </w:pPr>
      <w:r w:rsidRPr="00A46E23">
        <w:rPr>
          <w:rFonts w:ascii="Times New Roman" w:hAnsi="Times New Roman" w:cs="Times New Roman"/>
          <w:sz w:val="24"/>
          <w:szCs w:val="24"/>
        </w:rPr>
        <w:t xml:space="preserve">Noticias Financieras News. (2020, August 19). Mexican temporary dismissal reveals reprisals and coercion in Canada. </w:t>
      </w:r>
      <w:r w:rsidRPr="00E67C9A">
        <w:rPr>
          <w:rFonts w:ascii="Times New Roman" w:hAnsi="Times New Roman" w:cs="Times New Roman"/>
          <w:i/>
          <w:iCs/>
          <w:sz w:val="24"/>
          <w:szCs w:val="24"/>
          <w:lang w:val="fr-FR"/>
        </w:rPr>
        <w:t xml:space="preserve">CE </w:t>
      </w:r>
      <w:proofErr w:type="spellStart"/>
      <w:r w:rsidRPr="00E67C9A">
        <w:rPr>
          <w:rFonts w:ascii="Times New Roman" w:hAnsi="Times New Roman" w:cs="Times New Roman"/>
          <w:i/>
          <w:iCs/>
          <w:sz w:val="24"/>
          <w:szCs w:val="24"/>
          <w:lang w:val="fr-FR"/>
        </w:rPr>
        <w:t>NoticiasFinancieras</w:t>
      </w:r>
      <w:proofErr w:type="spellEnd"/>
      <w:r w:rsidRPr="00E67C9A">
        <w:rPr>
          <w:rFonts w:ascii="Times New Roman" w:hAnsi="Times New Roman" w:cs="Times New Roman"/>
          <w:sz w:val="24"/>
          <w:szCs w:val="24"/>
          <w:lang w:val="fr-FR"/>
        </w:rPr>
        <w:t>. http://global.factiva.com/redir/default.aspx?P=sa&amp;an=NFINCE0020200820eg8j002br&amp;cat=a&amp;ep=ASE</w:t>
      </w:r>
    </w:p>
    <w:p w14:paraId="29F8F54F"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A46E23">
        <w:rPr>
          <w:rFonts w:ascii="Times New Roman" w:hAnsi="Times New Roman" w:cs="Times New Roman"/>
          <w:sz w:val="24"/>
          <w:szCs w:val="24"/>
        </w:rPr>
        <w:t>Orrenius</w:t>
      </w:r>
      <w:proofErr w:type="spellEnd"/>
      <w:r w:rsidRPr="00A46E23">
        <w:rPr>
          <w:rFonts w:ascii="Times New Roman" w:hAnsi="Times New Roman" w:cs="Times New Roman"/>
          <w:sz w:val="24"/>
          <w:szCs w:val="24"/>
        </w:rPr>
        <w:t xml:space="preserve">, P. M., &amp; Zavodny, M. (2009). Do Immigrants Work in Riskier Jobs?*. </w:t>
      </w:r>
      <w:r w:rsidRPr="00A46E23">
        <w:rPr>
          <w:rFonts w:ascii="Times New Roman" w:hAnsi="Times New Roman" w:cs="Times New Roman"/>
          <w:i/>
          <w:iCs/>
          <w:sz w:val="24"/>
          <w:szCs w:val="24"/>
        </w:rPr>
        <w:t>Demography (Pre-2011); Silver Spring</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46</w:t>
      </w:r>
      <w:r w:rsidRPr="00A46E23">
        <w:rPr>
          <w:rFonts w:ascii="Times New Roman" w:hAnsi="Times New Roman" w:cs="Times New Roman"/>
          <w:sz w:val="24"/>
          <w:szCs w:val="24"/>
        </w:rPr>
        <w:t>(3), 535–551.</w:t>
      </w:r>
    </w:p>
    <w:p w14:paraId="4EE7A88C"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Otero, G. (2019). Migration or immigration? Commentary on Leigh Binford’s article. </w:t>
      </w:r>
      <w:r w:rsidRPr="00A46E23">
        <w:rPr>
          <w:rFonts w:ascii="Times New Roman" w:hAnsi="Times New Roman" w:cs="Times New Roman"/>
          <w:i/>
          <w:iCs/>
          <w:sz w:val="24"/>
          <w:szCs w:val="24"/>
        </w:rPr>
        <w:t>Dialectical Anthropology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43</w:t>
      </w:r>
      <w:r w:rsidRPr="00A46E23">
        <w:rPr>
          <w:rFonts w:ascii="Times New Roman" w:hAnsi="Times New Roman" w:cs="Times New Roman"/>
          <w:sz w:val="24"/>
          <w:szCs w:val="24"/>
        </w:rPr>
        <w:t>(4), 375–379. http://dx.doi.org.proxy.bib.uottawa.ca/10.1007/s10624-019-09555-4</w:t>
      </w:r>
    </w:p>
    <w:p w14:paraId="2839DC5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Parlow, S. B. (2011). Masculinity as a Center, Centered Masculinity. </w:t>
      </w:r>
      <w:r w:rsidRPr="00A46E23">
        <w:rPr>
          <w:rFonts w:ascii="Times New Roman" w:hAnsi="Times New Roman" w:cs="Times New Roman"/>
          <w:i/>
          <w:iCs/>
          <w:sz w:val="24"/>
          <w:szCs w:val="24"/>
        </w:rPr>
        <w:t>Studies in Gender and Sexuality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12</w:t>
      </w:r>
      <w:r w:rsidRPr="00A46E23">
        <w:rPr>
          <w:rFonts w:ascii="Times New Roman" w:hAnsi="Times New Roman" w:cs="Times New Roman"/>
          <w:sz w:val="24"/>
          <w:szCs w:val="24"/>
        </w:rPr>
        <w:t>(3), 213–220. https://doi.org/10.1080/15240657.2011.585921</w:t>
      </w:r>
    </w:p>
    <w:p w14:paraId="4EC6315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Pawlowski, B., Atwal, R., &amp; Dunbar, R. I. M. (2008). Sex Differences in Everyday Risk-Taking Behavior in Humans. </w:t>
      </w:r>
      <w:r w:rsidRPr="00A46E23">
        <w:rPr>
          <w:rFonts w:ascii="Times New Roman" w:hAnsi="Times New Roman" w:cs="Times New Roman"/>
          <w:i/>
          <w:iCs/>
          <w:sz w:val="24"/>
          <w:szCs w:val="24"/>
        </w:rPr>
        <w:t>Evolutionary Psychology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6</w:t>
      </w:r>
      <w:r w:rsidRPr="00A46E23">
        <w:rPr>
          <w:rFonts w:ascii="Times New Roman" w:hAnsi="Times New Roman" w:cs="Times New Roman"/>
          <w:sz w:val="24"/>
          <w:szCs w:val="24"/>
        </w:rPr>
        <w:t>(1), 147470490800600100. https://doi.org/10.1177/147470490800600104</w:t>
      </w:r>
    </w:p>
    <w:p w14:paraId="245FEAF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Pennell, J. (2021). </w:t>
      </w:r>
      <w:r w:rsidRPr="00A46E23">
        <w:rPr>
          <w:rFonts w:ascii="Times New Roman" w:hAnsi="Times New Roman" w:cs="Times New Roman"/>
          <w:i/>
          <w:iCs/>
          <w:sz w:val="24"/>
          <w:szCs w:val="24"/>
        </w:rPr>
        <w:t>Union official wants meat-plant workers on early COVID-19 vaccine list | CBC News</w:t>
      </w:r>
      <w:r w:rsidRPr="00A46E23">
        <w:rPr>
          <w:rFonts w:ascii="Times New Roman" w:hAnsi="Times New Roman" w:cs="Times New Roman"/>
          <w:sz w:val="24"/>
          <w:szCs w:val="24"/>
        </w:rPr>
        <w:t>. CBC. https://www.cbc.ca/news/canada/calgary/alberta-meatpacking-workers-covid-19-vaccine-union-cargill-jbs-1.5889640</w:t>
      </w:r>
    </w:p>
    <w:p w14:paraId="0EC5D21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Perry, J. A. (2018). Living at Work and Intra-worker Sociality Among Migrant Farm Workers in Canada. </w:t>
      </w:r>
      <w:r w:rsidRPr="00A46E23">
        <w:rPr>
          <w:rFonts w:ascii="Times New Roman" w:hAnsi="Times New Roman" w:cs="Times New Roman"/>
          <w:i/>
          <w:iCs/>
          <w:sz w:val="24"/>
          <w:szCs w:val="24"/>
        </w:rPr>
        <w:t>Journal of International Migration and Integration</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19</w:t>
      </w:r>
      <w:r w:rsidRPr="00A46E23">
        <w:rPr>
          <w:rFonts w:ascii="Times New Roman" w:hAnsi="Times New Roman" w:cs="Times New Roman"/>
          <w:sz w:val="24"/>
          <w:szCs w:val="24"/>
        </w:rPr>
        <w:t>(4), 1021–1036. https://doi.org/10.1007/s12134-018-0583-z</w:t>
      </w:r>
    </w:p>
    <w:p w14:paraId="56194CFD"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Pocock, N. S., Kiss, L., Oram, S., &amp; Zimmerman, C. (2016). Labour Trafficking among Men and Boys in the Greater Mekong Subregion: Exploitation, Violence, Occupational Health Risks and Injuries. </w:t>
      </w:r>
      <w:r w:rsidRPr="00A46E23">
        <w:rPr>
          <w:rFonts w:ascii="Times New Roman" w:hAnsi="Times New Roman" w:cs="Times New Roman"/>
          <w:i/>
          <w:iCs/>
          <w:sz w:val="24"/>
          <w:szCs w:val="24"/>
        </w:rPr>
        <w:t>PLoS One; San Francisco</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11</w:t>
      </w:r>
      <w:r w:rsidRPr="00A46E23">
        <w:rPr>
          <w:rFonts w:ascii="Times New Roman" w:hAnsi="Times New Roman" w:cs="Times New Roman"/>
          <w:sz w:val="24"/>
          <w:szCs w:val="24"/>
        </w:rPr>
        <w:t>(12), e0168500. http://dx.doi.org.proxy.bib.uottawa.ca/10.1371/journal.pone.0168500</w:t>
      </w:r>
    </w:p>
    <w:p w14:paraId="23AB6C3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Preibisch, K., &amp; Hennebry, J. (2011). Temporary migration, chronic effects: The health of international migrant workers in Canada. </w:t>
      </w:r>
      <w:r w:rsidRPr="00A46E23">
        <w:rPr>
          <w:rFonts w:ascii="Times New Roman" w:hAnsi="Times New Roman" w:cs="Times New Roman"/>
          <w:i/>
          <w:iCs/>
          <w:sz w:val="24"/>
          <w:szCs w:val="24"/>
        </w:rPr>
        <w:t>Canadian Medical Association Journal</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183</w:t>
      </w:r>
      <w:r w:rsidRPr="00A46E23">
        <w:rPr>
          <w:rFonts w:ascii="Times New Roman" w:hAnsi="Times New Roman" w:cs="Times New Roman"/>
          <w:sz w:val="24"/>
          <w:szCs w:val="24"/>
        </w:rPr>
        <w:t>(9), 1033–1038. https://doi.org/10.1503/cmaj.090736</w:t>
      </w:r>
    </w:p>
    <w:p w14:paraId="026244F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Pysklywec, M., McLaughlin, J., Tew, M., &amp; Haines, T. (2011). Doctors within borders: Meeting the health care needs of migrant farm workers in Canada. </w:t>
      </w:r>
      <w:r w:rsidRPr="00A46E23">
        <w:rPr>
          <w:rFonts w:ascii="Times New Roman" w:hAnsi="Times New Roman" w:cs="Times New Roman"/>
          <w:i/>
          <w:iCs/>
          <w:sz w:val="24"/>
          <w:szCs w:val="24"/>
        </w:rPr>
        <w:t>CMAJ</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183</w:t>
      </w:r>
      <w:r w:rsidRPr="00A46E23">
        <w:rPr>
          <w:rFonts w:ascii="Times New Roman" w:hAnsi="Times New Roman" w:cs="Times New Roman"/>
          <w:sz w:val="24"/>
          <w:szCs w:val="24"/>
        </w:rPr>
        <w:t>(9), 1039–1042. https://doi.org/10.1503/cmaj.091404</w:t>
      </w:r>
    </w:p>
    <w:p w14:paraId="0EFC247A"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Ramos, A. K., Carvajal‐Suarez, M., Trinidad, N., Quintero, S., Molina, D., &amp; Rowland, S. A. (2021). “No somos máquinas” (We are not machines): Worker perspectives of safety culture in meatpacking plants in the Midwest. </w:t>
      </w:r>
      <w:r w:rsidRPr="00A46E23">
        <w:rPr>
          <w:rFonts w:ascii="Times New Roman" w:hAnsi="Times New Roman" w:cs="Times New Roman"/>
          <w:i/>
          <w:iCs/>
          <w:sz w:val="24"/>
          <w:szCs w:val="24"/>
        </w:rPr>
        <w:t>American Journal of Industrial Medicine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64</w:t>
      </w:r>
      <w:r w:rsidRPr="00A46E23">
        <w:rPr>
          <w:rFonts w:ascii="Times New Roman" w:hAnsi="Times New Roman" w:cs="Times New Roman"/>
          <w:sz w:val="24"/>
          <w:szCs w:val="24"/>
        </w:rPr>
        <w:t>(2), 84–96. https://doi.org/10.1002/ajim.23206</w:t>
      </w:r>
    </w:p>
    <w:p w14:paraId="7A101C0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Ramos, A. K., Lowe, A. E., Herstein, J. J., Schwedhelm, S., Dineen, K. K., &amp; Lowe, J. J. (2020a). Invisible No More: The Impact of COVID-19 on Essential Food Production Workers. </w:t>
      </w:r>
      <w:r w:rsidRPr="00A46E23">
        <w:rPr>
          <w:rFonts w:ascii="Times New Roman" w:hAnsi="Times New Roman" w:cs="Times New Roman"/>
          <w:i/>
          <w:iCs/>
          <w:sz w:val="24"/>
          <w:szCs w:val="24"/>
        </w:rPr>
        <w:t>Journal of Agromedicine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25</w:t>
      </w:r>
      <w:r w:rsidRPr="00A46E23">
        <w:rPr>
          <w:rFonts w:ascii="Times New Roman" w:hAnsi="Times New Roman" w:cs="Times New Roman"/>
          <w:sz w:val="24"/>
          <w:szCs w:val="24"/>
        </w:rPr>
        <w:t>(4), 378–382. https://doi.org/10.1080/1059924X.2020.1814925</w:t>
      </w:r>
    </w:p>
    <w:p w14:paraId="570F78B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Ramos, A. K., Lowe, A. E., Herstein, J. J., Schwedhelm, S., Dineen, K. K., &amp; Lowe, J. J. (2020b). Invisible No More: The Impact of COVID-19 on Essential Food Production Workers. </w:t>
      </w:r>
      <w:r w:rsidRPr="00A46E23">
        <w:rPr>
          <w:rFonts w:ascii="Times New Roman" w:hAnsi="Times New Roman" w:cs="Times New Roman"/>
          <w:i/>
          <w:iCs/>
          <w:sz w:val="24"/>
          <w:szCs w:val="24"/>
        </w:rPr>
        <w:t>Journal of Agromedicine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25</w:t>
      </w:r>
      <w:r w:rsidRPr="00A46E23">
        <w:rPr>
          <w:rFonts w:ascii="Times New Roman" w:hAnsi="Times New Roman" w:cs="Times New Roman"/>
          <w:sz w:val="24"/>
          <w:szCs w:val="24"/>
        </w:rPr>
        <w:t>(4), 378–382. https://doi.org/10.1080/1059924X.2020.1814925</w:t>
      </w:r>
    </w:p>
    <w:p w14:paraId="0796748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RealAgriculture. (2020). Canadian government confirms temporary foreign workers will be exempt from travel restrictions. </w:t>
      </w:r>
      <w:r w:rsidRPr="00A46E23">
        <w:rPr>
          <w:rFonts w:ascii="Times New Roman" w:hAnsi="Times New Roman" w:cs="Times New Roman"/>
          <w:i/>
          <w:iCs/>
          <w:sz w:val="24"/>
          <w:szCs w:val="24"/>
        </w:rPr>
        <w:t>RealAgriculture.Com</w:t>
      </w:r>
      <w:r w:rsidRPr="00A46E23">
        <w:rPr>
          <w:rFonts w:ascii="Times New Roman" w:hAnsi="Times New Roman" w:cs="Times New Roman"/>
          <w:sz w:val="24"/>
          <w:szCs w:val="24"/>
        </w:rPr>
        <w:t>. https://www.realagriculture.com/2020/03/temporary-foreign-workers-will-be-allowed-in-to-canada-but-details-still-unclear/</w:t>
      </w:r>
    </w:p>
    <w:p w14:paraId="3200F812"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Rieger, S. (2020). </w:t>
      </w:r>
      <w:r w:rsidRPr="00A46E23">
        <w:rPr>
          <w:rFonts w:ascii="Times New Roman" w:hAnsi="Times New Roman" w:cs="Times New Roman"/>
          <w:i/>
          <w:iCs/>
          <w:sz w:val="24"/>
          <w:szCs w:val="24"/>
        </w:rPr>
        <w:t>OHS investigating Canada’s largest COVID-19 outbreak at meat plant after worker’s death | CBC News</w:t>
      </w:r>
      <w:r w:rsidRPr="00A46E23">
        <w:rPr>
          <w:rFonts w:ascii="Times New Roman" w:hAnsi="Times New Roman" w:cs="Times New Roman"/>
          <w:sz w:val="24"/>
          <w:szCs w:val="24"/>
        </w:rPr>
        <w:t>. CBC. https://www.cbc.ca/news/canada/calgary/ohs-fatality-inquiry-cargill-1.5541655</w:t>
      </w:r>
    </w:p>
    <w:p w14:paraId="6A3997A3"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Ronda Pérez, E., Benavides, F. G., Levecque, K., Love, J. G., Felt, E., &amp; Van Rossem, R. (2012). Differences in working conditions and employment arrangements among migrant and non-migrant workers in Europe. </w:t>
      </w:r>
      <w:r w:rsidRPr="00A46E23">
        <w:rPr>
          <w:rFonts w:ascii="Times New Roman" w:hAnsi="Times New Roman" w:cs="Times New Roman"/>
          <w:i/>
          <w:iCs/>
          <w:sz w:val="24"/>
          <w:szCs w:val="24"/>
        </w:rPr>
        <w:t>Ethnicity &amp;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17</w:t>
      </w:r>
      <w:r w:rsidRPr="00A46E23">
        <w:rPr>
          <w:rFonts w:ascii="Times New Roman" w:hAnsi="Times New Roman" w:cs="Times New Roman"/>
          <w:sz w:val="24"/>
          <w:szCs w:val="24"/>
        </w:rPr>
        <w:t>(6), 563–577. https://doi.org/10.1080/13557858.2012.730606</w:t>
      </w:r>
    </w:p>
    <w:p w14:paraId="3E7B44E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Rosella, L. C., Calzavara, A., Frank, J. W., Fitzpatrick, T., Donnelly, P. D., &amp; Henry, D. (2016). Narrowing mortality gap between men and women over two decades: A registry-based study in Ontario, Canada. </w:t>
      </w:r>
      <w:r w:rsidRPr="00A46E23">
        <w:rPr>
          <w:rFonts w:ascii="Times New Roman" w:hAnsi="Times New Roman" w:cs="Times New Roman"/>
          <w:i/>
          <w:iCs/>
          <w:sz w:val="24"/>
          <w:szCs w:val="24"/>
        </w:rPr>
        <w:t>BMJ Open</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6</w:t>
      </w:r>
      <w:r w:rsidRPr="00A46E23">
        <w:rPr>
          <w:rFonts w:ascii="Times New Roman" w:hAnsi="Times New Roman" w:cs="Times New Roman"/>
          <w:sz w:val="24"/>
          <w:szCs w:val="24"/>
        </w:rPr>
        <w:t>(11), e012564. https://doi.org/10.1136/bmjopen-2016-012564</w:t>
      </w:r>
    </w:p>
    <w:p w14:paraId="1A0EE8A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Ross, L. (2018). </w:t>
      </w:r>
      <w:r w:rsidRPr="00A46E23">
        <w:rPr>
          <w:rFonts w:ascii="Times New Roman" w:hAnsi="Times New Roman" w:cs="Times New Roman"/>
          <w:i/>
          <w:iCs/>
          <w:sz w:val="24"/>
          <w:szCs w:val="24"/>
        </w:rPr>
        <w:t>The plight of farm workers in Canada</w:t>
      </w:r>
      <w:r w:rsidRPr="00A46E23">
        <w:rPr>
          <w:rFonts w:ascii="Times New Roman" w:hAnsi="Times New Roman" w:cs="Times New Roman"/>
          <w:sz w:val="24"/>
          <w:szCs w:val="24"/>
        </w:rPr>
        <w:t>. Rabble.Ca. https://rabble.ca/columnists/2018/05/plight-farm-workers-canada</w:t>
      </w:r>
    </w:p>
    <w:p w14:paraId="48FEF706" w14:textId="77777777" w:rsidR="00BE37E2" w:rsidRPr="00A46E23" w:rsidRDefault="00BE37E2" w:rsidP="00A46E23">
      <w:pPr>
        <w:pStyle w:val="Bibliography"/>
        <w:jc w:val="both"/>
        <w:rPr>
          <w:rFonts w:ascii="Times New Roman" w:hAnsi="Times New Roman" w:cs="Times New Roman"/>
          <w:sz w:val="24"/>
          <w:szCs w:val="24"/>
        </w:rPr>
      </w:pPr>
      <w:proofErr w:type="spellStart"/>
      <w:r w:rsidRPr="00E67C9A">
        <w:rPr>
          <w:rFonts w:ascii="Times New Roman" w:hAnsi="Times New Roman" w:cs="Times New Roman"/>
          <w:sz w:val="24"/>
          <w:szCs w:val="24"/>
          <w:lang w:val="fr-FR"/>
        </w:rPr>
        <w:t>Sánchez-López</w:t>
      </w:r>
      <w:proofErr w:type="spellEnd"/>
      <w:r w:rsidRPr="00E67C9A">
        <w:rPr>
          <w:rFonts w:ascii="Times New Roman" w:hAnsi="Times New Roman" w:cs="Times New Roman"/>
          <w:sz w:val="24"/>
          <w:szCs w:val="24"/>
          <w:lang w:val="fr-FR"/>
        </w:rPr>
        <w:t xml:space="preserve">, M. P., &amp; </w:t>
      </w:r>
      <w:proofErr w:type="spellStart"/>
      <w:r w:rsidRPr="00E67C9A">
        <w:rPr>
          <w:rFonts w:ascii="Times New Roman" w:hAnsi="Times New Roman" w:cs="Times New Roman"/>
          <w:sz w:val="24"/>
          <w:szCs w:val="24"/>
          <w:lang w:val="fr-FR"/>
        </w:rPr>
        <w:t>Limiñana</w:t>
      </w:r>
      <w:proofErr w:type="spellEnd"/>
      <w:r w:rsidRPr="00E67C9A">
        <w:rPr>
          <w:rFonts w:ascii="Times New Roman" w:hAnsi="Times New Roman" w:cs="Times New Roman"/>
          <w:sz w:val="24"/>
          <w:szCs w:val="24"/>
          <w:lang w:val="fr-FR"/>
        </w:rPr>
        <w:t xml:space="preserve">-Gras, R. M. (2017). </w:t>
      </w:r>
      <w:r w:rsidRPr="00A46E23">
        <w:rPr>
          <w:rFonts w:ascii="Times New Roman" w:hAnsi="Times New Roman" w:cs="Times New Roman"/>
          <w:sz w:val="24"/>
          <w:szCs w:val="24"/>
        </w:rPr>
        <w:t xml:space="preserve">Health From a Gender Perspective. In </w:t>
      </w:r>
      <w:r w:rsidRPr="00A46E23">
        <w:rPr>
          <w:rFonts w:ascii="Times New Roman" w:hAnsi="Times New Roman" w:cs="Times New Roman"/>
          <w:i/>
          <w:iCs/>
          <w:sz w:val="24"/>
          <w:szCs w:val="24"/>
        </w:rPr>
        <w:t>The Psychology of Gender and Health</w:t>
      </w:r>
      <w:r w:rsidRPr="00A46E23">
        <w:rPr>
          <w:rFonts w:ascii="Times New Roman" w:hAnsi="Times New Roman" w:cs="Times New Roman"/>
          <w:sz w:val="24"/>
          <w:szCs w:val="24"/>
        </w:rPr>
        <w:t xml:space="preserve"> (pp. 1–52). Elsevier. https://doi.org/10.1016/B978-0-12-803864-2.00001-8</w:t>
      </w:r>
    </w:p>
    <w:p w14:paraId="7857842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Sanou, D., O’Reilly, E., Ngnie-Teta, I., Batal, M., Mondain, N., Andrew, C., Newbold, B. K., &amp; Bourgeault, I. L. (2014). Acculturation and Nutritional Health of Immigrants in Canada: A Scoping Review. </w:t>
      </w:r>
      <w:r w:rsidRPr="00A46E23">
        <w:rPr>
          <w:rFonts w:ascii="Times New Roman" w:hAnsi="Times New Roman" w:cs="Times New Roman"/>
          <w:i/>
          <w:iCs/>
          <w:sz w:val="24"/>
          <w:szCs w:val="24"/>
        </w:rPr>
        <w:t>Journal of Immigrant and Minority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16</w:t>
      </w:r>
      <w:r w:rsidRPr="00A46E23">
        <w:rPr>
          <w:rFonts w:ascii="Times New Roman" w:hAnsi="Times New Roman" w:cs="Times New Roman"/>
          <w:sz w:val="24"/>
          <w:szCs w:val="24"/>
        </w:rPr>
        <w:t>(1), 24–34. https://doi.org/10.1007/s10903-013-9823-7</w:t>
      </w:r>
    </w:p>
    <w:p w14:paraId="5075F0B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Sinatti, G. (2014). Masculinities and Intersectionality in Migration: Transnational Wolof Migrants Negotiating Manhood and Gendered Family Roles. In T.-D. Truong, D. Gasper, J. Handmaker, &amp; S. I. Bergh (Eds.), </w:t>
      </w:r>
      <w:r w:rsidRPr="00A46E23">
        <w:rPr>
          <w:rFonts w:ascii="Times New Roman" w:hAnsi="Times New Roman" w:cs="Times New Roman"/>
          <w:i/>
          <w:iCs/>
          <w:sz w:val="24"/>
          <w:szCs w:val="24"/>
        </w:rPr>
        <w:t>Migration, Gender and Social Justice</w:t>
      </w:r>
      <w:r w:rsidRPr="00A46E23">
        <w:rPr>
          <w:rFonts w:ascii="Times New Roman" w:hAnsi="Times New Roman" w:cs="Times New Roman"/>
          <w:sz w:val="24"/>
          <w:szCs w:val="24"/>
        </w:rPr>
        <w:t xml:space="preserve"> (Vol. 9, pp. 215–226). Springer Berlin Heidelberg. https://doi.org/10.1007/978-3-642-28012-2_11</w:t>
      </w:r>
    </w:p>
    <w:p w14:paraId="57A04B7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Spitzer, D. L. (2016). </w:t>
      </w:r>
      <w:r w:rsidRPr="00A46E23">
        <w:rPr>
          <w:rFonts w:ascii="Times New Roman" w:hAnsi="Times New Roman" w:cs="Times New Roman"/>
          <w:i/>
          <w:iCs/>
          <w:sz w:val="24"/>
          <w:szCs w:val="24"/>
        </w:rPr>
        <w:t>5</w:t>
      </w:r>
      <w:r w:rsidRPr="00A46E23">
        <w:rPr>
          <w:rFonts w:ascii="Times New Roman" w:hAnsi="Times New Roman" w:cs="Times New Roman"/>
          <w:i/>
          <w:iCs/>
          <w:sz w:val="24"/>
          <w:szCs w:val="24"/>
        </w:rPr>
        <w:t> </w:t>
      </w:r>
      <w:r w:rsidRPr="00A46E23">
        <w:rPr>
          <w:rFonts w:ascii="Times New Roman" w:hAnsi="Times New Roman" w:cs="Times New Roman"/>
          <w:i/>
          <w:iCs/>
          <w:sz w:val="24"/>
          <w:szCs w:val="24"/>
        </w:rPr>
        <w:t xml:space="preserve"> Migration and health through an intersectional lens</w:t>
      </w:r>
      <w:r w:rsidRPr="00A46E23">
        <w:rPr>
          <w:rFonts w:ascii="Times New Roman" w:hAnsi="Times New Roman" w:cs="Times New Roman"/>
          <w:sz w:val="24"/>
          <w:szCs w:val="24"/>
        </w:rPr>
        <w:t>. 18.</w:t>
      </w:r>
    </w:p>
    <w:p w14:paraId="3B7BC37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Stastna, K. (2012). </w:t>
      </w:r>
      <w:r w:rsidRPr="00A46E23">
        <w:rPr>
          <w:rFonts w:ascii="Times New Roman" w:hAnsi="Times New Roman" w:cs="Times New Roman"/>
          <w:i/>
          <w:iCs/>
          <w:sz w:val="24"/>
          <w:szCs w:val="24"/>
        </w:rPr>
        <w:t>Canada’s migrant farm worker system—What works and what’s lacking | CBC News</w:t>
      </w:r>
      <w:r w:rsidRPr="00A46E23">
        <w:rPr>
          <w:rFonts w:ascii="Times New Roman" w:hAnsi="Times New Roman" w:cs="Times New Roman"/>
          <w:sz w:val="24"/>
          <w:szCs w:val="24"/>
        </w:rPr>
        <w:t>. CBC. https://www.cbc.ca/news/canada/canada-s-migrant-farm-worker-system-what-works-and-what-s-lacking-1.1142489</w:t>
      </w:r>
    </w:p>
    <w:p w14:paraId="160563CD"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Statistics Canada. (2020a). </w:t>
      </w:r>
      <w:r w:rsidRPr="00A46E23">
        <w:rPr>
          <w:rFonts w:ascii="Times New Roman" w:hAnsi="Times New Roman" w:cs="Times New Roman"/>
          <w:i/>
          <w:iCs/>
          <w:sz w:val="24"/>
          <w:szCs w:val="24"/>
        </w:rPr>
        <w:t>COVID-19 Disruptions and agriculture: Temporary foreign workers</w:t>
      </w:r>
      <w:r w:rsidRPr="00A46E23">
        <w:rPr>
          <w:rFonts w:ascii="Times New Roman" w:hAnsi="Times New Roman" w:cs="Times New Roman"/>
          <w:sz w:val="24"/>
          <w:szCs w:val="24"/>
        </w:rPr>
        <w:t>. https://www150.statcan.gc.ca/n1/pub/45-28-0001/2020001/article/00002-eng.htm</w:t>
      </w:r>
    </w:p>
    <w:p w14:paraId="67D2673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Statistics Canada. (2020b, June 18). </w:t>
      </w:r>
      <w:r w:rsidRPr="00A46E23">
        <w:rPr>
          <w:rFonts w:ascii="Times New Roman" w:hAnsi="Times New Roman" w:cs="Times New Roman"/>
          <w:i/>
          <w:iCs/>
          <w:sz w:val="24"/>
          <w:szCs w:val="24"/>
        </w:rPr>
        <w:t>Thank you to Canadian farmers: Insights on their vital role in Canada’s food chain</w:t>
      </w:r>
      <w:r w:rsidRPr="00A46E23">
        <w:rPr>
          <w:rFonts w:ascii="Times New Roman" w:hAnsi="Times New Roman" w:cs="Times New Roman"/>
          <w:sz w:val="24"/>
          <w:szCs w:val="24"/>
        </w:rPr>
        <w:t>. https://www150.statcan.gc.ca/n1/pub/11-627-m/11-627-m2020037-eng.htm</w:t>
      </w:r>
    </w:p>
    <w:p w14:paraId="0DCEAE95"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Strachan, B. (2019). </w:t>
      </w:r>
      <w:r w:rsidRPr="00A46E23">
        <w:rPr>
          <w:rFonts w:ascii="Times New Roman" w:hAnsi="Times New Roman" w:cs="Times New Roman"/>
          <w:i/>
          <w:iCs/>
          <w:sz w:val="24"/>
          <w:szCs w:val="24"/>
        </w:rPr>
        <w:t>Migrant workers complain of overcrowded dorm rooms and agriculture chemical exposure on Kelowna farm | CBC News</w:t>
      </w:r>
      <w:r w:rsidRPr="00A46E23">
        <w:rPr>
          <w:rFonts w:ascii="Times New Roman" w:hAnsi="Times New Roman" w:cs="Times New Roman"/>
          <w:sz w:val="24"/>
          <w:szCs w:val="24"/>
        </w:rPr>
        <w:t>. CBC. https://www.cbc.ca/news/canada/british-columbia/migrant-workers-kelowna-sawp-program-complaint-sandher-farm-1.5316512</w:t>
      </w:r>
    </w:p>
    <w:p w14:paraId="4D0C386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Stypińska, J., &amp; Gordo, L. R. (2017). Gender, age and migration: An intersectional approach to inequalities in the labour market. </w:t>
      </w:r>
      <w:r w:rsidRPr="00A46E23">
        <w:rPr>
          <w:rFonts w:ascii="Times New Roman" w:hAnsi="Times New Roman" w:cs="Times New Roman"/>
          <w:i/>
          <w:iCs/>
          <w:sz w:val="24"/>
          <w:szCs w:val="24"/>
        </w:rPr>
        <w:t>European Journal of Ageing</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15</w:t>
      </w:r>
      <w:r w:rsidRPr="00A46E23">
        <w:rPr>
          <w:rFonts w:ascii="Times New Roman" w:hAnsi="Times New Roman" w:cs="Times New Roman"/>
          <w:sz w:val="24"/>
          <w:szCs w:val="24"/>
        </w:rPr>
        <w:t>(1), 23–33. https://doi.org/10.1007/s10433-017-0419-2</w:t>
      </w:r>
    </w:p>
    <w:p w14:paraId="68DDDDE7"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The Canadian Cattlemen’s Association. (2020). </w:t>
      </w:r>
      <w:r w:rsidRPr="00A46E23">
        <w:rPr>
          <w:rFonts w:ascii="Times New Roman" w:hAnsi="Times New Roman" w:cs="Times New Roman"/>
          <w:i/>
          <w:iCs/>
          <w:sz w:val="24"/>
          <w:szCs w:val="24"/>
        </w:rPr>
        <w:t>Industry Stats » The Canadian Cattlemen’s Association</w:t>
      </w:r>
      <w:r w:rsidRPr="00A46E23">
        <w:rPr>
          <w:rFonts w:ascii="Times New Roman" w:hAnsi="Times New Roman" w:cs="Times New Roman"/>
          <w:sz w:val="24"/>
          <w:szCs w:val="24"/>
        </w:rPr>
        <w:t>. https://www.cattle.ca/cca-resources/industry-stats/</w:t>
      </w:r>
    </w:p>
    <w:p w14:paraId="2296D01F"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The Muskokan. (2021, March 19). For the second time Ontario is failing farm workers on COVID protections. </w:t>
      </w:r>
      <w:r w:rsidRPr="00A46E23">
        <w:rPr>
          <w:rFonts w:ascii="Times New Roman" w:hAnsi="Times New Roman" w:cs="Times New Roman"/>
          <w:i/>
          <w:iCs/>
          <w:sz w:val="24"/>
          <w:szCs w:val="24"/>
        </w:rPr>
        <w:t>The Muskokan</w:t>
      </w:r>
      <w:r w:rsidRPr="00A46E23">
        <w:rPr>
          <w:rFonts w:ascii="Times New Roman" w:hAnsi="Times New Roman" w:cs="Times New Roman"/>
          <w:sz w:val="24"/>
          <w:szCs w:val="24"/>
        </w:rPr>
        <w:t>. http://global.factiva.com/redir/default.aspx?P=sa&amp;an=MUSKO00020210319eh3j0005l&amp;cat=a&amp;ep=ASE</w:t>
      </w:r>
    </w:p>
    <w:p w14:paraId="0EBAE9A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Thompson, M. (2016). </w:t>
      </w:r>
      <w:r w:rsidRPr="00A46E23">
        <w:rPr>
          <w:rFonts w:ascii="Times New Roman" w:hAnsi="Times New Roman" w:cs="Times New Roman"/>
          <w:i/>
          <w:iCs/>
          <w:sz w:val="24"/>
          <w:szCs w:val="24"/>
        </w:rPr>
        <w:t>How employers of Temporary Foreign Workers get away with low pay and bad working conditions</w:t>
      </w:r>
      <w:r w:rsidRPr="00A46E23">
        <w:rPr>
          <w:rFonts w:ascii="Times New Roman" w:hAnsi="Times New Roman" w:cs="Times New Roman"/>
          <w:sz w:val="24"/>
          <w:szCs w:val="24"/>
        </w:rPr>
        <w:t>. Canadian Centre for Policy Alternatives. https://www.policyalternatives.ca/publications/commentary/how-employers-temporary-foreign-workers-get-away-low-pay-and-bad-working</w:t>
      </w:r>
    </w:p>
    <w:p w14:paraId="33A1EAC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Thompson, N. (2020, November 13). Migrant worker fired for speaking about COVID-19 wins labour case against farm. </w:t>
      </w:r>
      <w:r w:rsidRPr="00A46E23">
        <w:rPr>
          <w:rFonts w:ascii="Times New Roman" w:hAnsi="Times New Roman" w:cs="Times New Roman"/>
          <w:i/>
          <w:iCs/>
          <w:sz w:val="24"/>
          <w:szCs w:val="24"/>
        </w:rPr>
        <w:t>The Canadian Press</w:t>
      </w:r>
      <w:r w:rsidRPr="00A46E23">
        <w:rPr>
          <w:rFonts w:ascii="Times New Roman" w:hAnsi="Times New Roman" w:cs="Times New Roman"/>
          <w:sz w:val="24"/>
          <w:szCs w:val="24"/>
        </w:rPr>
        <w:t>. http://global.factiva.com/redir/default.aspx?P=sa&amp;an=CPR0000020201113egbd00nrl&amp;cat=a&amp;ep=ASE</w:t>
      </w:r>
    </w:p>
    <w:p w14:paraId="65B8C8F4"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Turnbull,  sarah. (2020). </w:t>
      </w:r>
      <w:r w:rsidRPr="00A46E23">
        <w:rPr>
          <w:rFonts w:ascii="Times New Roman" w:hAnsi="Times New Roman" w:cs="Times New Roman"/>
          <w:i/>
          <w:iCs/>
          <w:sz w:val="24"/>
          <w:szCs w:val="24"/>
        </w:rPr>
        <w:t>Cargill workers, many of them new to Canada, face isolation over COVID-19</w:t>
      </w:r>
      <w:r w:rsidRPr="00A46E23">
        <w:rPr>
          <w:rFonts w:ascii="Times New Roman" w:hAnsi="Times New Roman" w:cs="Times New Roman"/>
          <w:sz w:val="24"/>
          <w:szCs w:val="24"/>
        </w:rPr>
        <w:t>. CTVNews. https://www.ctvnews.ca/politics/cargill-workers-many-of-them-new-to-canada-face-isolation-over-covid-19-1.4929139</w:t>
      </w:r>
    </w:p>
    <w:p w14:paraId="7D0231B9"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UFCW Canada. (2019). </w:t>
      </w:r>
      <w:r w:rsidRPr="00A46E23">
        <w:rPr>
          <w:rFonts w:ascii="Times New Roman" w:hAnsi="Times New Roman" w:cs="Times New Roman"/>
          <w:i/>
          <w:iCs/>
          <w:sz w:val="24"/>
          <w:szCs w:val="24"/>
        </w:rPr>
        <w:t>UFCW Canada challenges Ontario’s exclusion of cannabis workers from right to unionize</w:t>
      </w:r>
      <w:r w:rsidRPr="00A46E23">
        <w:rPr>
          <w:rFonts w:ascii="Times New Roman" w:hAnsi="Times New Roman" w:cs="Times New Roman"/>
          <w:sz w:val="24"/>
          <w:szCs w:val="24"/>
        </w:rPr>
        <w:t>. UFCW Canada - Canada’s  Private Sector Union. http://www.ufcw.ca/index.php?option=com_content&amp;view=article&amp;id=32446:ufcw-canada-challenges-ontario-s-exclusion-of-cannabis-workers-from-right-to-unionize&amp;catid=10111:directions-19-088&amp;Itemid=6&amp;lang=en</w:t>
      </w:r>
    </w:p>
    <w:p w14:paraId="583A746D" w14:textId="77777777" w:rsidR="00BE37E2" w:rsidRPr="00A46E23" w:rsidRDefault="00BE37E2" w:rsidP="00A46E23">
      <w:pPr>
        <w:pStyle w:val="Bibliography"/>
        <w:jc w:val="both"/>
        <w:rPr>
          <w:rFonts w:ascii="Times New Roman" w:hAnsi="Times New Roman" w:cs="Times New Roman"/>
          <w:sz w:val="24"/>
          <w:szCs w:val="24"/>
        </w:rPr>
      </w:pPr>
      <w:r w:rsidRPr="00E67C9A">
        <w:rPr>
          <w:rFonts w:ascii="Times New Roman" w:hAnsi="Times New Roman" w:cs="Times New Roman"/>
          <w:sz w:val="24"/>
          <w:szCs w:val="24"/>
          <w:lang w:val="fr-FR"/>
        </w:rPr>
        <w:t xml:space="preserve">Vang, Z. M., Sigouin, J., </w:t>
      </w:r>
      <w:proofErr w:type="spellStart"/>
      <w:r w:rsidRPr="00E67C9A">
        <w:rPr>
          <w:rFonts w:ascii="Times New Roman" w:hAnsi="Times New Roman" w:cs="Times New Roman"/>
          <w:sz w:val="24"/>
          <w:szCs w:val="24"/>
          <w:lang w:val="fr-FR"/>
        </w:rPr>
        <w:t>Flenon</w:t>
      </w:r>
      <w:proofErr w:type="spellEnd"/>
      <w:r w:rsidRPr="00E67C9A">
        <w:rPr>
          <w:rFonts w:ascii="Times New Roman" w:hAnsi="Times New Roman" w:cs="Times New Roman"/>
          <w:sz w:val="24"/>
          <w:szCs w:val="24"/>
          <w:lang w:val="fr-FR"/>
        </w:rPr>
        <w:t xml:space="preserve">, A., &amp; Gagnon, A. (2017a). </w:t>
      </w:r>
      <w:r w:rsidRPr="00A46E23">
        <w:rPr>
          <w:rFonts w:ascii="Times New Roman" w:hAnsi="Times New Roman" w:cs="Times New Roman"/>
          <w:sz w:val="24"/>
          <w:szCs w:val="24"/>
        </w:rPr>
        <w:t xml:space="preserve">Are immigrants healthier than native-born Canadians? A systematic review of the healthy immigrant effect in Canada. </w:t>
      </w:r>
      <w:r w:rsidRPr="00A46E23">
        <w:rPr>
          <w:rFonts w:ascii="Times New Roman" w:hAnsi="Times New Roman" w:cs="Times New Roman"/>
          <w:i/>
          <w:iCs/>
          <w:sz w:val="24"/>
          <w:szCs w:val="24"/>
        </w:rPr>
        <w:t>Ethnicity &amp;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22</w:t>
      </w:r>
      <w:r w:rsidRPr="00A46E23">
        <w:rPr>
          <w:rFonts w:ascii="Times New Roman" w:hAnsi="Times New Roman" w:cs="Times New Roman"/>
          <w:sz w:val="24"/>
          <w:szCs w:val="24"/>
        </w:rPr>
        <w:t>(3), 209–241. https://doi.org/10.1080/13557858.2016.1246518</w:t>
      </w:r>
    </w:p>
    <w:p w14:paraId="55915AEE"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Vang, Z. M., Sigouin, J., Flenon, A., &amp; Gagnon, A. (2017b). Are immigrants healthier than native-born Canadians? A systematic review of the healthy immigrant effect in Canada. </w:t>
      </w:r>
      <w:r w:rsidRPr="00A46E23">
        <w:rPr>
          <w:rFonts w:ascii="Times New Roman" w:hAnsi="Times New Roman" w:cs="Times New Roman"/>
          <w:i/>
          <w:iCs/>
          <w:sz w:val="24"/>
          <w:szCs w:val="24"/>
        </w:rPr>
        <w:t>Ethnicity &amp; Health</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22</w:t>
      </w:r>
      <w:r w:rsidRPr="00A46E23">
        <w:rPr>
          <w:rFonts w:ascii="Times New Roman" w:hAnsi="Times New Roman" w:cs="Times New Roman"/>
          <w:sz w:val="24"/>
          <w:szCs w:val="24"/>
        </w:rPr>
        <w:t>(3), 209–241. https://doi.org/10.1080/13557858.2016.1246518</w:t>
      </w:r>
    </w:p>
    <w:p w14:paraId="445A346D"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Varrella, S. (2021). </w:t>
      </w:r>
      <w:r w:rsidRPr="00A46E23">
        <w:rPr>
          <w:rFonts w:ascii="Times New Roman" w:hAnsi="Times New Roman" w:cs="Times New Roman"/>
          <w:i/>
          <w:iCs/>
          <w:sz w:val="24"/>
          <w:szCs w:val="24"/>
        </w:rPr>
        <w:t>Top 10 origin countries of TFWP permit holders Canada 2019</w:t>
      </w:r>
      <w:r w:rsidRPr="00A46E23">
        <w:rPr>
          <w:rFonts w:ascii="Times New Roman" w:hAnsi="Times New Roman" w:cs="Times New Roman"/>
          <w:sz w:val="24"/>
          <w:szCs w:val="24"/>
        </w:rPr>
        <w:t>. Statista. https://www.statista.com/statistics/555058/top-10-origin-countries-of-tfwp-permit-holders-canada/</w:t>
      </w:r>
    </w:p>
    <w:p w14:paraId="539A1CE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Warman, C., Sweetman, A., &amp; Goldmann, G. (2015). The Portability of New Immigrants’ Human Capital: Language, Education, and Occupational Skills. </w:t>
      </w:r>
      <w:r w:rsidRPr="00A46E23">
        <w:rPr>
          <w:rFonts w:ascii="Times New Roman" w:hAnsi="Times New Roman" w:cs="Times New Roman"/>
          <w:i/>
          <w:iCs/>
          <w:sz w:val="24"/>
          <w:szCs w:val="24"/>
        </w:rPr>
        <w:t>Canadian Public Policy</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41</w:t>
      </w:r>
      <w:r w:rsidRPr="00A46E23">
        <w:rPr>
          <w:rFonts w:ascii="Times New Roman" w:hAnsi="Times New Roman" w:cs="Times New Roman"/>
          <w:sz w:val="24"/>
          <w:szCs w:val="24"/>
        </w:rPr>
        <w:t>(Supplement 1), S64–S79. https://doi.org/10.3138/cpp.2013-055</w:t>
      </w:r>
    </w:p>
    <w:p w14:paraId="5A52B110"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Wedgwood, N. (2009). Connell’s theory of masculinity – its origins and influences on the study of gender1. </w:t>
      </w:r>
      <w:r w:rsidRPr="00A46E23">
        <w:rPr>
          <w:rFonts w:ascii="Times New Roman" w:hAnsi="Times New Roman" w:cs="Times New Roman"/>
          <w:i/>
          <w:iCs/>
          <w:sz w:val="24"/>
          <w:szCs w:val="24"/>
        </w:rPr>
        <w:t>Journal of Gender Studies</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18</w:t>
      </w:r>
      <w:r w:rsidRPr="00A46E23">
        <w:rPr>
          <w:rFonts w:ascii="Times New Roman" w:hAnsi="Times New Roman" w:cs="Times New Roman"/>
          <w:sz w:val="24"/>
          <w:szCs w:val="24"/>
        </w:rPr>
        <w:t>(4), 329–339. https://doi.org/10.1080/09589230903260001</w:t>
      </w:r>
    </w:p>
    <w:p w14:paraId="315F9E09"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lastRenderedPageBreak/>
        <w:t xml:space="preserve">Wherry, A. (2020, May 10). </w:t>
      </w:r>
      <w:r w:rsidRPr="00A46E23">
        <w:rPr>
          <w:rFonts w:ascii="Times New Roman" w:hAnsi="Times New Roman" w:cs="Times New Roman"/>
          <w:i/>
          <w:iCs/>
          <w:sz w:val="24"/>
          <w:szCs w:val="24"/>
        </w:rPr>
        <w:t>The wages of fear: The pandemic and the future of low-paid “essential” work | CBC News</w:t>
      </w:r>
      <w:r w:rsidRPr="00A46E23">
        <w:rPr>
          <w:rFonts w:ascii="Times New Roman" w:hAnsi="Times New Roman" w:cs="Times New Roman"/>
          <w:sz w:val="24"/>
          <w:szCs w:val="24"/>
        </w:rPr>
        <w:t>. CBC. https://www.cbc.ca/news/politics/coronavirus-pandemic-covid-minimum-wage-essential-workers-1.5562318</w:t>
      </w:r>
    </w:p>
    <w:p w14:paraId="3C3E9656"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WHO. (2020). </w:t>
      </w:r>
      <w:r w:rsidRPr="00A46E23">
        <w:rPr>
          <w:rFonts w:ascii="Times New Roman" w:hAnsi="Times New Roman" w:cs="Times New Roman"/>
          <w:i/>
          <w:iCs/>
          <w:sz w:val="24"/>
          <w:szCs w:val="24"/>
        </w:rPr>
        <w:t>Social determinants of health</w:t>
      </w:r>
      <w:r w:rsidRPr="00A46E23">
        <w:rPr>
          <w:rFonts w:ascii="Times New Roman" w:hAnsi="Times New Roman" w:cs="Times New Roman"/>
          <w:sz w:val="24"/>
          <w:szCs w:val="24"/>
        </w:rPr>
        <w:t>. https://www.who.int/westernpacific/health-topics/social-determinants-of-health</w:t>
      </w:r>
    </w:p>
    <w:p w14:paraId="481A3DA1"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Wortham, J. M. (2020). Characteristics of Persons Who Died with COVID-19—United States, February 12–May 18, 2020. </w:t>
      </w:r>
      <w:r w:rsidRPr="00A46E23">
        <w:rPr>
          <w:rFonts w:ascii="Times New Roman" w:hAnsi="Times New Roman" w:cs="Times New Roman"/>
          <w:i/>
          <w:iCs/>
          <w:sz w:val="24"/>
          <w:szCs w:val="24"/>
        </w:rPr>
        <w:t>MMWR. Morbidity and Mortality Weekly Report</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69</w:t>
      </w:r>
      <w:r w:rsidRPr="00A46E23">
        <w:rPr>
          <w:rFonts w:ascii="Times New Roman" w:hAnsi="Times New Roman" w:cs="Times New Roman"/>
          <w:sz w:val="24"/>
          <w:szCs w:val="24"/>
        </w:rPr>
        <w:t>. https://doi.org/10.15585/mmwr.mm6928e1</w:t>
      </w:r>
    </w:p>
    <w:p w14:paraId="31BB21E8" w14:textId="77777777" w:rsidR="00BE37E2" w:rsidRPr="00A46E23" w:rsidRDefault="00BE37E2" w:rsidP="00A46E23">
      <w:pPr>
        <w:pStyle w:val="Bibliography"/>
        <w:jc w:val="both"/>
        <w:rPr>
          <w:rFonts w:ascii="Times New Roman" w:hAnsi="Times New Roman" w:cs="Times New Roman"/>
          <w:sz w:val="24"/>
          <w:szCs w:val="24"/>
        </w:rPr>
      </w:pPr>
      <w:r w:rsidRPr="00A46E23">
        <w:rPr>
          <w:rFonts w:ascii="Times New Roman" w:hAnsi="Times New Roman" w:cs="Times New Roman"/>
          <w:sz w:val="24"/>
          <w:szCs w:val="24"/>
        </w:rPr>
        <w:t xml:space="preserve">Yeoh, B. S. A., &amp; Ramdas, K. (2014). Gender, migration, mobility and transnationalism. </w:t>
      </w:r>
      <w:r w:rsidRPr="00A46E23">
        <w:rPr>
          <w:rFonts w:ascii="Times New Roman" w:hAnsi="Times New Roman" w:cs="Times New Roman"/>
          <w:i/>
          <w:iCs/>
          <w:sz w:val="24"/>
          <w:szCs w:val="24"/>
        </w:rPr>
        <w:t>Gender, Place &amp; Culture</w:t>
      </w:r>
      <w:r w:rsidRPr="00A46E23">
        <w:rPr>
          <w:rFonts w:ascii="Times New Roman" w:hAnsi="Times New Roman" w:cs="Times New Roman"/>
          <w:sz w:val="24"/>
          <w:szCs w:val="24"/>
        </w:rPr>
        <w:t xml:space="preserve">, </w:t>
      </w:r>
      <w:r w:rsidRPr="00A46E23">
        <w:rPr>
          <w:rFonts w:ascii="Times New Roman" w:hAnsi="Times New Roman" w:cs="Times New Roman"/>
          <w:i/>
          <w:iCs/>
          <w:sz w:val="24"/>
          <w:szCs w:val="24"/>
        </w:rPr>
        <w:t>21</w:t>
      </w:r>
      <w:r w:rsidRPr="00A46E23">
        <w:rPr>
          <w:rFonts w:ascii="Times New Roman" w:hAnsi="Times New Roman" w:cs="Times New Roman"/>
          <w:sz w:val="24"/>
          <w:szCs w:val="24"/>
        </w:rPr>
        <w:t>(10), 1197–1213. https://doi.org/10.1080/0966369X.2014.969686</w:t>
      </w:r>
    </w:p>
    <w:p w14:paraId="3600E03C" w14:textId="5200988A" w:rsidR="00BE37E2" w:rsidRPr="00A46E23" w:rsidRDefault="00BE37E2" w:rsidP="00A46E23">
      <w:pPr>
        <w:jc w:val="both"/>
        <w:rPr>
          <w:rFonts w:ascii="Times New Roman" w:hAnsi="Times New Roman" w:cs="Times New Roman"/>
          <w:sz w:val="24"/>
          <w:szCs w:val="24"/>
        </w:rPr>
      </w:pPr>
      <w:r w:rsidRPr="00A46E23">
        <w:rPr>
          <w:rFonts w:ascii="Times New Roman" w:hAnsi="Times New Roman" w:cs="Times New Roman"/>
          <w:sz w:val="24"/>
          <w:szCs w:val="24"/>
        </w:rPr>
        <w:fldChar w:fldCharType="end"/>
      </w:r>
    </w:p>
    <w:sectPr w:rsidR="00BE37E2" w:rsidRPr="00A46E23">
      <w:footerReference w:type="defaul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BDFFA2" w14:textId="77777777" w:rsidR="00173026" w:rsidRDefault="00173026" w:rsidP="00D542A1">
      <w:pPr>
        <w:spacing w:after="0" w:line="240" w:lineRule="auto"/>
      </w:pPr>
      <w:r>
        <w:separator/>
      </w:r>
    </w:p>
  </w:endnote>
  <w:endnote w:type="continuationSeparator" w:id="0">
    <w:p w14:paraId="2295745A" w14:textId="77777777" w:rsidR="00173026" w:rsidRDefault="00173026" w:rsidP="00D542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9702483"/>
      <w:docPartObj>
        <w:docPartGallery w:val="Page Numbers (Bottom of Page)"/>
        <w:docPartUnique/>
      </w:docPartObj>
    </w:sdtPr>
    <w:sdtEndPr>
      <w:rPr>
        <w:color w:val="7F7F7F" w:themeColor="background1" w:themeShade="7F"/>
        <w:spacing w:val="60"/>
      </w:rPr>
    </w:sdtEndPr>
    <w:sdtContent>
      <w:p w14:paraId="76EB0D99" w14:textId="64D192AE" w:rsidR="005B3999" w:rsidRDefault="005B3999">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09163FD7" w14:textId="77777777" w:rsidR="005B3999" w:rsidRDefault="005B39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CED040" w14:textId="77777777" w:rsidR="00173026" w:rsidRDefault="00173026" w:rsidP="00D542A1">
      <w:pPr>
        <w:spacing w:after="0" w:line="240" w:lineRule="auto"/>
      </w:pPr>
      <w:r>
        <w:separator/>
      </w:r>
    </w:p>
  </w:footnote>
  <w:footnote w:type="continuationSeparator" w:id="0">
    <w:p w14:paraId="3FBA09CE" w14:textId="77777777" w:rsidR="00173026" w:rsidRDefault="00173026" w:rsidP="00D542A1">
      <w:pPr>
        <w:spacing w:after="0" w:line="240" w:lineRule="auto"/>
      </w:pPr>
      <w:r>
        <w:continuationSeparator/>
      </w:r>
    </w:p>
  </w:footnote>
  <w:footnote w:id="1">
    <w:p w14:paraId="4CB8B869" w14:textId="630A7B9D" w:rsidR="005D7832" w:rsidRPr="00F81AFE" w:rsidRDefault="005D7832" w:rsidP="00D542A1">
      <w:pPr>
        <w:pStyle w:val="FootnoteText"/>
        <w:rPr>
          <w:rFonts w:ascii="Times New Roman" w:hAnsi="Times New Roman" w:cs="Times New Roman"/>
          <w:lang w:val="en-US"/>
        </w:rPr>
      </w:pPr>
      <w:r w:rsidRPr="00946F5A">
        <w:rPr>
          <w:rStyle w:val="FootnoteReference"/>
        </w:rPr>
        <w:footnoteRef/>
      </w:r>
      <w:r w:rsidRPr="00F81AFE">
        <w:rPr>
          <w:rFonts w:ascii="Times New Roman" w:hAnsi="Times New Roman" w:cs="Times New Roman"/>
        </w:rPr>
        <w:t xml:space="preserve"> </w:t>
      </w:r>
      <w:r w:rsidRPr="00F81AFE">
        <w:rPr>
          <w:rFonts w:ascii="Times New Roman" w:hAnsi="Times New Roman" w:cs="Times New Roman"/>
          <w:lang w:val="en-US"/>
        </w:rPr>
        <w:t xml:space="preserve">This figure represents the total cases connected to the plant </w:t>
      </w:r>
      <w:r>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{"citationID":"Z2wba9uz","properties":{"formattedCitation":"(Dryden &amp; Rieger, 2021)","plainCitation":"(Dryden &amp; Rieger, 2021)","noteIndex":1},"citationItems":[{"id":1162,"uris":["http://zotero.org/users/5481489/items/L86Y7YR4"],"uri":["http://zotero.org/users/5481489/items/L86Y7YR4"],"itemData":{"id":1162,"type":"webpage","abstract":"The site of the largest COVID-19 outbreak in Canada is now facing a new spate of cases. Alberta Health Services confirmed there are 11 cases linked to the Cargill meat-processing plant near High River, Alta., as of Saturday. Of those, seven cases are active.","container-title":"CBC","language":"en","title":"New COVID-19 outbreak declared at Cargill meat plant in Alberta — site of Canada's largest outbreak | CBC News","URL":"https://www.cbc.ca/news/canada/calgary/cargill-high-river-outbreak-1.5904444","author":[{"family":"Dryden","given":"Joel"},{"family":"Rieger","given":"Sarah"}],"accessed":{"date-parts":[["2021",3,28]]},"issued":{"date-parts":[["2021",2,6]]}}}],"schema":"https://github.com/citation-style-language/schema/raw/master/csl-citation.json"} </w:instrText>
      </w:r>
      <w:r>
        <w:rPr>
          <w:rFonts w:ascii="Times New Roman" w:hAnsi="Times New Roman" w:cs="Times New Roman"/>
          <w:lang w:val="en-US"/>
        </w:rPr>
        <w:fldChar w:fldCharType="separate"/>
      </w:r>
      <w:r w:rsidRPr="00C121B8">
        <w:rPr>
          <w:rFonts w:ascii="Times New Roman" w:hAnsi="Times New Roman" w:cs="Times New Roman"/>
        </w:rPr>
        <w:t>(Dryden &amp; Rieger, 2021)</w:t>
      </w:r>
      <w:r>
        <w:rPr>
          <w:rFonts w:ascii="Times New Roman" w:hAnsi="Times New Roman" w:cs="Times New Roman"/>
          <w:lang w:val="en-US"/>
        </w:rPr>
        <w:fldChar w:fldCharType="end"/>
      </w:r>
      <w:r>
        <w:rPr>
          <w:rFonts w:ascii="Times New Roman" w:hAnsi="Times New Roman" w:cs="Times New Roman"/>
          <w:lang w:val="en-US"/>
        </w:rPr>
        <w:t xml:space="preserve"> </w:t>
      </w:r>
      <w:r w:rsidRPr="00F81AFE">
        <w:rPr>
          <w:rFonts w:ascii="Times New Roman" w:hAnsi="Times New Roman" w:cs="Times New Roman"/>
          <w:lang w:val="en-US"/>
        </w:rPr>
        <w:t>whereas journalist Sarah Rieger (2020) reports a slightly higher figure stating</w:t>
      </w:r>
      <w:r w:rsidRPr="00F81AFE">
        <w:rPr>
          <w:rFonts w:ascii="Times New Roman" w:hAnsi="Times New Roman" w:cs="Times New Roman"/>
        </w:rPr>
        <w:t>, “</w:t>
      </w:r>
      <w:r w:rsidRPr="00F81AFE">
        <w:rPr>
          <w:rFonts w:ascii="Times New Roman" w:hAnsi="Times New Roman" w:cs="Times New Roman"/>
          <w:lang w:val="en-US"/>
        </w:rPr>
        <w:t xml:space="preserve">The country's largest outbreak — which was at one point the largest outbreak in North America — is linked to the Cargill plant near High River, Alta., where 954 workers and a total of 1,584 people connected to the plant have tested positive”.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E417DD"/>
    <w:multiLevelType w:val="hybridMultilevel"/>
    <w:tmpl w:val="AEC685C4"/>
    <w:lvl w:ilvl="0" w:tplc="75DCFBA6">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8420351"/>
    <w:multiLevelType w:val="hybridMultilevel"/>
    <w:tmpl w:val="B840059C"/>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9827A78"/>
    <w:multiLevelType w:val="hybridMultilevel"/>
    <w:tmpl w:val="4752A9F4"/>
    <w:lvl w:ilvl="0" w:tplc="C876DDD2">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0FEB5DD2"/>
    <w:multiLevelType w:val="hybridMultilevel"/>
    <w:tmpl w:val="5BDED0B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6451D23"/>
    <w:multiLevelType w:val="hybridMultilevel"/>
    <w:tmpl w:val="297CBE0A"/>
    <w:lvl w:ilvl="0" w:tplc="81AC1BAE">
      <w:start w:val="1"/>
      <w:numFmt w:val="low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179E4CA4"/>
    <w:multiLevelType w:val="hybridMultilevel"/>
    <w:tmpl w:val="D7069A3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7FF43D5"/>
    <w:multiLevelType w:val="multilevel"/>
    <w:tmpl w:val="F12491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4C618D"/>
    <w:multiLevelType w:val="hybridMultilevel"/>
    <w:tmpl w:val="AF02813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19E4632E"/>
    <w:multiLevelType w:val="hybridMultilevel"/>
    <w:tmpl w:val="AACCD0E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2C97481E"/>
    <w:multiLevelType w:val="hybridMultilevel"/>
    <w:tmpl w:val="B4DCD268"/>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00C706C"/>
    <w:multiLevelType w:val="hybridMultilevel"/>
    <w:tmpl w:val="2B8A935E"/>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56AF46BC"/>
    <w:multiLevelType w:val="hybridMultilevel"/>
    <w:tmpl w:val="EB9E99BE"/>
    <w:lvl w:ilvl="0" w:tplc="B54CB868">
      <w:start w:val="1"/>
      <w:numFmt w:val="upperLetter"/>
      <w:lvlText w:val="%1."/>
      <w:lvlJc w:val="left"/>
      <w:pPr>
        <w:ind w:left="1080" w:hanging="360"/>
      </w:pPr>
      <w:rPr>
        <w:rFonts w:hint="default"/>
        <w:b/>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2" w15:restartNumberingAfterBreak="0">
    <w:nsid w:val="57F04D75"/>
    <w:multiLevelType w:val="hybridMultilevel"/>
    <w:tmpl w:val="87EABBE8"/>
    <w:lvl w:ilvl="0" w:tplc="C3CCE292">
      <w:start w:val="1"/>
      <w:numFmt w:val="upperLetter"/>
      <w:lvlText w:val="%1."/>
      <w:lvlJc w:val="left"/>
      <w:pPr>
        <w:ind w:left="1080" w:hanging="360"/>
      </w:pPr>
      <w:rPr>
        <w:rFonts w:hint="default"/>
        <w:b/>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3" w15:restartNumberingAfterBreak="0">
    <w:nsid w:val="69A64FC2"/>
    <w:multiLevelType w:val="hybridMultilevel"/>
    <w:tmpl w:val="AC62C672"/>
    <w:lvl w:ilvl="0" w:tplc="68EA3806">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6C0A7E50"/>
    <w:multiLevelType w:val="hybridMultilevel"/>
    <w:tmpl w:val="A8E627C2"/>
    <w:lvl w:ilvl="0" w:tplc="724098C8">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70DC7A1D"/>
    <w:multiLevelType w:val="hybridMultilevel"/>
    <w:tmpl w:val="ED707780"/>
    <w:lvl w:ilvl="0" w:tplc="CDFCB302">
      <w:start w:val="1"/>
      <w:numFmt w:val="low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79D06CF1"/>
    <w:multiLevelType w:val="hybridMultilevel"/>
    <w:tmpl w:val="589CD472"/>
    <w:lvl w:ilvl="0" w:tplc="B6161C62">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abstractNumId w:val="8"/>
  </w:num>
  <w:num w:numId="2">
    <w:abstractNumId w:val="14"/>
  </w:num>
  <w:num w:numId="3">
    <w:abstractNumId w:val="0"/>
  </w:num>
  <w:num w:numId="4">
    <w:abstractNumId w:val="16"/>
  </w:num>
  <w:num w:numId="5">
    <w:abstractNumId w:val="6"/>
  </w:num>
  <w:num w:numId="6">
    <w:abstractNumId w:val="12"/>
  </w:num>
  <w:num w:numId="7">
    <w:abstractNumId w:val="3"/>
  </w:num>
  <w:num w:numId="8">
    <w:abstractNumId w:val="15"/>
  </w:num>
  <w:num w:numId="9">
    <w:abstractNumId w:val="11"/>
  </w:num>
  <w:num w:numId="10">
    <w:abstractNumId w:val="7"/>
  </w:num>
  <w:num w:numId="11">
    <w:abstractNumId w:val="1"/>
  </w:num>
  <w:num w:numId="12">
    <w:abstractNumId w:val="2"/>
  </w:num>
  <w:num w:numId="13">
    <w:abstractNumId w:val="5"/>
  </w:num>
  <w:num w:numId="14">
    <w:abstractNumId w:val="4"/>
  </w:num>
  <w:num w:numId="15">
    <w:abstractNumId w:val="13"/>
  </w:num>
  <w:num w:numId="16">
    <w:abstractNumId w:val="1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42A1"/>
    <w:rsid w:val="000A1AF2"/>
    <w:rsid w:val="00173026"/>
    <w:rsid w:val="00225FB1"/>
    <w:rsid w:val="002A0E2E"/>
    <w:rsid w:val="002F6DC0"/>
    <w:rsid w:val="003157DD"/>
    <w:rsid w:val="0032313B"/>
    <w:rsid w:val="003342F7"/>
    <w:rsid w:val="00362D7C"/>
    <w:rsid w:val="003C1AC9"/>
    <w:rsid w:val="004213CC"/>
    <w:rsid w:val="004F77CF"/>
    <w:rsid w:val="00550DE9"/>
    <w:rsid w:val="005B3999"/>
    <w:rsid w:val="005C393D"/>
    <w:rsid w:val="005D7832"/>
    <w:rsid w:val="00637723"/>
    <w:rsid w:val="00696790"/>
    <w:rsid w:val="00782C9F"/>
    <w:rsid w:val="007F06A7"/>
    <w:rsid w:val="00856D53"/>
    <w:rsid w:val="00890D96"/>
    <w:rsid w:val="008952DB"/>
    <w:rsid w:val="009204A7"/>
    <w:rsid w:val="00956897"/>
    <w:rsid w:val="009727EF"/>
    <w:rsid w:val="00997C26"/>
    <w:rsid w:val="00A24EBB"/>
    <w:rsid w:val="00A46E23"/>
    <w:rsid w:val="00A90C35"/>
    <w:rsid w:val="00AB7D16"/>
    <w:rsid w:val="00B03910"/>
    <w:rsid w:val="00B665A0"/>
    <w:rsid w:val="00BB478C"/>
    <w:rsid w:val="00BE37E2"/>
    <w:rsid w:val="00BE62C1"/>
    <w:rsid w:val="00C270AB"/>
    <w:rsid w:val="00C9025B"/>
    <w:rsid w:val="00CF06D8"/>
    <w:rsid w:val="00D2556B"/>
    <w:rsid w:val="00D542A1"/>
    <w:rsid w:val="00DA3167"/>
    <w:rsid w:val="00E67C9A"/>
    <w:rsid w:val="00E839E7"/>
    <w:rsid w:val="00E8410B"/>
    <w:rsid w:val="00F97B2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A7715"/>
  <w15:chartTrackingRefBased/>
  <w15:docId w15:val="{6A68D5BF-6C0C-4399-B100-26D74EFC2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542A1"/>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D542A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unhideWhenUsed/>
    <w:qFormat/>
    <w:rsid w:val="00D542A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42A1"/>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D542A1"/>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rsid w:val="00D542A1"/>
    <w:rPr>
      <w:rFonts w:asciiTheme="majorHAnsi" w:eastAsiaTheme="majorEastAsia" w:hAnsiTheme="majorHAnsi" w:cstheme="majorBidi"/>
      <w:i/>
      <w:iCs/>
      <w:color w:val="2F5496" w:themeColor="accent1" w:themeShade="BF"/>
    </w:rPr>
  </w:style>
  <w:style w:type="numbering" w:customStyle="1" w:styleId="NoList1">
    <w:name w:val="No List1"/>
    <w:next w:val="NoList"/>
    <w:uiPriority w:val="99"/>
    <w:semiHidden/>
    <w:unhideWhenUsed/>
    <w:rsid w:val="00D542A1"/>
  </w:style>
  <w:style w:type="character" w:styleId="Hyperlink">
    <w:name w:val="Hyperlink"/>
    <w:basedOn w:val="DefaultParagraphFont"/>
    <w:uiPriority w:val="99"/>
    <w:unhideWhenUsed/>
    <w:rsid w:val="00D542A1"/>
    <w:rPr>
      <w:color w:val="0563C1" w:themeColor="hyperlink"/>
      <w:u w:val="single"/>
    </w:rPr>
  </w:style>
  <w:style w:type="character" w:styleId="CommentReference">
    <w:name w:val="annotation reference"/>
    <w:basedOn w:val="DefaultParagraphFont"/>
    <w:uiPriority w:val="99"/>
    <w:semiHidden/>
    <w:unhideWhenUsed/>
    <w:rsid w:val="00D542A1"/>
    <w:rPr>
      <w:sz w:val="16"/>
      <w:szCs w:val="16"/>
    </w:rPr>
  </w:style>
  <w:style w:type="paragraph" w:styleId="CommentText">
    <w:name w:val="annotation text"/>
    <w:basedOn w:val="Normal"/>
    <w:link w:val="CommentTextChar"/>
    <w:uiPriority w:val="99"/>
    <w:semiHidden/>
    <w:unhideWhenUsed/>
    <w:rsid w:val="00D542A1"/>
    <w:pPr>
      <w:spacing w:line="240" w:lineRule="auto"/>
    </w:pPr>
    <w:rPr>
      <w:sz w:val="20"/>
      <w:szCs w:val="20"/>
    </w:rPr>
  </w:style>
  <w:style w:type="character" w:customStyle="1" w:styleId="CommentTextChar">
    <w:name w:val="Comment Text Char"/>
    <w:basedOn w:val="DefaultParagraphFont"/>
    <w:link w:val="CommentText"/>
    <w:uiPriority w:val="99"/>
    <w:semiHidden/>
    <w:rsid w:val="00D542A1"/>
    <w:rPr>
      <w:sz w:val="20"/>
      <w:szCs w:val="20"/>
    </w:rPr>
  </w:style>
  <w:style w:type="character" w:customStyle="1" w:styleId="CommentSubjectChar">
    <w:name w:val="Comment Subject Char"/>
    <w:basedOn w:val="CommentTextChar"/>
    <w:link w:val="CommentSubject"/>
    <w:uiPriority w:val="99"/>
    <w:semiHidden/>
    <w:rsid w:val="00D542A1"/>
    <w:rPr>
      <w:b/>
      <w:bCs/>
      <w:sz w:val="20"/>
      <w:szCs w:val="20"/>
    </w:rPr>
  </w:style>
  <w:style w:type="paragraph" w:styleId="CommentSubject">
    <w:name w:val="annotation subject"/>
    <w:basedOn w:val="CommentText"/>
    <w:next w:val="CommentText"/>
    <w:link w:val="CommentSubjectChar"/>
    <w:uiPriority w:val="99"/>
    <w:semiHidden/>
    <w:unhideWhenUsed/>
    <w:rsid w:val="00D542A1"/>
    <w:rPr>
      <w:b/>
      <w:bCs/>
    </w:rPr>
  </w:style>
  <w:style w:type="character" w:customStyle="1" w:styleId="CommentSubjectChar1">
    <w:name w:val="Comment Subject Char1"/>
    <w:basedOn w:val="CommentTextChar"/>
    <w:uiPriority w:val="99"/>
    <w:semiHidden/>
    <w:rsid w:val="00D542A1"/>
    <w:rPr>
      <w:b/>
      <w:bCs/>
      <w:sz w:val="20"/>
      <w:szCs w:val="20"/>
    </w:rPr>
  </w:style>
  <w:style w:type="paragraph" w:styleId="Header">
    <w:name w:val="header"/>
    <w:basedOn w:val="Normal"/>
    <w:link w:val="HeaderChar"/>
    <w:uiPriority w:val="99"/>
    <w:unhideWhenUsed/>
    <w:rsid w:val="00D542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42A1"/>
  </w:style>
  <w:style w:type="paragraph" w:styleId="Footer">
    <w:name w:val="footer"/>
    <w:basedOn w:val="Normal"/>
    <w:link w:val="FooterChar"/>
    <w:uiPriority w:val="99"/>
    <w:unhideWhenUsed/>
    <w:rsid w:val="00D542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42A1"/>
  </w:style>
  <w:style w:type="paragraph" w:styleId="Bibliography">
    <w:name w:val="Bibliography"/>
    <w:basedOn w:val="Normal"/>
    <w:next w:val="Normal"/>
    <w:uiPriority w:val="37"/>
    <w:unhideWhenUsed/>
    <w:rsid w:val="00D542A1"/>
    <w:pPr>
      <w:spacing w:after="0" w:line="480" w:lineRule="auto"/>
      <w:ind w:left="720" w:hanging="720"/>
    </w:pPr>
  </w:style>
  <w:style w:type="character" w:customStyle="1" w:styleId="EndnoteTextChar">
    <w:name w:val="Endnote Text Char"/>
    <w:basedOn w:val="DefaultParagraphFont"/>
    <w:link w:val="EndnoteText"/>
    <w:uiPriority w:val="99"/>
    <w:semiHidden/>
    <w:rsid w:val="00D542A1"/>
    <w:rPr>
      <w:sz w:val="20"/>
      <w:szCs w:val="20"/>
    </w:rPr>
  </w:style>
  <w:style w:type="paragraph" w:styleId="EndnoteText">
    <w:name w:val="endnote text"/>
    <w:basedOn w:val="Normal"/>
    <w:link w:val="EndnoteTextChar"/>
    <w:uiPriority w:val="99"/>
    <w:semiHidden/>
    <w:unhideWhenUsed/>
    <w:rsid w:val="00D542A1"/>
    <w:pPr>
      <w:spacing w:after="0" w:line="240" w:lineRule="auto"/>
    </w:pPr>
    <w:rPr>
      <w:sz w:val="20"/>
      <w:szCs w:val="20"/>
    </w:rPr>
  </w:style>
  <w:style w:type="character" w:customStyle="1" w:styleId="EndnoteTextChar1">
    <w:name w:val="Endnote Text Char1"/>
    <w:basedOn w:val="DefaultParagraphFont"/>
    <w:uiPriority w:val="99"/>
    <w:semiHidden/>
    <w:rsid w:val="00D542A1"/>
    <w:rPr>
      <w:sz w:val="20"/>
      <w:szCs w:val="20"/>
    </w:rPr>
  </w:style>
  <w:style w:type="paragraph" w:styleId="FootnoteText">
    <w:name w:val="footnote text"/>
    <w:basedOn w:val="Normal"/>
    <w:link w:val="FootnoteTextChar"/>
    <w:uiPriority w:val="99"/>
    <w:unhideWhenUsed/>
    <w:rsid w:val="00D542A1"/>
    <w:pPr>
      <w:spacing w:after="0" w:line="240" w:lineRule="auto"/>
    </w:pPr>
    <w:rPr>
      <w:sz w:val="20"/>
      <w:szCs w:val="20"/>
    </w:rPr>
  </w:style>
  <w:style w:type="character" w:customStyle="1" w:styleId="FootnoteTextChar">
    <w:name w:val="Footnote Text Char"/>
    <w:basedOn w:val="DefaultParagraphFont"/>
    <w:link w:val="FootnoteText"/>
    <w:uiPriority w:val="99"/>
    <w:rsid w:val="00D542A1"/>
    <w:rPr>
      <w:sz w:val="20"/>
      <w:szCs w:val="20"/>
    </w:rPr>
  </w:style>
  <w:style w:type="character" w:styleId="FootnoteReference">
    <w:name w:val="footnote reference"/>
    <w:basedOn w:val="DefaultParagraphFont"/>
    <w:uiPriority w:val="99"/>
    <w:semiHidden/>
    <w:unhideWhenUsed/>
    <w:rsid w:val="00D542A1"/>
    <w:rPr>
      <w:vertAlign w:val="superscript"/>
    </w:rPr>
  </w:style>
  <w:style w:type="table" w:customStyle="1" w:styleId="TableGrid">
    <w:name w:val="TableGrid"/>
    <w:rsid w:val="00D542A1"/>
    <w:pPr>
      <w:spacing w:after="0" w:line="240" w:lineRule="auto"/>
    </w:pPr>
    <w:rPr>
      <w:rFonts w:eastAsiaTheme="minorEastAsia"/>
      <w:lang w:eastAsia="en-CA"/>
    </w:rPr>
    <w:tblPr>
      <w:tblCellMar>
        <w:top w:w="0" w:type="dxa"/>
        <w:left w:w="0" w:type="dxa"/>
        <w:bottom w:w="0" w:type="dxa"/>
        <w:right w:w="0" w:type="dxa"/>
      </w:tblCellMar>
    </w:tblPr>
  </w:style>
  <w:style w:type="table" w:styleId="TableGrid0">
    <w:name w:val="Table Grid"/>
    <w:basedOn w:val="TableNormal"/>
    <w:uiPriority w:val="39"/>
    <w:rsid w:val="00D542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542A1"/>
    <w:pPr>
      <w:ind w:left="720"/>
      <w:contextualSpacing/>
    </w:pPr>
  </w:style>
  <w:style w:type="paragraph" w:styleId="TOCHeading">
    <w:name w:val="TOC Heading"/>
    <w:basedOn w:val="Heading1"/>
    <w:next w:val="Normal"/>
    <w:uiPriority w:val="39"/>
    <w:unhideWhenUsed/>
    <w:qFormat/>
    <w:rsid w:val="00D542A1"/>
    <w:pPr>
      <w:outlineLvl w:val="9"/>
    </w:pPr>
  </w:style>
  <w:style w:type="paragraph" w:styleId="TOC2">
    <w:name w:val="toc 2"/>
    <w:basedOn w:val="Normal"/>
    <w:next w:val="Normal"/>
    <w:autoRedefine/>
    <w:uiPriority w:val="39"/>
    <w:unhideWhenUsed/>
    <w:rsid w:val="00D542A1"/>
    <w:pPr>
      <w:spacing w:after="100"/>
      <w:ind w:left="220"/>
    </w:pPr>
  </w:style>
  <w:style w:type="paragraph" w:styleId="TOC1">
    <w:name w:val="toc 1"/>
    <w:basedOn w:val="Normal"/>
    <w:next w:val="Normal"/>
    <w:autoRedefine/>
    <w:uiPriority w:val="39"/>
    <w:unhideWhenUsed/>
    <w:rsid w:val="00D542A1"/>
    <w:pPr>
      <w:spacing w:after="100"/>
    </w:pPr>
  </w:style>
  <w:style w:type="paragraph" w:styleId="TOC3">
    <w:name w:val="toc 3"/>
    <w:basedOn w:val="Normal"/>
    <w:next w:val="Normal"/>
    <w:autoRedefine/>
    <w:uiPriority w:val="39"/>
    <w:unhideWhenUsed/>
    <w:rsid w:val="00D542A1"/>
    <w:pPr>
      <w:spacing w:after="100"/>
      <w:ind w:left="440"/>
    </w:pPr>
  </w:style>
  <w:style w:type="paragraph" w:styleId="Caption">
    <w:name w:val="caption"/>
    <w:basedOn w:val="Normal"/>
    <w:next w:val="Normal"/>
    <w:uiPriority w:val="35"/>
    <w:unhideWhenUsed/>
    <w:qFormat/>
    <w:rsid w:val="00D542A1"/>
    <w:pPr>
      <w:spacing w:after="200" w:line="240" w:lineRule="auto"/>
    </w:pPr>
    <w:rPr>
      <w:i/>
      <w:iCs/>
      <w:color w:val="44546A" w:themeColor="text2"/>
      <w:sz w:val="18"/>
      <w:szCs w:val="18"/>
    </w:rPr>
  </w:style>
  <w:style w:type="character" w:styleId="EndnoteReference">
    <w:name w:val="endnote reference"/>
    <w:basedOn w:val="DefaultParagraphFont"/>
    <w:uiPriority w:val="99"/>
    <w:semiHidden/>
    <w:unhideWhenUsed/>
    <w:rsid w:val="00D542A1"/>
    <w:rPr>
      <w:vertAlign w:val="superscript"/>
    </w:rPr>
  </w:style>
  <w:style w:type="paragraph" w:styleId="BalloonText">
    <w:name w:val="Balloon Text"/>
    <w:basedOn w:val="Normal"/>
    <w:link w:val="BalloonTextChar"/>
    <w:uiPriority w:val="99"/>
    <w:semiHidden/>
    <w:unhideWhenUsed/>
    <w:rsid w:val="00D542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2A1"/>
    <w:rPr>
      <w:rFonts w:ascii="Segoe UI" w:hAnsi="Segoe UI" w:cs="Segoe UI"/>
      <w:sz w:val="18"/>
      <w:szCs w:val="18"/>
    </w:rPr>
  </w:style>
  <w:style w:type="paragraph" w:styleId="Revision">
    <w:name w:val="Revision"/>
    <w:hidden/>
    <w:uiPriority w:val="99"/>
    <w:semiHidden/>
    <w:rsid w:val="00D542A1"/>
    <w:pPr>
      <w:spacing w:after="0" w:line="240" w:lineRule="auto"/>
    </w:pPr>
  </w:style>
  <w:style w:type="table" w:styleId="GridTable2-Accent5">
    <w:name w:val="Grid Table 2 Accent 5"/>
    <w:basedOn w:val="TableNormal"/>
    <w:uiPriority w:val="47"/>
    <w:rsid w:val="00D542A1"/>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eGridLight">
    <w:name w:val="Grid Table Light"/>
    <w:basedOn w:val="TableNormal"/>
    <w:uiPriority w:val="40"/>
    <w:rsid w:val="00D542A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image" Target="media/image2.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4-22T16:34:55.122"/>
    </inkml:context>
    <inkml:brush xml:id="br0">
      <inkml:brushProperty name="width" value="0.0856" units="cm"/>
      <inkml:brushProperty name="height" value="0.0856" units="cm"/>
      <inkml:brushProperty name="color" value="#00A0D7"/>
    </inkml:brush>
  </inkml:definitions>
  <inkml:trace contextRef="#ctx0" brushRef="#br0">177 118 8116,'-14'-15'0,"-1"1"-706,0-1 494,1 0 1,4 2 88,0 4 318,1-4 0,-1 9-69,0-5 25,7 5 183,-4-2-239,7 6 0,2 5-64,3 0 0,5 0-19,9-5 1,-1 1-1,6 4 0,1-3 17,4 3 1,5-4 11,0-1 1,6 0 156,-1 0 1,8 5-104,2 0 0,6 6 184,-1-1 0,7 5-72,3 4 1,5 4-113,-1 6 0,-8 0-32,-1 0 1,-10 7-115,-1 3 0,-4 3 106,-5 2 1,-10 5 22,-9-1 1,-6 7-115,-4-1 1,-4 4 69,-6 6 0,0-4 21,0 3 1,-1-3 4,-4-2 0,-3 2 14,-7 3 0,-1-1-19,-3 6 1,-4-5-115,-6 6 0,-2 0 294,-3 9 1,1-3-396,-6 3 1,0 3 255,-4 1 0,-3 4-45,22-42 0,0 0 0,-2-1 0,0 0-68,-4-2 0,1 1 0,2 3 0,1 1 38,-1-3 1,0 0 0,-2 6 0,0 1-57,-3 1 1,1 0 0,1-2 0,3 0-60,2 1 1,1 2-1,2 0 1,0 1 300,3 3 0,-1 0 1,0 3-1,0 1-83,2 3 1,2 0 0,-1-3-1,1 0-62,4 3 1,0 1 0,0-3 0,1-1-99,1 1 1,1 0 0,3 2 0,1 0 75,-3 5 0,1 1 0,2-5 0,0 0-243,0 1 0,0 1 1,2-2-1,0 0 228,2 2 0,2 0 0,4 0 1,3 1-20,1 1 1,1 0 0,3-4-1,0-2-2,1 2 0,2-1 0,1-3 0,1-2 16,1-2 1,1 0-1,4 3 1,1-1-66,1 1 1,1-1 0,-1-4-1,0 0 42,1 0 1,0 0-1,0-3 1,1 0-130,3-5 0,1 0 0,-1 1 0,0-1 116,3-2 1,0-1 0,-3-3 0,0 0-173,32 33 1,3-4 106,2-10 0,-1-2 55,1-9 0,-5-9 58,5 0 1,-4-13 407,4-7 1,-7-2-232,3-3 0,-11-6 230,-4-3 0,-5 2-569,-5-2 1,-5 0 560,-10-5 1,-8 0-763,-6 0 1024,-7 0-483,-16 0 1,-6 0-217,-20 0 1,0 6-18,-5 4 1,-6 3-239,-4 1 0,-4 7 100,-5 4 0,-4 2-112,-6 2 0,-1 12 296,-4 3 1,3 4-229,-3 0 0,-1 6 206,40-23 1,0 1 0,-3 1-1,1 0 100,2 4 0,0-1 0,-32 33 76,8-1 1,9-2-32,6 2 1,4 7-61,5-7 0,3 8 163,7-3 0,6 2-21,4 8 1,4 4-135,5 6 0,9-76-101</inkml:trace>
  <inkml:trace contextRef="#ctx0" brushRef="#br0" timeOffset="1">121 8550 14593,'12'36'-12,"24"56"208,3-4 0,6 1-148,-18-40 0,0-1 1,-1-3-1,1-1-67,5 1 0,0-2 0,-30-40 17</inkml:trace>
  <inkml:trace contextRef="#ctx0" brushRef="#br0" timeOffset="-1">449 9164 15094,'5'7'-3,"-4"-6"4</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E0F20-5DAB-48C5-91AE-A25E83803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80821</Words>
  <Characters>460684</Characters>
  <Application>Microsoft Office Word</Application>
  <DocSecurity>4</DocSecurity>
  <Lines>3839</Lines>
  <Paragraphs>1080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Ugochi Udonsi</dc:creator>
  <cp:keywords/>
  <dc:description/>
  <cp:lastModifiedBy>Phyllis Rippey</cp:lastModifiedBy>
  <cp:revision>2</cp:revision>
  <dcterms:created xsi:type="dcterms:W3CDTF">2021-05-21T19:45:00Z</dcterms:created>
  <dcterms:modified xsi:type="dcterms:W3CDTF">2021-05-21T19:45:00Z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id="eQ60s784"/&gt;&lt;style id="http://www.zotero.org/styles/apa" locale="en-US" hasBibliography="1" bibliographyStyleHasBeenSet="1"/&gt;&lt;prefs&gt;&lt;pref name="fieldType" value="Field"/&gt;&lt;pref name="automaticJou</vt:lpwstr>
  </property>
  <property fmtid="{D5CDD505-2E9C-101B-9397-08002B2CF9AE}" pid="3" name="ZOTERO_PREF_2">
    <vt:lpwstr>rnalAbbreviations" value="true"/&gt;&lt;/prefs&gt;&lt;/data&gt;</vt:lpwstr>
  </property>
</Properties>
</file>