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F49112F" w14:textId="3F926424" w:rsidR="000175A1" w:rsidRPr="00967063" w:rsidRDefault="000175A1" w:rsidP="000175A1">
      <w:pPr>
        <w:spacing w:line="480" w:lineRule="auto"/>
        <w:rPr>
          <w:rFonts w:ascii="Times New Roman" w:hAnsi="Times New Roman" w:cs="Times New Roman"/>
          <w:sz w:val="24"/>
          <w:szCs w:val="24"/>
        </w:rPr>
      </w:pPr>
      <w:bookmarkStart w:id="0" w:name="_Toc531271982"/>
      <w:r w:rsidRPr="00967063">
        <w:rPr>
          <w:rFonts w:ascii="Times New Roman" w:hAnsi="Times New Roman" w:cs="Times New Roman"/>
          <w:noProof/>
          <w:sz w:val="24"/>
          <w:szCs w:val="24"/>
          <w:lang w:val="en-US"/>
        </w:rPr>
        <w:drawing>
          <wp:inline distT="0" distB="0" distL="0" distR="0" wp14:anchorId="421E8B77" wp14:editId="28D924C8">
            <wp:extent cx="2764365" cy="984738"/>
            <wp:effectExtent l="0" t="0" r="0" b="0"/>
            <wp:docPr id="1" name="Image 1" descr="http://www.cicr-icrc.ca/images/logos/partners/spu_log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www.cicr-icrc.ca/images/logos/partners/spu_logo.pn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764369" cy="984740"/>
                    </a:xfrm>
                    <a:prstGeom prst="rect">
                      <a:avLst/>
                    </a:prstGeom>
                    <a:noFill/>
                    <a:ln>
                      <a:noFill/>
                    </a:ln>
                  </pic:spPr>
                </pic:pic>
              </a:graphicData>
            </a:graphic>
          </wp:inline>
        </w:drawing>
      </w:r>
      <w:r w:rsidRPr="00967063">
        <w:rPr>
          <w:rFonts w:ascii="Times New Roman" w:hAnsi="Times New Roman" w:cs="Times New Roman"/>
          <w:sz w:val="24"/>
          <w:szCs w:val="24"/>
        </w:rPr>
        <w:br/>
      </w:r>
    </w:p>
    <w:p w14:paraId="7125088B" w14:textId="77777777" w:rsidR="000175A1" w:rsidRPr="00967063" w:rsidRDefault="000175A1" w:rsidP="000175A1">
      <w:pPr>
        <w:spacing w:line="480" w:lineRule="auto"/>
        <w:rPr>
          <w:rFonts w:ascii="Times New Roman" w:hAnsi="Times New Roman" w:cs="Times New Roman"/>
          <w:sz w:val="24"/>
          <w:szCs w:val="24"/>
        </w:rPr>
      </w:pPr>
    </w:p>
    <w:p w14:paraId="57AB4801" w14:textId="77777777" w:rsidR="004268BF" w:rsidRDefault="000175A1" w:rsidP="004B4503">
      <w:pPr>
        <w:pStyle w:val="NoSpacing"/>
      </w:pPr>
      <w:bookmarkStart w:id="1" w:name="_GoBack"/>
      <w:r w:rsidRPr="00967063">
        <w:t xml:space="preserve">Commission vérité et réconciliation au Burundi. </w:t>
      </w:r>
    </w:p>
    <w:p w14:paraId="34C5BFD9" w14:textId="60F6323E" w:rsidR="000175A1" w:rsidRPr="00967063" w:rsidRDefault="000175A1" w:rsidP="004B4503">
      <w:pPr>
        <w:pStyle w:val="NoSpacing"/>
      </w:pPr>
      <w:r w:rsidRPr="00967063">
        <w:t>Contribution de l’éthique reconstructive de Jean-Marc Ferry à la réconciliation</w:t>
      </w:r>
      <w:bookmarkEnd w:id="1"/>
      <w:r w:rsidRPr="00967063">
        <w:t>.</w:t>
      </w:r>
    </w:p>
    <w:p w14:paraId="215DAB58" w14:textId="77777777" w:rsidR="000175A1" w:rsidRPr="00967063" w:rsidRDefault="000175A1" w:rsidP="000175A1">
      <w:pPr>
        <w:spacing w:line="480" w:lineRule="auto"/>
        <w:jc w:val="center"/>
        <w:rPr>
          <w:rFonts w:ascii="Times New Roman" w:hAnsi="Times New Roman" w:cs="Times New Roman"/>
          <w:b/>
          <w:sz w:val="24"/>
          <w:szCs w:val="24"/>
        </w:rPr>
      </w:pPr>
    </w:p>
    <w:p w14:paraId="21831BB3" w14:textId="77777777" w:rsidR="000175A1" w:rsidRPr="00967063" w:rsidRDefault="000175A1" w:rsidP="000175A1">
      <w:pPr>
        <w:spacing w:line="480" w:lineRule="auto"/>
        <w:jc w:val="center"/>
        <w:rPr>
          <w:rFonts w:ascii="Times New Roman" w:hAnsi="Times New Roman" w:cs="Times New Roman"/>
          <w:b/>
          <w:sz w:val="24"/>
          <w:szCs w:val="24"/>
        </w:rPr>
      </w:pPr>
    </w:p>
    <w:p w14:paraId="3DCA5581" w14:textId="77777777" w:rsidR="000175A1" w:rsidRPr="00967063" w:rsidRDefault="000175A1" w:rsidP="000175A1">
      <w:pPr>
        <w:spacing w:line="480" w:lineRule="auto"/>
        <w:jc w:val="center"/>
        <w:rPr>
          <w:rFonts w:ascii="Times New Roman" w:hAnsi="Times New Roman" w:cs="Times New Roman"/>
          <w:sz w:val="24"/>
          <w:szCs w:val="24"/>
        </w:rPr>
      </w:pPr>
      <w:r w:rsidRPr="00967063">
        <w:rPr>
          <w:rFonts w:ascii="Times New Roman" w:hAnsi="Times New Roman" w:cs="Times New Roman"/>
          <w:sz w:val="24"/>
          <w:szCs w:val="24"/>
        </w:rPr>
        <w:t>Emmanuel NDAYEGAMIYE</w:t>
      </w:r>
    </w:p>
    <w:p w14:paraId="163F078A" w14:textId="77777777" w:rsidR="000175A1" w:rsidRPr="00967063" w:rsidRDefault="000175A1" w:rsidP="000175A1">
      <w:pPr>
        <w:spacing w:line="480" w:lineRule="auto"/>
        <w:jc w:val="center"/>
        <w:rPr>
          <w:rFonts w:ascii="Times New Roman" w:hAnsi="Times New Roman" w:cs="Times New Roman"/>
          <w:sz w:val="24"/>
          <w:szCs w:val="24"/>
        </w:rPr>
      </w:pPr>
    </w:p>
    <w:p w14:paraId="0B10EC2A" w14:textId="77777777" w:rsidR="000175A1" w:rsidRPr="00967063" w:rsidRDefault="000175A1" w:rsidP="000175A1">
      <w:pPr>
        <w:spacing w:line="480" w:lineRule="auto"/>
        <w:jc w:val="center"/>
        <w:rPr>
          <w:rFonts w:ascii="Times New Roman" w:hAnsi="Times New Roman" w:cs="Times New Roman"/>
          <w:sz w:val="24"/>
          <w:szCs w:val="24"/>
        </w:rPr>
      </w:pPr>
    </w:p>
    <w:p w14:paraId="2340AF1F" w14:textId="15D26FFA" w:rsidR="000175A1" w:rsidRPr="00967063" w:rsidRDefault="000175A1" w:rsidP="000175A1">
      <w:pPr>
        <w:spacing w:line="480" w:lineRule="auto"/>
        <w:jc w:val="center"/>
        <w:rPr>
          <w:rFonts w:ascii="Times New Roman" w:hAnsi="Times New Roman" w:cs="Times New Roman"/>
          <w:sz w:val="24"/>
          <w:szCs w:val="24"/>
        </w:rPr>
      </w:pPr>
      <w:r w:rsidRPr="00967063">
        <w:rPr>
          <w:rFonts w:ascii="Times New Roman" w:hAnsi="Times New Roman" w:cs="Times New Roman"/>
          <w:sz w:val="24"/>
          <w:szCs w:val="24"/>
        </w:rPr>
        <w:t>Mémoire présenté à la Faculté</w:t>
      </w:r>
      <w:r w:rsidR="004268BF">
        <w:rPr>
          <w:rFonts w:ascii="Times New Roman" w:hAnsi="Times New Roman" w:cs="Times New Roman"/>
          <w:sz w:val="24"/>
          <w:szCs w:val="24"/>
        </w:rPr>
        <w:t xml:space="preserve"> de philosophie</w:t>
      </w:r>
    </w:p>
    <w:p w14:paraId="038B0405" w14:textId="6B16EF4C" w:rsidR="000175A1" w:rsidRPr="00967063" w:rsidRDefault="000175A1" w:rsidP="000175A1">
      <w:pPr>
        <w:spacing w:line="480" w:lineRule="auto"/>
        <w:jc w:val="center"/>
        <w:rPr>
          <w:rFonts w:ascii="Times New Roman" w:hAnsi="Times New Roman" w:cs="Times New Roman"/>
          <w:sz w:val="24"/>
          <w:szCs w:val="24"/>
        </w:rPr>
      </w:pPr>
      <w:r w:rsidRPr="00967063">
        <w:rPr>
          <w:rFonts w:ascii="Times New Roman" w:hAnsi="Times New Roman" w:cs="Times New Roman"/>
          <w:sz w:val="24"/>
          <w:szCs w:val="24"/>
        </w:rPr>
        <w:t xml:space="preserve">de l’Université Saint-Paul </w:t>
      </w:r>
    </w:p>
    <w:p w14:paraId="0725D96F" w14:textId="3C966577" w:rsidR="000175A1" w:rsidRPr="00967063" w:rsidRDefault="000175A1" w:rsidP="000175A1">
      <w:pPr>
        <w:spacing w:line="480" w:lineRule="auto"/>
        <w:jc w:val="center"/>
        <w:rPr>
          <w:rFonts w:ascii="Times New Roman" w:hAnsi="Times New Roman" w:cs="Times New Roman"/>
          <w:sz w:val="24"/>
          <w:szCs w:val="24"/>
        </w:rPr>
      </w:pPr>
      <w:r w:rsidRPr="00967063">
        <w:rPr>
          <w:rFonts w:ascii="Times New Roman" w:hAnsi="Times New Roman" w:cs="Times New Roman"/>
          <w:sz w:val="24"/>
          <w:szCs w:val="24"/>
        </w:rPr>
        <w:t xml:space="preserve">en vue de l’obtention du grade de la </w:t>
      </w:r>
      <w:r w:rsidR="004268BF">
        <w:rPr>
          <w:rFonts w:ascii="Times New Roman" w:hAnsi="Times New Roman" w:cs="Times New Roman"/>
          <w:sz w:val="24"/>
          <w:szCs w:val="24"/>
        </w:rPr>
        <w:t>M</w:t>
      </w:r>
      <w:r w:rsidRPr="00967063">
        <w:rPr>
          <w:rFonts w:ascii="Times New Roman" w:hAnsi="Times New Roman" w:cs="Times New Roman"/>
          <w:sz w:val="24"/>
          <w:szCs w:val="24"/>
        </w:rPr>
        <w:t>aîtris</w:t>
      </w:r>
      <w:r w:rsidR="004268BF">
        <w:rPr>
          <w:rFonts w:ascii="Times New Roman" w:hAnsi="Times New Roman" w:cs="Times New Roman"/>
          <w:sz w:val="24"/>
          <w:szCs w:val="24"/>
        </w:rPr>
        <w:t xml:space="preserve">e </w:t>
      </w:r>
      <w:r w:rsidRPr="00967063">
        <w:rPr>
          <w:rFonts w:ascii="Times New Roman" w:hAnsi="Times New Roman" w:cs="Times New Roman"/>
          <w:sz w:val="24"/>
          <w:szCs w:val="24"/>
        </w:rPr>
        <w:t>ès</w:t>
      </w:r>
      <w:r w:rsidR="004268BF">
        <w:rPr>
          <w:rFonts w:ascii="Times New Roman" w:hAnsi="Times New Roman" w:cs="Times New Roman"/>
          <w:sz w:val="24"/>
          <w:szCs w:val="24"/>
        </w:rPr>
        <w:t xml:space="preserve"> </w:t>
      </w:r>
      <w:r w:rsidRPr="00967063">
        <w:rPr>
          <w:rFonts w:ascii="Times New Roman" w:hAnsi="Times New Roman" w:cs="Times New Roman"/>
          <w:sz w:val="24"/>
          <w:szCs w:val="24"/>
        </w:rPr>
        <w:t>art en éthique publique</w:t>
      </w:r>
    </w:p>
    <w:p w14:paraId="521331D8" w14:textId="77777777" w:rsidR="000175A1" w:rsidRPr="00967063" w:rsidRDefault="000175A1" w:rsidP="000175A1">
      <w:pPr>
        <w:spacing w:line="480" w:lineRule="auto"/>
        <w:jc w:val="center"/>
        <w:rPr>
          <w:rFonts w:ascii="Times New Roman" w:hAnsi="Times New Roman" w:cs="Times New Roman"/>
          <w:sz w:val="24"/>
          <w:szCs w:val="24"/>
        </w:rPr>
      </w:pPr>
    </w:p>
    <w:p w14:paraId="456BFFFD" w14:textId="77777777" w:rsidR="000175A1" w:rsidRPr="00967063" w:rsidRDefault="000175A1" w:rsidP="000175A1">
      <w:pPr>
        <w:tabs>
          <w:tab w:val="left" w:pos="567"/>
        </w:tabs>
        <w:spacing w:after="0" w:line="480" w:lineRule="auto"/>
        <w:jc w:val="center"/>
        <w:rPr>
          <w:rStyle w:val="name"/>
          <w:rFonts w:ascii="Times New Roman" w:hAnsi="Times New Roman" w:cs="Times New Roman"/>
          <w:sz w:val="24"/>
          <w:szCs w:val="24"/>
          <w:bdr w:val="none" w:sz="0" w:space="0" w:color="auto" w:frame="1"/>
          <w:shd w:val="clear" w:color="auto" w:fill="FFFFFF"/>
        </w:rPr>
      </w:pPr>
      <w:r w:rsidRPr="00967063">
        <w:rPr>
          <w:rFonts w:ascii="Times New Roman" w:hAnsi="Times New Roman" w:cs="Times New Roman"/>
          <w:noProof/>
          <w:sz w:val="24"/>
          <w:szCs w:val="24"/>
          <w:lang w:val="en-US"/>
        </w:rPr>
        <mc:AlternateContent>
          <mc:Choice Requires="wps">
            <w:drawing>
              <wp:anchor distT="0" distB="0" distL="114300" distR="114300" simplePos="0" relativeHeight="251659264" behindDoc="0" locked="0" layoutInCell="1" allowOverlap="1" wp14:anchorId="2D64CA40" wp14:editId="0EAFB891">
                <wp:simplePos x="0" y="0"/>
                <wp:positionH relativeFrom="column">
                  <wp:posOffset>5364480</wp:posOffset>
                </wp:positionH>
                <wp:positionV relativeFrom="paragraph">
                  <wp:posOffset>701675</wp:posOffset>
                </wp:positionV>
                <wp:extent cx="676275" cy="447675"/>
                <wp:effectExtent l="0" t="0" r="9525" b="9525"/>
                <wp:wrapNone/>
                <wp:docPr id="2" name="Zone de texte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76275" cy="447675"/>
                        </a:xfrm>
                        <a:prstGeom prst="rect">
                          <a:avLst/>
                        </a:prstGeom>
                        <a:solidFill>
                          <a:srgbClr val="FFFFFF"/>
                        </a:solidFill>
                        <a:ln>
                          <a:noFill/>
                        </a:ln>
                        <a:extLst>
                          <a:ext uri="{91240B29-F687-4F45-9708-019B960494DF}">
                            <a14:hiddenLine xmlns:a14="http://schemas.microsoft.com/office/drawing/2010/main" w="9525">
                              <a:solidFill>
                                <a:srgbClr val="0000FF"/>
                              </a:solidFill>
                              <a:miter lim="800000"/>
                              <a:headEnd/>
                              <a:tailEnd/>
                            </a14:hiddenLine>
                          </a:ext>
                        </a:extLst>
                      </wps:spPr>
                      <wps:txbx>
                        <w:txbxContent>
                          <w:p w14:paraId="76BBF131" w14:textId="77777777" w:rsidR="006F28E3" w:rsidRDefault="006F28E3" w:rsidP="000175A1"/>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2D64CA40" id="_x0000_t202" coordsize="21600,21600" o:spt="202" path="m,l,21600r21600,l21600,xe">
                <v:stroke joinstyle="miter"/>
                <v:path gradientshapeok="t" o:connecttype="rect"/>
              </v:shapetype>
              <v:shape id="Zone de texte 1" o:spid="_x0000_s1026" type="#_x0000_t202" style="position:absolute;left:0;text-align:left;margin-left:422.4pt;margin-top:55.25pt;width:53.25pt;height:35.2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" stroked="f" strokecolor="blue">
                <v:textbox>
                  <w:txbxContent>
                    <w:p w14:paraId="76BBF131" w14:textId="77777777" w:rsidR="006F28E3" w:rsidRDefault="006F28E3" w:rsidP="000175A1"/>
                  </w:txbxContent>
                </v:textbox>
              </v:shape>
            </w:pict>
          </mc:Fallback>
        </mc:AlternateContent>
      </w:r>
      <w:r w:rsidRPr="00967063">
        <w:rPr>
          <w:rStyle w:val="name"/>
          <w:rFonts w:ascii="Times New Roman" w:hAnsi="Times New Roman" w:cs="Times New Roman"/>
          <w:sz w:val="24"/>
          <w:szCs w:val="24"/>
          <w:bdr w:val="none" w:sz="0" w:space="0" w:color="auto" w:frame="1"/>
          <w:shd w:val="clear" w:color="auto" w:fill="FFFFFF"/>
        </w:rPr>
        <w:t>Ottawa, Canada</w:t>
      </w:r>
    </w:p>
    <w:p w14:paraId="5B48628D" w14:textId="77777777" w:rsidR="000175A1" w:rsidRDefault="000175A1" w:rsidP="00F92884">
      <w:pPr>
        <w:tabs>
          <w:tab w:val="left" w:pos="567"/>
        </w:tabs>
        <w:spacing w:after="0" w:line="480" w:lineRule="auto"/>
        <w:jc w:val="center"/>
        <w:rPr>
          <w:rStyle w:val="name"/>
          <w:rFonts w:ascii="Times New Roman" w:hAnsi="Times New Roman" w:cs="Times New Roman"/>
          <w:sz w:val="24"/>
          <w:szCs w:val="24"/>
          <w:bdr w:val="none" w:sz="0" w:space="0" w:color="auto" w:frame="1"/>
          <w:shd w:val="clear" w:color="auto" w:fill="FFFFFF"/>
        </w:rPr>
      </w:pPr>
      <w:r w:rsidRPr="00967063">
        <w:rPr>
          <w:rStyle w:val="name"/>
          <w:rFonts w:ascii="Times New Roman" w:hAnsi="Times New Roman" w:cs="Times New Roman"/>
          <w:sz w:val="24"/>
          <w:szCs w:val="24"/>
          <w:bdr w:val="none" w:sz="0" w:space="0" w:color="auto" w:frame="1"/>
          <w:shd w:val="clear" w:color="auto" w:fill="FFFFFF"/>
        </w:rPr>
        <w:t>18 avril 2019</w:t>
      </w:r>
    </w:p>
    <w:p w14:paraId="4214FEFC" w14:textId="2D724528" w:rsidR="0070591A" w:rsidRDefault="004268BF" w:rsidP="00F92884">
      <w:pPr>
        <w:tabs>
          <w:tab w:val="left" w:pos="567"/>
        </w:tabs>
        <w:spacing w:after="0" w:line="480" w:lineRule="auto"/>
        <w:jc w:val="center"/>
        <w:rPr>
          <w:rFonts w:ascii="Times New Roman" w:hAnsi="Times New Roman" w:cs="Times New Roman"/>
          <w:sz w:val="24"/>
          <w:szCs w:val="24"/>
        </w:rPr>
        <w:sectPr w:rsidR="0070591A" w:rsidSect="002D1741">
          <w:footerReference w:type="default" r:id="rId9"/>
          <w:footerReference w:type="first" r:id="rId10"/>
          <w:pgSz w:w="12240" w:h="15840"/>
          <w:pgMar w:top="1440" w:right="1800" w:bottom="1440" w:left="1800" w:header="708" w:footer="708" w:gutter="0"/>
          <w:pgNumType w:start="1" w:chapStyle="1"/>
          <w:cols w:space="708"/>
          <w:titlePg/>
          <w:docGrid w:linePitch="360"/>
        </w:sectPr>
      </w:pPr>
      <w:r>
        <w:rPr>
          <w:rStyle w:val="name"/>
          <w:rFonts w:ascii="Times New Roman" w:hAnsi="Times New Roman" w:cs="Times New Roman"/>
          <w:sz w:val="24"/>
          <w:szCs w:val="24"/>
          <w:bdr w:val="none" w:sz="0" w:space="0" w:color="auto" w:frame="1"/>
          <w:shd w:val="clear" w:color="auto" w:fill="FFFFFF"/>
        </w:rPr>
        <w:t>© Emmanuel Ndayegamiye</w:t>
      </w:r>
      <w:r w:rsidR="00C96C40">
        <w:rPr>
          <w:rStyle w:val="name"/>
          <w:rFonts w:ascii="Times New Roman" w:hAnsi="Times New Roman" w:cs="Times New Roman"/>
          <w:sz w:val="24"/>
          <w:szCs w:val="24"/>
          <w:bdr w:val="none" w:sz="0" w:space="0" w:color="auto" w:frame="1"/>
          <w:shd w:val="clear" w:color="auto" w:fill="FFFFFF"/>
        </w:rPr>
        <w:t>, 2019</w:t>
      </w:r>
    </w:p>
    <w:p w14:paraId="06A4196E" w14:textId="77777777" w:rsidR="000460C5" w:rsidRDefault="000460C5" w:rsidP="00F62281">
      <w:pPr>
        <w:rPr>
          <w:rFonts w:ascii="Times New Roman" w:hAnsi="Times New Roman" w:cs="Times New Roman"/>
          <w:sz w:val="24"/>
          <w:szCs w:val="24"/>
        </w:rPr>
      </w:pPr>
      <w:bookmarkStart w:id="2" w:name="_Hlk3887246"/>
    </w:p>
    <w:p w14:paraId="266BB200" w14:textId="3147701D" w:rsidR="008E32AB" w:rsidRDefault="000175A1" w:rsidP="000B7C4D">
      <w:pPr>
        <w:pStyle w:val="Heading1"/>
        <w:rPr>
          <w:sz w:val="24"/>
          <w:szCs w:val="24"/>
        </w:rPr>
      </w:pPr>
      <w:bookmarkStart w:id="3" w:name="_Toc6239800"/>
      <w:r w:rsidRPr="00967063">
        <w:rPr>
          <w:sz w:val="24"/>
          <w:szCs w:val="24"/>
        </w:rPr>
        <w:t>Résumé</w:t>
      </w:r>
      <w:bookmarkEnd w:id="3"/>
    </w:p>
    <w:p w14:paraId="597B4767" w14:textId="572065E8" w:rsidR="000460C5" w:rsidRDefault="000962D6" w:rsidP="00F62281">
      <w:pPr>
        <w:spacing w:before="100" w:beforeAutospacing="1" w:after="100" w:afterAutospacing="1" w:line="240" w:lineRule="auto"/>
        <w:ind w:firstLine="696"/>
        <w:jc w:val="both"/>
        <w:rPr>
          <w:rFonts w:ascii="Times New Roman" w:hAnsi="Times New Roman" w:cs="Times New Roman"/>
          <w:iCs/>
          <w:sz w:val="24"/>
          <w:szCs w:val="24"/>
          <w:lang w:val="fr"/>
        </w:rPr>
      </w:pPr>
      <w:r w:rsidRPr="000460C5">
        <w:rPr>
          <w:rFonts w:ascii="Times New Roman" w:eastAsia="Times New Roman" w:hAnsi="Times New Roman" w:cs="Times New Roman"/>
          <w:sz w:val="24"/>
          <w:szCs w:val="24"/>
          <w:lang w:eastAsia="fr-CA"/>
        </w:rPr>
        <w:t xml:space="preserve">Le but de ce mémoire est d’analyser la </w:t>
      </w:r>
      <w:r w:rsidRPr="000460C5">
        <w:rPr>
          <w:rFonts w:ascii="Times New Roman" w:hAnsi="Times New Roman" w:cs="Times New Roman"/>
          <w:sz w:val="24"/>
          <w:szCs w:val="24"/>
        </w:rPr>
        <w:t xml:space="preserve">contribution de l’éthique reconstructive de Jean-Marc Ferry au processus de vérité et réconciliation au Burundi. Alors que la société qui se dote d’une commission vérité et réconciliation (CVR) est toujours en crise et que le régime qui la met en place fait l’objet d’une enquête de la cours pénale internationale, la question qui se pose est : </w:t>
      </w:r>
      <w:r w:rsidRPr="000460C5">
        <w:rPr>
          <w:rFonts w:ascii="Times New Roman" w:eastAsia="Times New Roman" w:hAnsi="Times New Roman" w:cs="Times New Roman"/>
          <w:iCs/>
          <w:sz w:val="24"/>
          <w:szCs w:val="24"/>
          <w:lang w:val="fr" w:eastAsia="fr-CA"/>
        </w:rPr>
        <w:t xml:space="preserve">dans quelle mesure </w:t>
      </w:r>
      <w:r w:rsidRPr="000460C5">
        <w:rPr>
          <w:rFonts w:ascii="Times New Roman" w:hAnsi="Times New Roman" w:cs="Times New Roman"/>
          <w:iCs/>
          <w:sz w:val="24"/>
          <w:szCs w:val="24"/>
          <w:lang w:val="fr"/>
        </w:rPr>
        <w:t xml:space="preserve">l’Éthique reconstructive de Jean-Marc Ferry peut-elle contribuer au travail de la CVR ainsi qu’à la levée des blocages institutionnels en vue de la réconciliation au Burundi? </w:t>
      </w:r>
    </w:p>
    <w:p w14:paraId="0057DBA8" w14:textId="42F4CE70" w:rsidR="000962D6" w:rsidRDefault="000962D6" w:rsidP="00F62281">
      <w:pPr>
        <w:spacing w:before="100" w:beforeAutospacing="1" w:after="100" w:afterAutospacing="1" w:line="240" w:lineRule="auto"/>
        <w:ind w:firstLine="696"/>
        <w:jc w:val="both"/>
        <w:rPr>
          <w:rFonts w:ascii="Times New Roman" w:hAnsi="Times New Roman" w:cs="Times New Roman"/>
          <w:iCs/>
          <w:sz w:val="24"/>
          <w:szCs w:val="24"/>
          <w:lang w:val="fr"/>
        </w:rPr>
      </w:pPr>
      <w:r w:rsidRPr="000460C5">
        <w:rPr>
          <w:rFonts w:ascii="Times New Roman" w:hAnsi="Times New Roman" w:cs="Times New Roman"/>
          <w:iCs/>
          <w:sz w:val="24"/>
          <w:szCs w:val="24"/>
          <w:lang w:val="fr"/>
        </w:rPr>
        <w:t>Compte tenu du fait que l</w:t>
      </w:r>
      <w:r w:rsidR="00BE42EA">
        <w:rPr>
          <w:rFonts w:ascii="Times New Roman" w:hAnsi="Times New Roman" w:cs="Times New Roman"/>
          <w:iCs/>
          <w:sz w:val="24"/>
          <w:szCs w:val="24"/>
          <w:lang w:val="fr"/>
        </w:rPr>
        <w:t>e pardon</w:t>
      </w:r>
      <w:r w:rsidRPr="000460C5">
        <w:rPr>
          <w:rFonts w:ascii="Times New Roman" w:hAnsi="Times New Roman" w:cs="Times New Roman"/>
          <w:iCs/>
          <w:sz w:val="24"/>
          <w:szCs w:val="24"/>
          <w:lang w:val="fr"/>
        </w:rPr>
        <w:t xml:space="preserve"> et la réconciliation sont des formes d’action</w:t>
      </w:r>
      <w:r w:rsidR="005B327E">
        <w:rPr>
          <w:rFonts w:ascii="Times New Roman" w:hAnsi="Times New Roman" w:cs="Times New Roman"/>
          <w:iCs/>
          <w:sz w:val="24"/>
          <w:szCs w:val="24"/>
          <w:lang w:val="fr"/>
        </w:rPr>
        <w:t>s</w:t>
      </w:r>
      <w:r w:rsidRPr="000460C5">
        <w:rPr>
          <w:rFonts w:ascii="Times New Roman" w:hAnsi="Times New Roman" w:cs="Times New Roman"/>
          <w:iCs/>
          <w:sz w:val="24"/>
          <w:szCs w:val="24"/>
          <w:lang w:val="fr"/>
        </w:rPr>
        <w:t>, c’est-à-dire des processus que la crise ne peut empêcher, la CVR</w:t>
      </w:r>
      <w:r w:rsidR="00FD3D27">
        <w:rPr>
          <w:rFonts w:ascii="Times New Roman" w:hAnsi="Times New Roman" w:cs="Times New Roman"/>
          <w:iCs/>
          <w:sz w:val="24"/>
          <w:szCs w:val="24"/>
          <w:lang w:val="fr"/>
        </w:rPr>
        <w:t xml:space="preserve"> ne</w:t>
      </w:r>
      <w:r w:rsidRPr="000460C5">
        <w:rPr>
          <w:rFonts w:ascii="Times New Roman" w:hAnsi="Times New Roman" w:cs="Times New Roman"/>
          <w:iCs/>
          <w:sz w:val="24"/>
          <w:szCs w:val="24"/>
          <w:lang w:val="fr"/>
        </w:rPr>
        <w:t xml:space="preserve"> peut </w:t>
      </w:r>
      <w:r w:rsidR="00FD3D27">
        <w:rPr>
          <w:rFonts w:ascii="Times New Roman" w:hAnsi="Times New Roman" w:cs="Times New Roman"/>
          <w:iCs/>
          <w:sz w:val="24"/>
          <w:szCs w:val="24"/>
          <w:lang w:val="fr"/>
        </w:rPr>
        <w:t xml:space="preserve">que </w:t>
      </w:r>
      <w:r w:rsidRPr="000460C5">
        <w:rPr>
          <w:rFonts w:ascii="Times New Roman" w:hAnsi="Times New Roman" w:cs="Times New Roman"/>
          <w:iCs/>
          <w:sz w:val="24"/>
          <w:szCs w:val="24"/>
          <w:lang w:val="fr"/>
        </w:rPr>
        <w:t xml:space="preserve">les rejoindre </w:t>
      </w:r>
      <w:r w:rsidR="00FD3D27">
        <w:rPr>
          <w:rFonts w:ascii="Times New Roman" w:hAnsi="Times New Roman" w:cs="Times New Roman"/>
          <w:iCs/>
          <w:sz w:val="24"/>
          <w:szCs w:val="24"/>
          <w:lang w:val="fr"/>
        </w:rPr>
        <w:t>a</w:t>
      </w:r>
      <w:r w:rsidR="00BE42EA">
        <w:rPr>
          <w:rFonts w:ascii="Times New Roman" w:hAnsi="Times New Roman" w:cs="Times New Roman"/>
          <w:iCs/>
          <w:sz w:val="24"/>
          <w:szCs w:val="24"/>
          <w:lang w:val="fr"/>
        </w:rPr>
        <w:t>fin d’</w:t>
      </w:r>
      <w:r w:rsidRPr="000460C5">
        <w:rPr>
          <w:rFonts w:ascii="Times New Roman" w:hAnsi="Times New Roman" w:cs="Times New Roman"/>
          <w:iCs/>
          <w:sz w:val="24"/>
          <w:szCs w:val="24"/>
          <w:lang w:val="fr"/>
        </w:rPr>
        <w:t xml:space="preserve">aider à accéder au savoir tragique. Elle peut </w:t>
      </w:r>
      <w:r w:rsidR="000460C5" w:rsidRPr="000460C5">
        <w:rPr>
          <w:rFonts w:ascii="Times New Roman" w:hAnsi="Times New Roman" w:cs="Times New Roman"/>
          <w:iCs/>
          <w:sz w:val="24"/>
          <w:szCs w:val="24"/>
          <w:lang w:val="fr"/>
        </w:rPr>
        <w:t>aider à instituer une communauté d’existence substantielle. E</w:t>
      </w:r>
      <w:r w:rsidR="00FD3D27">
        <w:rPr>
          <w:rFonts w:ascii="Times New Roman" w:hAnsi="Times New Roman" w:cs="Times New Roman"/>
          <w:iCs/>
          <w:sz w:val="24"/>
          <w:szCs w:val="24"/>
          <w:lang w:val="fr"/>
        </w:rPr>
        <w:t xml:space="preserve">n tous les cas, </w:t>
      </w:r>
      <w:r w:rsidR="000460C5" w:rsidRPr="000460C5">
        <w:rPr>
          <w:rFonts w:ascii="Times New Roman" w:hAnsi="Times New Roman" w:cs="Times New Roman"/>
          <w:iCs/>
          <w:sz w:val="24"/>
          <w:szCs w:val="24"/>
          <w:lang w:val="fr"/>
        </w:rPr>
        <w:t>elle peut empêcher que le processus ne subisse la violence structurelle.</w:t>
      </w:r>
    </w:p>
    <w:p w14:paraId="4835FDA9" w14:textId="00B1E070" w:rsidR="00FF00E4" w:rsidRDefault="00FF00E4" w:rsidP="0070591A">
      <w:pPr>
        <w:spacing w:before="100" w:beforeAutospacing="1" w:after="100" w:afterAutospacing="1" w:line="240" w:lineRule="auto"/>
        <w:rPr>
          <w:rFonts w:ascii="Times New Roman" w:eastAsia="Times New Roman" w:hAnsi="Times New Roman" w:cs="Times New Roman"/>
          <w:sz w:val="24"/>
          <w:szCs w:val="24"/>
          <w:lang w:eastAsia="fr-CA"/>
        </w:rPr>
      </w:pPr>
    </w:p>
    <w:p w14:paraId="42FBE993" w14:textId="553C91C8" w:rsidR="00404914" w:rsidRDefault="00404914" w:rsidP="000460C5">
      <w:pPr>
        <w:spacing w:before="100" w:beforeAutospacing="1" w:after="100" w:afterAutospacing="1" w:line="240" w:lineRule="auto"/>
        <w:rPr>
          <w:rFonts w:ascii="Times New Roman" w:eastAsia="Times New Roman" w:hAnsi="Times New Roman" w:cs="Times New Roman"/>
          <w:sz w:val="24"/>
          <w:szCs w:val="24"/>
          <w:lang w:eastAsia="fr-CA"/>
        </w:rPr>
      </w:pPr>
    </w:p>
    <w:p w14:paraId="0FB181BF" w14:textId="27CB38EE" w:rsidR="00404914" w:rsidRDefault="00404914" w:rsidP="000460C5">
      <w:pPr>
        <w:spacing w:before="100" w:beforeAutospacing="1" w:after="100" w:afterAutospacing="1" w:line="240" w:lineRule="auto"/>
        <w:rPr>
          <w:rFonts w:ascii="Times New Roman" w:eastAsia="Times New Roman" w:hAnsi="Times New Roman" w:cs="Times New Roman"/>
          <w:sz w:val="24"/>
          <w:szCs w:val="24"/>
          <w:lang w:eastAsia="fr-CA"/>
        </w:rPr>
      </w:pPr>
    </w:p>
    <w:p w14:paraId="3A53D34F" w14:textId="3CDE572A" w:rsidR="00404914" w:rsidRDefault="00404914" w:rsidP="000460C5">
      <w:pPr>
        <w:spacing w:before="100" w:beforeAutospacing="1" w:after="100" w:afterAutospacing="1" w:line="240" w:lineRule="auto"/>
        <w:rPr>
          <w:rFonts w:ascii="Times New Roman" w:eastAsia="Times New Roman" w:hAnsi="Times New Roman" w:cs="Times New Roman"/>
          <w:sz w:val="24"/>
          <w:szCs w:val="24"/>
          <w:lang w:eastAsia="fr-CA"/>
        </w:rPr>
      </w:pPr>
    </w:p>
    <w:p w14:paraId="38C2BB74" w14:textId="219E18C6" w:rsidR="00404914" w:rsidRDefault="00404914" w:rsidP="000460C5">
      <w:pPr>
        <w:spacing w:before="100" w:beforeAutospacing="1" w:after="100" w:afterAutospacing="1" w:line="240" w:lineRule="auto"/>
        <w:rPr>
          <w:rFonts w:ascii="Times New Roman" w:eastAsia="Times New Roman" w:hAnsi="Times New Roman" w:cs="Times New Roman"/>
          <w:sz w:val="24"/>
          <w:szCs w:val="24"/>
          <w:lang w:eastAsia="fr-CA"/>
        </w:rPr>
      </w:pPr>
    </w:p>
    <w:p w14:paraId="49293048" w14:textId="77777777" w:rsidR="00404914" w:rsidRPr="000460C5" w:rsidRDefault="00404914" w:rsidP="000460C5">
      <w:pPr>
        <w:spacing w:before="100" w:beforeAutospacing="1" w:after="100" w:afterAutospacing="1" w:line="240" w:lineRule="auto"/>
        <w:rPr>
          <w:rFonts w:ascii="Times New Roman" w:eastAsia="Times New Roman" w:hAnsi="Times New Roman" w:cs="Times New Roman"/>
          <w:sz w:val="24"/>
          <w:szCs w:val="24"/>
          <w:lang w:eastAsia="fr-CA"/>
        </w:rPr>
      </w:pPr>
    </w:p>
    <w:p w14:paraId="311846F8" w14:textId="77777777" w:rsidR="00BE42EA" w:rsidRDefault="00BE42EA">
      <w:pPr>
        <w:rPr>
          <w:rFonts w:ascii="Times New Roman" w:eastAsia="Times New Roman" w:hAnsi="Times New Roman" w:cs="Times New Roman"/>
          <w:b/>
          <w:bCs/>
          <w:kern w:val="36"/>
          <w:sz w:val="24"/>
          <w:szCs w:val="24"/>
          <w:lang w:eastAsia="fr-CA"/>
        </w:rPr>
      </w:pPr>
      <w:r>
        <w:rPr>
          <w:sz w:val="24"/>
          <w:szCs w:val="24"/>
        </w:rPr>
        <w:br w:type="page"/>
      </w:r>
    </w:p>
    <w:p w14:paraId="4A7BED27" w14:textId="4B9F15E8" w:rsidR="008E32AB" w:rsidRPr="008E32AB" w:rsidRDefault="008E32AB" w:rsidP="000B7C4D">
      <w:pPr>
        <w:pStyle w:val="Heading1"/>
        <w:rPr>
          <w:sz w:val="24"/>
          <w:szCs w:val="24"/>
        </w:rPr>
      </w:pPr>
      <w:bookmarkStart w:id="4" w:name="_Toc6239801"/>
      <w:r w:rsidRPr="008E32AB">
        <w:rPr>
          <w:sz w:val="24"/>
          <w:szCs w:val="24"/>
        </w:rPr>
        <w:lastRenderedPageBreak/>
        <w:t>Avant-propos</w:t>
      </w:r>
      <w:bookmarkEnd w:id="4"/>
    </w:p>
    <w:p w14:paraId="09EC9E33" w14:textId="6AC830DB" w:rsidR="008E32AB" w:rsidRPr="008E32AB" w:rsidRDefault="008E32AB" w:rsidP="008E32AB">
      <w:pPr>
        <w:spacing w:before="100" w:beforeAutospacing="1" w:after="100" w:afterAutospacing="1" w:line="480" w:lineRule="auto"/>
        <w:ind w:firstLine="708"/>
        <w:jc w:val="both"/>
        <w:rPr>
          <w:rFonts w:ascii="Times New Roman" w:eastAsia="Times New Roman" w:hAnsi="Times New Roman" w:cs="Times New Roman"/>
          <w:sz w:val="24"/>
          <w:szCs w:val="24"/>
          <w:lang w:eastAsia="fr-CA"/>
        </w:rPr>
      </w:pPr>
      <w:r w:rsidRPr="008E32AB">
        <w:rPr>
          <w:rFonts w:ascii="Times New Roman" w:eastAsia="Times New Roman" w:hAnsi="Times New Roman" w:cs="Times New Roman"/>
          <w:sz w:val="24"/>
          <w:szCs w:val="24"/>
          <w:lang w:eastAsia="fr-CA"/>
        </w:rPr>
        <w:t xml:space="preserve">Le présent mémoire rentre dans le cadre de l'obtention du diplôme </w:t>
      </w:r>
      <w:r>
        <w:rPr>
          <w:rFonts w:ascii="Times New Roman" w:eastAsia="Times New Roman" w:hAnsi="Times New Roman" w:cs="Times New Roman"/>
          <w:sz w:val="24"/>
          <w:szCs w:val="24"/>
          <w:lang w:eastAsia="fr-CA"/>
        </w:rPr>
        <w:t>de maîtrise en éthique publique de l’université Saint</w:t>
      </w:r>
      <w:r w:rsidR="00B33FDF">
        <w:rPr>
          <w:rFonts w:ascii="Times New Roman" w:eastAsia="Times New Roman" w:hAnsi="Times New Roman" w:cs="Times New Roman"/>
          <w:sz w:val="24"/>
          <w:szCs w:val="24"/>
          <w:lang w:eastAsia="fr-CA"/>
        </w:rPr>
        <w:t>-</w:t>
      </w:r>
      <w:r>
        <w:rPr>
          <w:rFonts w:ascii="Times New Roman" w:eastAsia="Times New Roman" w:hAnsi="Times New Roman" w:cs="Times New Roman"/>
          <w:sz w:val="24"/>
          <w:szCs w:val="24"/>
          <w:lang w:eastAsia="fr-CA"/>
        </w:rPr>
        <w:t xml:space="preserve">Paul d’Ottawa. </w:t>
      </w:r>
      <w:r w:rsidRPr="008E32AB">
        <w:rPr>
          <w:rFonts w:ascii="Times New Roman" w:eastAsia="Times New Roman" w:hAnsi="Times New Roman" w:cs="Times New Roman"/>
          <w:sz w:val="24"/>
          <w:szCs w:val="24"/>
          <w:lang w:eastAsia="fr-CA"/>
        </w:rPr>
        <w:t xml:space="preserve"> </w:t>
      </w:r>
      <w:r w:rsidR="00B33FDF">
        <w:rPr>
          <w:rFonts w:ascii="Times New Roman" w:eastAsia="Times New Roman" w:hAnsi="Times New Roman" w:cs="Times New Roman"/>
          <w:sz w:val="24"/>
          <w:szCs w:val="24"/>
          <w:lang w:eastAsia="fr-CA"/>
        </w:rPr>
        <w:t>À</w:t>
      </w:r>
      <w:r w:rsidR="00070A2A">
        <w:rPr>
          <w:rFonts w:ascii="Times New Roman" w:eastAsia="Times New Roman" w:hAnsi="Times New Roman" w:cs="Times New Roman"/>
          <w:sz w:val="24"/>
          <w:szCs w:val="24"/>
          <w:lang w:eastAsia="fr-CA"/>
        </w:rPr>
        <w:t xml:space="preserve"> l’origine de l</w:t>
      </w:r>
      <w:r w:rsidRPr="008E32AB">
        <w:rPr>
          <w:rFonts w:ascii="Times New Roman" w:eastAsia="Times New Roman" w:hAnsi="Times New Roman" w:cs="Times New Roman"/>
          <w:sz w:val="24"/>
          <w:szCs w:val="24"/>
          <w:lang w:eastAsia="fr-CA"/>
        </w:rPr>
        <w:t xml:space="preserve">'idée </w:t>
      </w:r>
      <w:r w:rsidR="00E40A57">
        <w:rPr>
          <w:rFonts w:ascii="Times New Roman" w:eastAsia="Times New Roman" w:hAnsi="Times New Roman" w:cs="Times New Roman"/>
          <w:sz w:val="24"/>
          <w:szCs w:val="24"/>
          <w:lang w:eastAsia="fr-CA"/>
        </w:rPr>
        <w:t xml:space="preserve">se trouve ce constat : </w:t>
      </w:r>
      <w:r>
        <w:rPr>
          <w:rFonts w:ascii="Times New Roman" w:eastAsia="Times New Roman" w:hAnsi="Times New Roman" w:cs="Times New Roman"/>
          <w:sz w:val="24"/>
          <w:szCs w:val="24"/>
          <w:lang w:eastAsia="fr-CA"/>
        </w:rPr>
        <w:t>une commission vérité et réconciliation mise en place</w:t>
      </w:r>
      <w:r w:rsidR="00E40A57">
        <w:rPr>
          <w:rFonts w:ascii="Times New Roman" w:eastAsia="Times New Roman" w:hAnsi="Times New Roman" w:cs="Times New Roman"/>
          <w:sz w:val="24"/>
          <w:szCs w:val="24"/>
          <w:lang w:eastAsia="fr-CA"/>
        </w:rPr>
        <w:t xml:space="preserve"> en 2014 </w:t>
      </w:r>
      <w:r>
        <w:rPr>
          <w:rFonts w:ascii="Times New Roman" w:eastAsia="Times New Roman" w:hAnsi="Times New Roman" w:cs="Times New Roman"/>
          <w:sz w:val="24"/>
          <w:szCs w:val="24"/>
          <w:lang w:eastAsia="fr-CA"/>
        </w:rPr>
        <w:t xml:space="preserve">par un régime </w:t>
      </w:r>
      <w:r w:rsidR="00070A2A">
        <w:rPr>
          <w:rFonts w:ascii="Times New Roman" w:eastAsia="Times New Roman" w:hAnsi="Times New Roman" w:cs="Times New Roman"/>
          <w:sz w:val="24"/>
          <w:szCs w:val="24"/>
          <w:lang w:eastAsia="fr-CA"/>
        </w:rPr>
        <w:t xml:space="preserve">qui, </w:t>
      </w:r>
      <w:r w:rsidR="00E40A57">
        <w:rPr>
          <w:rFonts w:ascii="Times New Roman" w:eastAsia="Times New Roman" w:hAnsi="Times New Roman" w:cs="Times New Roman"/>
          <w:sz w:val="24"/>
          <w:szCs w:val="24"/>
          <w:lang w:eastAsia="fr-CA"/>
        </w:rPr>
        <w:t xml:space="preserve">juste après en 2017, fait </w:t>
      </w:r>
      <w:r w:rsidR="00070A2A">
        <w:rPr>
          <w:rFonts w:ascii="Times New Roman" w:eastAsia="Times New Roman" w:hAnsi="Times New Roman" w:cs="Times New Roman"/>
          <w:sz w:val="24"/>
          <w:szCs w:val="24"/>
          <w:lang w:eastAsia="fr-CA"/>
        </w:rPr>
        <w:t>l’objet d’une</w:t>
      </w:r>
      <w:r>
        <w:rPr>
          <w:rFonts w:ascii="Times New Roman" w:eastAsia="Times New Roman" w:hAnsi="Times New Roman" w:cs="Times New Roman"/>
          <w:sz w:val="24"/>
          <w:szCs w:val="24"/>
          <w:lang w:eastAsia="fr-CA"/>
        </w:rPr>
        <w:t xml:space="preserve"> enquête de la </w:t>
      </w:r>
      <w:r w:rsidR="00B33FDF">
        <w:rPr>
          <w:rFonts w:ascii="Times New Roman" w:eastAsia="Times New Roman" w:hAnsi="Times New Roman" w:cs="Times New Roman"/>
          <w:sz w:val="24"/>
          <w:szCs w:val="24"/>
          <w:lang w:eastAsia="fr-CA"/>
        </w:rPr>
        <w:t>c</w:t>
      </w:r>
      <w:r>
        <w:rPr>
          <w:rFonts w:ascii="Times New Roman" w:eastAsia="Times New Roman" w:hAnsi="Times New Roman" w:cs="Times New Roman"/>
          <w:sz w:val="24"/>
          <w:szCs w:val="24"/>
          <w:lang w:eastAsia="fr-CA"/>
        </w:rPr>
        <w:t>ours pénale internationale</w:t>
      </w:r>
      <w:r w:rsidR="00070A2A">
        <w:rPr>
          <w:rFonts w:ascii="Times New Roman" w:eastAsia="Times New Roman" w:hAnsi="Times New Roman" w:cs="Times New Roman"/>
          <w:sz w:val="24"/>
          <w:szCs w:val="24"/>
          <w:lang w:eastAsia="fr-CA"/>
        </w:rPr>
        <w:t xml:space="preserve"> pour des </w:t>
      </w:r>
      <w:r w:rsidR="00070A2A" w:rsidRPr="00070A2A">
        <w:rPr>
          <w:rFonts w:ascii="Times New Roman" w:eastAsia="Times New Roman" w:hAnsi="Times New Roman" w:cs="Times New Roman"/>
          <w:sz w:val="24"/>
          <w:szCs w:val="24"/>
          <w:lang w:eastAsia="fr-CA"/>
        </w:rPr>
        <w:t>crimes graves commis au cours des deux dernières années</w:t>
      </w:r>
      <w:r>
        <w:rPr>
          <w:rFonts w:ascii="Times New Roman" w:eastAsia="Times New Roman" w:hAnsi="Times New Roman" w:cs="Times New Roman"/>
          <w:sz w:val="24"/>
          <w:szCs w:val="24"/>
          <w:lang w:eastAsia="fr-CA"/>
        </w:rPr>
        <w:t xml:space="preserve">. Si </w:t>
      </w:r>
      <w:r w:rsidR="00E40A57">
        <w:rPr>
          <w:rFonts w:ascii="Times New Roman" w:eastAsia="Times New Roman" w:hAnsi="Times New Roman" w:cs="Times New Roman"/>
          <w:sz w:val="24"/>
          <w:szCs w:val="24"/>
          <w:lang w:eastAsia="fr-CA"/>
        </w:rPr>
        <w:t xml:space="preserve">en effet </w:t>
      </w:r>
      <w:r>
        <w:rPr>
          <w:rFonts w:ascii="Times New Roman" w:eastAsia="Times New Roman" w:hAnsi="Times New Roman" w:cs="Times New Roman"/>
          <w:sz w:val="24"/>
          <w:szCs w:val="24"/>
          <w:lang w:eastAsia="fr-CA"/>
        </w:rPr>
        <w:t xml:space="preserve">une telle commission doit poursuivre son travail, </w:t>
      </w:r>
      <w:r w:rsidR="008D01FF">
        <w:rPr>
          <w:rFonts w:ascii="Times New Roman" w:eastAsia="Times New Roman" w:hAnsi="Times New Roman" w:cs="Times New Roman"/>
          <w:sz w:val="24"/>
          <w:szCs w:val="24"/>
          <w:lang w:eastAsia="fr-CA"/>
        </w:rPr>
        <w:t>n’aurait-</w:t>
      </w:r>
      <w:r>
        <w:rPr>
          <w:rFonts w:ascii="Times New Roman" w:eastAsia="Times New Roman" w:hAnsi="Times New Roman" w:cs="Times New Roman"/>
          <w:sz w:val="24"/>
          <w:szCs w:val="24"/>
          <w:lang w:eastAsia="fr-CA"/>
        </w:rPr>
        <w:t>elle pas besoin de s’appuyer sur un cadre éthique arrimé à ce genre de circonstance</w:t>
      </w:r>
      <w:r w:rsidR="00B33FDF">
        <w:rPr>
          <w:rFonts w:ascii="Times New Roman" w:eastAsia="Times New Roman" w:hAnsi="Times New Roman" w:cs="Times New Roman"/>
          <w:sz w:val="24"/>
          <w:szCs w:val="24"/>
          <w:lang w:eastAsia="fr-CA"/>
        </w:rPr>
        <w:t>s</w:t>
      </w:r>
      <w:r>
        <w:rPr>
          <w:rFonts w:ascii="Times New Roman" w:eastAsia="Times New Roman" w:hAnsi="Times New Roman" w:cs="Times New Roman"/>
          <w:sz w:val="24"/>
          <w:szCs w:val="24"/>
          <w:lang w:eastAsia="fr-CA"/>
        </w:rPr>
        <w:t xml:space="preserve">? </w:t>
      </w:r>
    </w:p>
    <w:p w14:paraId="521D52FC" w14:textId="41DF0718" w:rsidR="008E32AB" w:rsidRPr="008E32AB" w:rsidRDefault="008D01FF" w:rsidP="008E32AB">
      <w:pPr>
        <w:spacing w:before="100" w:beforeAutospacing="1" w:after="100" w:afterAutospacing="1" w:line="480" w:lineRule="auto"/>
        <w:ind w:firstLine="708"/>
        <w:jc w:val="both"/>
        <w:rPr>
          <w:rFonts w:ascii="Times New Roman" w:eastAsia="Times New Roman" w:hAnsi="Times New Roman" w:cs="Times New Roman"/>
          <w:sz w:val="24"/>
          <w:szCs w:val="24"/>
          <w:lang w:eastAsia="fr-CA"/>
        </w:rPr>
      </w:pPr>
      <w:r>
        <w:rPr>
          <w:rFonts w:ascii="Times New Roman" w:eastAsia="Times New Roman" w:hAnsi="Times New Roman" w:cs="Times New Roman"/>
          <w:sz w:val="24"/>
          <w:szCs w:val="24"/>
          <w:lang w:eastAsia="fr-CA"/>
        </w:rPr>
        <w:t>Notre</w:t>
      </w:r>
      <w:r w:rsidR="008E32AB" w:rsidRPr="008E32AB">
        <w:rPr>
          <w:rFonts w:ascii="Times New Roman" w:eastAsia="Times New Roman" w:hAnsi="Times New Roman" w:cs="Times New Roman"/>
          <w:sz w:val="24"/>
          <w:szCs w:val="24"/>
          <w:lang w:eastAsia="fr-CA"/>
        </w:rPr>
        <w:t xml:space="preserve"> étude </w:t>
      </w:r>
      <w:r>
        <w:rPr>
          <w:rFonts w:ascii="Times New Roman" w:eastAsia="Times New Roman" w:hAnsi="Times New Roman" w:cs="Times New Roman"/>
          <w:sz w:val="24"/>
          <w:szCs w:val="24"/>
          <w:lang w:eastAsia="fr-CA"/>
        </w:rPr>
        <w:t xml:space="preserve">a donc l’ambition de </w:t>
      </w:r>
      <w:r w:rsidR="008E32AB" w:rsidRPr="008E32AB">
        <w:rPr>
          <w:rFonts w:ascii="Times New Roman" w:eastAsia="Times New Roman" w:hAnsi="Times New Roman" w:cs="Times New Roman"/>
          <w:sz w:val="24"/>
          <w:szCs w:val="24"/>
          <w:lang w:eastAsia="fr-CA"/>
        </w:rPr>
        <w:t>contribu</w:t>
      </w:r>
      <w:r>
        <w:rPr>
          <w:rFonts w:ascii="Times New Roman" w:eastAsia="Times New Roman" w:hAnsi="Times New Roman" w:cs="Times New Roman"/>
          <w:sz w:val="24"/>
          <w:szCs w:val="24"/>
          <w:lang w:eastAsia="fr-CA"/>
        </w:rPr>
        <w:t>er</w:t>
      </w:r>
      <w:r w:rsidR="008E32AB" w:rsidRPr="008E32AB">
        <w:rPr>
          <w:rFonts w:ascii="Times New Roman" w:eastAsia="Times New Roman" w:hAnsi="Times New Roman" w:cs="Times New Roman"/>
          <w:sz w:val="24"/>
          <w:szCs w:val="24"/>
          <w:lang w:eastAsia="fr-CA"/>
        </w:rPr>
        <w:t xml:space="preserve"> </w:t>
      </w:r>
      <w:r>
        <w:rPr>
          <w:rFonts w:ascii="Times New Roman" w:eastAsia="Times New Roman" w:hAnsi="Times New Roman" w:cs="Times New Roman"/>
          <w:sz w:val="24"/>
          <w:szCs w:val="24"/>
          <w:lang w:eastAsia="fr-CA"/>
        </w:rPr>
        <w:t>à</w:t>
      </w:r>
      <w:r w:rsidR="008E32AB" w:rsidRPr="008E32AB">
        <w:rPr>
          <w:rFonts w:ascii="Times New Roman" w:eastAsia="Times New Roman" w:hAnsi="Times New Roman" w:cs="Times New Roman"/>
          <w:sz w:val="24"/>
          <w:szCs w:val="24"/>
          <w:lang w:eastAsia="fr-CA"/>
        </w:rPr>
        <w:t xml:space="preserve"> mettre en relief les différents obstacles </w:t>
      </w:r>
      <w:r>
        <w:rPr>
          <w:rFonts w:ascii="Times New Roman" w:eastAsia="Times New Roman" w:hAnsi="Times New Roman" w:cs="Times New Roman"/>
          <w:sz w:val="24"/>
          <w:szCs w:val="24"/>
          <w:lang w:eastAsia="fr-CA"/>
        </w:rPr>
        <w:t>au</w:t>
      </w:r>
      <w:r w:rsidR="008E32AB">
        <w:rPr>
          <w:rFonts w:ascii="Times New Roman" w:eastAsia="Times New Roman" w:hAnsi="Times New Roman" w:cs="Times New Roman"/>
          <w:sz w:val="24"/>
          <w:szCs w:val="24"/>
          <w:lang w:eastAsia="fr-CA"/>
        </w:rPr>
        <w:t xml:space="preserve"> processus </w:t>
      </w:r>
      <w:r>
        <w:rPr>
          <w:rFonts w:ascii="Times New Roman" w:eastAsia="Times New Roman" w:hAnsi="Times New Roman" w:cs="Times New Roman"/>
          <w:sz w:val="24"/>
          <w:szCs w:val="24"/>
          <w:lang w:eastAsia="fr-CA"/>
        </w:rPr>
        <w:t>ainsi que</w:t>
      </w:r>
      <w:r w:rsidR="008E32AB">
        <w:rPr>
          <w:rFonts w:ascii="Times New Roman" w:eastAsia="Times New Roman" w:hAnsi="Times New Roman" w:cs="Times New Roman"/>
          <w:sz w:val="24"/>
          <w:szCs w:val="24"/>
          <w:lang w:eastAsia="fr-CA"/>
        </w:rPr>
        <w:t xml:space="preserve"> les </w:t>
      </w:r>
      <w:r w:rsidR="008E32AB" w:rsidRPr="008E32AB">
        <w:rPr>
          <w:rFonts w:ascii="Times New Roman" w:eastAsia="Times New Roman" w:hAnsi="Times New Roman" w:cs="Times New Roman"/>
          <w:sz w:val="24"/>
          <w:szCs w:val="24"/>
          <w:lang w:eastAsia="fr-CA"/>
        </w:rPr>
        <w:t xml:space="preserve">voies et moyens </w:t>
      </w:r>
      <w:r w:rsidR="008E32AB">
        <w:rPr>
          <w:rFonts w:ascii="Times New Roman" w:eastAsia="Times New Roman" w:hAnsi="Times New Roman" w:cs="Times New Roman"/>
          <w:sz w:val="24"/>
          <w:szCs w:val="24"/>
          <w:lang w:eastAsia="fr-CA"/>
        </w:rPr>
        <w:t>pou</w:t>
      </w:r>
      <w:r>
        <w:rPr>
          <w:rFonts w:ascii="Times New Roman" w:eastAsia="Times New Roman" w:hAnsi="Times New Roman" w:cs="Times New Roman"/>
          <w:sz w:val="24"/>
          <w:szCs w:val="24"/>
          <w:lang w:eastAsia="fr-CA"/>
        </w:rPr>
        <w:t>vant</w:t>
      </w:r>
      <w:r w:rsidR="008E32AB">
        <w:rPr>
          <w:rFonts w:ascii="Times New Roman" w:eastAsia="Times New Roman" w:hAnsi="Times New Roman" w:cs="Times New Roman"/>
          <w:sz w:val="24"/>
          <w:szCs w:val="24"/>
          <w:lang w:eastAsia="fr-CA"/>
        </w:rPr>
        <w:t xml:space="preserve"> le rendre p</w:t>
      </w:r>
      <w:r w:rsidR="00BE42EA">
        <w:rPr>
          <w:rFonts w:ascii="Times New Roman" w:eastAsia="Times New Roman" w:hAnsi="Times New Roman" w:cs="Times New Roman"/>
          <w:sz w:val="24"/>
          <w:szCs w:val="24"/>
          <w:lang w:eastAsia="fr-CA"/>
        </w:rPr>
        <w:t>lus prometteur</w:t>
      </w:r>
      <w:r w:rsidR="008E32AB">
        <w:rPr>
          <w:rFonts w:ascii="Times New Roman" w:eastAsia="Times New Roman" w:hAnsi="Times New Roman" w:cs="Times New Roman"/>
          <w:sz w:val="24"/>
          <w:szCs w:val="24"/>
          <w:lang w:eastAsia="fr-CA"/>
        </w:rPr>
        <w:t xml:space="preserve">. </w:t>
      </w:r>
      <w:r w:rsidR="00B53886">
        <w:rPr>
          <w:rFonts w:ascii="Times New Roman" w:eastAsia="Times New Roman" w:hAnsi="Times New Roman" w:cs="Times New Roman"/>
          <w:sz w:val="24"/>
          <w:szCs w:val="24"/>
          <w:lang w:eastAsia="fr-CA"/>
        </w:rPr>
        <w:t xml:space="preserve">Des pistes sont proposées pour lever le destin hostile et sa </w:t>
      </w:r>
      <w:r w:rsidR="00070A2A">
        <w:rPr>
          <w:rFonts w:ascii="Times New Roman" w:eastAsia="Times New Roman" w:hAnsi="Times New Roman" w:cs="Times New Roman"/>
          <w:sz w:val="24"/>
          <w:szCs w:val="24"/>
          <w:lang w:eastAsia="fr-CA"/>
        </w:rPr>
        <w:t>causalité</w:t>
      </w:r>
      <w:r>
        <w:rPr>
          <w:rFonts w:ascii="Times New Roman" w:eastAsia="Times New Roman" w:hAnsi="Times New Roman" w:cs="Times New Roman"/>
          <w:sz w:val="24"/>
          <w:szCs w:val="24"/>
          <w:lang w:eastAsia="fr-CA"/>
        </w:rPr>
        <w:t xml:space="preserve"> d’une part</w:t>
      </w:r>
      <w:r w:rsidR="00070A2A">
        <w:rPr>
          <w:rFonts w:ascii="Times New Roman" w:eastAsia="Times New Roman" w:hAnsi="Times New Roman" w:cs="Times New Roman"/>
          <w:sz w:val="24"/>
          <w:szCs w:val="24"/>
          <w:lang w:eastAsia="fr-CA"/>
        </w:rPr>
        <w:t xml:space="preserve">, </w:t>
      </w:r>
      <w:r>
        <w:rPr>
          <w:rFonts w:ascii="Times New Roman" w:eastAsia="Times New Roman" w:hAnsi="Times New Roman" w:cs="Times New Roman"/>
          <w:sz w:val="24"/>
          <w:szCs w:val="24"/>
          <w:lang w:eastAsia="fr-CA"/>
        </w:rPr>
        <w:t>et surtout</w:t>
      </w:r>
      <w:r w:rsidR="00BE42EA">
        <w:rPr>
          <w:rFonts w:ascii="Times New Roman" w:eastAsia="Times New Roman" w:hAnsi="Times New Roman" w:cs="Times New Roman"/>
          <w:sz w:val="24"/>
          <w:szCs w:val="24"/>
          <w:lang w:eastAsia="fr-CA"/>
        </w:rPr>
        <w:t>,</w:t>
      </w:r>
      <w:r>
        <w:rPr>
          <w:rFonts w:ascii="Times New Roman" w:eastAsia="Times New Roman" w:hAnsi="Times New Roman" w:cs="Times New Roman"/>
          <w:sz w:val="24"/>
          <w:szCs w:val="24"/>
          <w:lang w:eastAsia="fr-CA"/>
        </w:rPr>
        <w:t xml:space="preserve"> </w:t>
      </w:r>
      <w:r w:rsidR="00BE42EA">
        <w:rPr>
          <w:rFonts w:ascii="Times New Roman" w:eastAsia="Times New Roman" w:hAnsi="Times New Roman" w:cs="Times New Roman"/>
          <w:sz w:val="24"/>
          <w:szCs w:val="24"/>
          <w:lang w:eastAsia="fr-CA"/>
        </w:rPr>
        <w:t xml:space="preserve">pour </w:t>
      </w:r>
      <w:r>
        <w:rPr>
          <w:rFonts w:ascii="Times New Roman" w:eastAsia="Times New Roman" w:hAnsi="Times New Roman" w:cs="Times New Roman"/>
          <w:sz w:val="24"/>
          <w:szCs w:val="24"/>
          <w:lang w:eastAsia="fr-CA"/>
        </w:rPr>
        <w:t xml:space="preserve">prévenir </w:t>
      </w:r>
      <w:r w:rsidR="00B53886">
        <w:rPr>
          <w:rFonts w:ascii="Times New Roman" w:eastAsia="Times New Roman" w:hAnsi="Times New Roman" w:cs="Times New Roman"/>
          <w:sz w:val="24"/>
          <w:szCs w:val="24"/>
          <w:lang w:eastAsia="fr-CA"/>
        </w:rPr>
        <w:t>que l</w:t>
      </w:r>
      <w:r w:rsidR="00070A2A">
        <w:rPr>
          <w:rFonts w:ascii="Times New Roman" w:eastAsia="Times New Roman" w:hAnsi="Times New Roman" w:cs="Times New Roman"/>
          <w:sz w:val="24"/>
          <w:szCs w:val="24"/>
          <w:lang w:eastAsia="fr-CA"/>
        </w:rPr>
        <w:t>a</w:t>
      </w:r>
      <w:r w:rsidR="00B53886">
        <w:rPr>
          <w:rFonts w:ascii="Times New Roman" w:eastAsia="Times New Roman" w:hAnsi="Times New Roman" w:cs="Times New Roman"/>
          <w:sz w:val="24"/>
          <w:szCs w:val="24"/>
          <w:lang w:eastAsia="fr-CA"/>
        </w:rPr>
        <w:t xml:space="preserve"> commission, elle-même, ne devienne un instrument de violence symbolique. </w:t>
      </w:r>
    </w:p>
    <w:p w14:paraId="4E9AF8C5" w14:textId="55B63832" w:rsidR="008E32AB" w:rsidRPr="008E32AB" w:rsidRDefault="00511D78" w:rsidP="00B53886">
      <w:pPr>
        <w:spacing w:before="100" w:beforeAutospacing="1" w:after="100" w:afterAutospacing="1" w:line="480" w:lineRule="auto"/>
        <w:ind w:firstLine="708"/>
        <w:jc w:val="both"/>
        <w:rPr>
          <w:rFonts w:ascii="Times New Roman" w:eastAsia="Times New Roman" w:hAnsi="Times New Roman" w:cs="Times New Roman"/>
          <w:sz w:val="24"/>
          <w:szCs w:val="24"/>
          <w:lang w:eastAsia="fr-CA"/>
        </w:rPr>
      </w:pPr>
      <w:r>
        <w:rPr>
          <w:rFonts w:ascii="Times New Roman" w:eastAsia="Times New Roman" w:hAnsi="Times New Roman" w:cs="Times New Roman"/>
          <w:sz w:val="24"/>
          <w:szCs w:val="24"/>
          <w:lang w:eastAsia="fr-CA"/>
        </w:rPr>
        <w:t xml:space="preserve">Nous avons éprouvé deux </w:t>
      </w:r>
      <w:r w:rsidR="00006885">
        <w:rPr>
          <w:rFonts w:ascii="Times New Roman" w:eastAsia="Times New Roman" w:hAnsi="Times New Roman" w:cs="Times New Roman"/>
          <w:sz w:val="24"/>
          <w:szCs w:val="24"/>
          <w:lang w:eastAsia="fr-CA"/>
        </w:rPr>
        <w:t>type</w:t>
      </w:r>
      <w:r w:rsidR="00BE42EA">
        <w:rPr>
          <w:rFonts w:ascii="Times New Roman" w:eastAsia="Times New Roman" w:hAnsi="Times New Roman" w:cs="Times New Roman"/>
          <w:sz w:val="24"/>
          <w:szCs w:val="24"/>
          <w:lang w:eastAsia="fr-CA"/>
        </w:rPr>
        <w:t>s de</w:t>
      </w:r>
      <w:r w:rsidR="00006885">
        <w:rPr>
          <w:rFonts w:ascii="Times New Roman" w:eastAsia="Times New Roman" w:hAnsi="Times New Roman" w:cs="Times New Roman"/>
          <w:sz w:val="24"/>
          <w:szCs w:val="24"/>
          <w:lang w:eastAsia="fr-CA"/>
        </w:rPr>
        <w:t xml:space="preserve"> difficultés</w:t>
      </w:r>
      <w:r w:rsidR="001C3438">
        <w:rPr>
          <w:rFonts w:ascii="Times New Roman" w:eastAsia="Times New Roman" w:hAnsi="Times New Roman" w:cs="Times New Roman"/>
          <w:sz w:val="24"/>
          <w:szCs w:val="24"/>
          <w:lang w:eastAsia="fr-CA"/>
        </w:rPr>
        <w:t xml:space="preserve"> au cours de ce travail. Le premier</w:t>
      </w:r>
      <w:r w:rsidR="00006885">
        <w:rPr>
          <w:rFonts w:ascii="Times New Roman" w:eastAsia="Times New Roman" w:hAnsi="Times New Roman" w:cs="Times New Roman"/>
          <w:sz w:val="24"/>
          <w:szCs w:val="24"/>
          <w:lang w:eastAsia="fr-CA"/>
        </w:rPr>
        <w:t xml:space="preserve"> </w:t>
      </w:r>
      <w:r w:rsidR="008E32AB" w:rsidRPr="008E32AB">
        <w:rPr>
          <w:rFonts w:ascii="Times New Roman" w:eastAsia="Times New Roman" w:hAnsi="Times New Roman" w:cs="Times New Roman"/>
          <w:sz w:val="24"/>
          <w:szCs w:val="24"/>
          <w:lang w:eastAsia="fr-CA"/>
        </w:rPr>
        <w:t xml:space="preserve">concerne la disponibilité de données </w:t>
      </w:r>
      <w:r w:rsidR="00B53886">
        <w:rPr>
          <w:rFonts w:ascii="Times New Roman" w:eastAsia="Times New Roman" w:hAnsi="Times New Roman" w:cs="Times New Roman"/>
          <w:sz w:val="24"/>
          <w:szCs w:val="24"/>
          <w:lang w:eastAsia="fr-CA"/>
        </w:rPr>
        <w:t xml:space="preserve">qualitatives auprès des participants </w:t>
      </w:r>
      <w:r w:rsidR="001C3438">
        <w:rPr>
          <w:rFonts w:ascii="Times New Roman" w:eastAsia="Times New Roman" w:hAnsi="Times New Roman" w:cs="Times New Roman"/>
          <w:sz w:val="24"/>
          <w:szCs w:val="24"/>
          <w:lang w:eastAsia="fr-CA"/>
        </w:rPr>
        <w:t>et</w:t>
      </w:r>
      <w:r w:rsidR="00070A2A">
        <w:rPr>
          <w:rFonts w:ascii="Times New Roman" w:eastAsia="Times New Roman" w:hAnsi="Times New Roman" w:cs="Times New Roman"/>
          <w:sz w:val="24"/>
          <w:szCs w:val="24"/>
          <w:lang w:eastAsia="fr-CA"/>
        </w:rPr>
        <w:t xml:space="preserve"> des non-participants </w:t>
      </w:r>
      <w:r w:rsidR="00B53886">
        <w:rPr>
          <w:rFonts w:ascii="Times New Roman" w:eastAsia="Times New Roman" w:hAnsi="Times New Roman" w:cs="Times New Roman"/>
          <w:sz w:val="24"/>
          <w:szCs w:val="24"/>
          <w:lang w:eastAsia="fr-CA"/>
        </w:rPr>
        <w:t>au processus</w:t>
      </w:r>
      <w:r w:rsidR="008E32AB" w:rsidRPr="008E32AB">
        <w:rPr>
          <w:rFonts w:ascii="Times New Roman" w:eastAsia="Times New Roman" w:hAnsi="Times New Roman" w:cs="Times New Roman"/>
          <w:sz w:val="24"/>
          <w:szCs w:val="24"/>
          <w:lang w:eastAsia="fr-CA"/>
        </w:rPr>
        <w:t xml:space="preserve">. </w:t>
      </w:r>
      <w:r w:rsidR="00006885">
        <w:rPr>
          <w:rFonts w:ascii="Times New Roman" w:eastAsia="Times New Roman" w:hAnsi="Times New Roman" w:cs="Times New Roman"/>
          <w:sz w:val="24"/>
          <w:szCs w:val="24"/>
          <w:lang w:eastAsia="fr-CA"/>
        </w:rPr>
        <w:t>Leur vécu</w:t>
      </w:r>
      <w:r w:rsidR="000262DA">
        <w:rPr>
          <w:rFonts w:ascii="Times New Roman" w:eastAsia="Times New Roman" w:hAnsi="Times New Roman" w:cs="Times New Roman"/>
          <w:sz w:val="24"/>
          <w:szCs w:val="24"/>
          <w:lang w:eastAsia="fr-CA"/>
        </w:rPr>
        <w:t xml:space="preserve"> et la mise à plat de faits</w:t>
      </w:r>
      <w:r w:rsidR="00006885">
        <w:rPr>
          <w:rFonts w:ascii="Times New Roman" w:eastAsia="Times New Roman" w:hAnsi="Times New Roman" w:cs="Times New Roman"/>
          <w:sz w:val="24"/>
          <w:szCs w:val="24"/>
          <w:lang w:eastAsia="fr-CA"/>
        </w:rPr>
        <w:t xml:space="preserve"> aurai</w:t>
      </w:r>
      <w:r w:rsidR="000262DA">
        <w:rPr>
          <w:rFonts w:ascii="Times New Roman" w:eastAsia="Times New Roman" w:hAnsi="Times New Roman" w:cs="Times New Roman"/>
          <w:sz w:val="24"/>
          <w:szCs w:val="24"/>
          <w:lang w:eastAsia="fr-CA"/>
        </w:rPr>
        <w:t>en</w:t>
      </w:r>
      <w:r w:rsidR="00006885">
        <w:rPr>
          <w:rFonts w:ascii="Times New Roman" w:eastAsia="Times New Roman" w:hAnsi="Times New Roman" w:cs="Times New Roman"/>
          <w:sz w:val="24"/>
          <w:szCs w:val="24"/>
          <w:lang w:eastAsia="fr-CA"/>
        </w:rPr>
        <w:t xml:space="preserve">t certainement enrichi </w:t>
      </w:r>
      <w:r w:rsidR="000262DA">
        <w:rPr>
          <w:rFonts w:ascii="Times New Roman" w:eastAsia="Times New Roman" w:hAnsi="Times New Roman" w:cs="Times New Roman"/>
          <w:sz w:val="24"/>
          <w:szCs w:val="24"/>
          <w:lang w:eastAsia="fr-CA"/>
        </w:rPr>
        <w:t>l’analyse du</w:t>
      </w:r>
      <w:r w:rsidR="00006885">
        <w:rPr>
          <w:rFonts w:ascii="Times New Roman" w:eastAsia="Times New Roman" w:hAnsi="Times New Roman" w:cs="Times New Roman"/>
          <w:sz w:val="24"/>
          <w:szCs w:val="24"/>
          <w:lang w:eastAsia="fr-CA"/>
        </w:rPr>
        <w:t xml:space="preserve"> problème</w:t>
      </w:r>
      <w:r w:rsidR="001C3438">
        <w:rPr>
          <w:rFonts w:ascii="Times New Roman" w:eastAsia="Times New Roman" w:hAnsi="Times New Roman" w:cs="Times New Roman"/>
          <w:sz w:val="24"/>
          <w:szCs w:val="24"/>
          <w:lang w:eastAsia="fr-CA"/>
        </w:rPr>
        <w:t>. Le</w:t>
      </w:r>
      <w:r w:rsidR="00006885">
        <w:rPr>
          <w:rFonts w:ascii="Times New Roman" w:eastAsia="Times New Roman" w:hAnsi="Times New Roman" w:cs="Times New Roman"/>
          <w:sz w:val="24"/>
          <w:szCs w:val="24"/>
          <w:lang w:eastAsia="fr-CA"/>
        </w:rPr>
        <w:t xml:space="preserve"> second</w:t>
      </w:r>
      <w:r w:rsidR="001C3438">
        <w:rPr>
          <w:rFonts w:ascii="Times New Roman" w:eastAsia="Times New Roman" w:hAnsi="Times New Roman" w:cs="Times New Roman"/>
          <w:sz w:val="24"/>
          <w:szCs w:val="24"/>
          <w:lang w:eastAsia="fr-CA"/>
        </w:rPr>
        <w:t xml:space="preserve"> type de difficultés concerne</w:t>
      </w:r>
      <w:r w:rsidR="00B53886">
        <w:rPr>
          <w:rFonts w:ascii="Times New Roman" w:eastAsia="Times New Roman" w:hAnsi="Times New Roman" w:cs="Times New Roman"/>
          <w:sz w:val="24"/>
          <w:szCs w:val="24"/>
          <w:lang w:eastAsia="fr-CA"/>
        </w:rPr>
        <w:t xml:space="preserve"> </w:t>
      </w:r>
      <w:r w:rsidR="008E32AB" w:rsidRPr="008E32AB">
        <w:rPr>
          <w:rFonts w:ascii="Times New Roman" w:eastAsia="Times New Roman" w:hAnsi="Times New Roman" w:cs="Times New Roman"/>
          <w:sz w:val="24"/>
          <w:szCs w:val="24"/>
          <w:lang w:eastAsia="fr-CA"/>
        </w:rPr>
        <w:t xml:space="preserve">la </w:t>
      </w:r>
      <w:r w:rsidR="00B53886">
        <w:rPr>
          <w:rFonts w:ascii="Times New Roman" w:eastAsia="Times New Roman" w:hAnsi="Times New Roman" w:cs="Times New Roman"/>
          <w:sz w:val="24"/>
          <w:szCs w:val="24"/>
          <w:lang w:eastAsia="fr-CA"/>
        </w:rPr>
        <w:t>possibilité de participer aux travaux de la commission</w:t>
      </w:r>
      <w:r w:rsidR="001C3438">
        <w:rPr>
          <w:rFonts w:ascii="Times New Roman" w:eastAsia="Times New Roman" w:hAnsi="Times New Roman" w:cs="Times New Roman"/>
          <w:sz w:val="24"/>
          <w:szCs w:val="24"/>
          <w:lang w:eastAsia="fr-CA"/>
        </w:rPr>
        <w:t xml:space="preserve"> afin de mieux apprécier ses atouts et s</w:t>
      </w:r>
      <w:r w:rsidR="00006885">
        <w:rPr>
          <w:rFonts w:ascii="Times New Roman" w:eastAsia="Times New Roman" w:hAnsi="Times New Roman" w:cs="Times New Roman"/>
          <w:sz w:val="24"/>
          <w:szCs w:val="24"/>
          <w:lang w:eastAsia="fr-CA"/>
        </w:rPr>
        <w:t>es contraintes</w:t>
      </w:r>
      <w:r w:rsidR="00B53886">
        <w:rPr>
          <w:rFonts w:ascii="Times New Roman" w:eastAsia="Times New Roman" w:hAnsi="Times New Roman" w:cs="Times New Roman"/>
          <w:sz w:val="24"/>
          <w:szCs w:val="24"/>
          <w:lang w:eastAsia="fr-CA"/>
        </w:rPr>
        <w:t xml:space="preserve">. Ces deux </w:t>
      </w:r>
      <w:r w:rsidR="00006885">
        <w:rPr>
          <w:rFonts w:ascii="Times New Roman" w:eastAsia="Times New Roman" w:hAnsi="Times New Roman" w:cs="Times New Roman"/>
          <w:sz w:val="24"/>
          <w:szCs w:val="24"/>
          <w:lang w:eastAsia="fr-CA"/>
        </w:rPr>
        <w:t xml:space="preserve">types de </w:t>
      </w:r>
      <w:r w:rsidR="00B53886">
        <w:rPr>
          <w:rFonts w:ascii="Times New Roman" w:eastAsia="Times New Roman" w:hAnsi="Times New Roman" w:cs="Times New Roman"/>
          <w:sz w:val="24"/>
          <w:szCs w:val="24"/>
          <w:lang w:eastAsia="fr-CA"/>
        </w:rPr>
        <w:t xml:space="preserve">difficultés nous ont </w:t>
      </w:r>
      <w:r w:rsidR="00B53886" w:rsidRPr="008E32AB">
        <w:rPr>
          <w:rFonts w:ascii="Times New Roman" w:eastAsia="Times New Roman" w:hAnsi="Times New Roman" w:cs="Times New Roman"/>
          <w:sz w:val="24"/>
          <w:szCs w:val="24"/>
          <w:lang w:eastAsia="fr-CA"/>
        </w:rPr>
        <w:t>obligé</w:t>
      </w:r>
      <w:r w:rsidR="001C3438">
        <w:rPr>
          <w:rFonts w:ascii="Times New Roman" w:eastAsia="Times New Roman" w:hAnsi="Times New Roman" w:cs="Times New Roman"/>
          <w:sz w:val="24"/>
          <w:szCs w:val="24"/>
          <w:lang w:eastAsia="fr-CA"/>
        </w:rPr>
        <w:t>s</w:t>
      </w:r>
      <w:r w:rsidR="008E32AB" w:rsidRPr="008E32AB">
        <w:rPr>
          <w:rFonts w:ascii="Times New Roman" w:eastAsia="Times New Roman" w:hAnsi="Times New Roman" w:cs="Times New Roman"/>
          <w:sz w:val="24"/>
          <w:szCs w:val="24"/>
          <w:lang w:eastAsia="fr-CA"/>
        </w:rPr>
        <w:t xml:space="preserve"> </w:t>
      </w:r>
      <w:r w:rsidR="000262DA">
        <w:rPr>
          <w:rFonts w:ascii="Times New Roman" w:eastAsia="Times New Roman" w:hAnsi="Times New Roman" w:cs="Times New Roman"/>
          <w:sz w:val="24"/>
          <w:szCs w:val="24"/>
          <w:lang w:eastAsia="fr-CA"/>
        </w:rPr>
        <w:t>de</w:t>
      </w:r>
      <w:r w:rsidR="008E32AB" w:rsidRPr="008E32AB">
        <w:rPr>
          <w:rFonts w:ascii="Times New Roman" w:eastAsia="Times New Roman" w:hAnsi="Times New Roman" w:cs="Times New Roman"/>
          <w:sz w:val="24"/>
          <w:szCs w:val="24"/>
          <w:lang w:eastAsia="fr-CA"/>
        </w:rPr>
        <w:t xml:space="preserve"> nous contenter des </w:t>
      </w:r>
      <w:r w:rsidR="00B53886">
        <w:rPr>
          <w:rFonts w:ascii="Times New Roman" w:eastAsia="Times New Roman" w:hAnsi="Times New Roman" w:cs="Times New Roman"/>
          <w:sz w:val="24"/>
          <w:szCs w:val="24"/>
          <w:lang w:eastAsia="fr-CA"/>
        </w:rPr>
        <w:t xml:space="preserve">documents disponibles sur le site de l’université d’Antwerpen en Belgique. </w:t>
      </w:r>
    </w:p>
    <w:p w14:paraId="1505C259" w14:textId="77777777" w:rsidR="000175A1" w:rsidRPr="00967063" w:rsidRDefault="000175A1" w:rsidP="00B53886">
      <w:pPr>
        <w:rPr>
          <w:rFonts w:ascii="Times New Roman" w:hAnsi="Times New Roman" w:cs="Times New Roman"/>
          <w:sz w:val="24"/>
          <w:szCs w:val="24"/>
        </w:rPr>
      </w:pPr>
    </w:p>
    <w:p w14:paraId="18FD81B6" w14:textId="77777777" w:rsidR="000175A1" w:rsidRPr="00967063" w:rsidRDefault="000175A1" w:rsidP="000175A1">
      <w:pPr>
        <w:jc w:val="center"/>
        <w:rPr>
          <w:rFonts w:ascii="Times New Roman" w:hAnsi="Times New Roman" w:cs="Times New Roman"/>
          <w:sz w:val="24"/>
          <w:szCs w:val="24"/>
        </w:rPr>
      </w:pPr>
    </w:p>
    <w:p w14:paraId="5065F17E" w14:textId="77777777" w:rsidR="000175A1" w:rsidRPr="00967063" w:rsidRDefault="000175A1" w:rsidP="000B7C4D">
      <w:pPr>
        <w:pStyle w:val="Heading1"/>
        <w:rPr>
          <w:sz w:val="24"/>
          <w:szCs w:val="24"/>
        </w:rPr>
      </w:pPr>
      <w:bookmarkStart w:id="5" w:name="_Toc6239802"/>
      <w:r w:rsidRPr="00967063">
        <w:rPr>
          <w:sz w:val="24"/>
          <w:szCs w:val="24"/>
        </w:rPr>
        <w:t>Remerciements</w:t>
      </w:r>
      <w:bookmarkEnd w:id="5"/>
    </w:p>
    <w:p w14:paraId="71EE4876" w14:textId="77777777" w:rsidR="000175A1" w:rsidRPr="00967063" w:rsidRDefault="000175A1" w:rsidP="000175A1">
      <w:pPr>
        <w:jc w:val="center"/>
        <w:rPr>
          <w:rFonts w:ascii="Times New Roman" w:hAnsi="Times New Roman" w:cs="Times New Roman"/>
          <w:sz w:val="24"/>
          <w:szCs w:val="24"/>
        </w:rPr>
      </w:pPr>
    </w:p>
    <w:p w14:paraId="5D5EC0F7" w14:textId="241FFCA9" w:rsidR="000175A1" w:rsidRPr="00967063" w:rsidRDefault="000175A1" w:rsidP="000175A1">
      <w:pPr>
        <w:spacing w:line="480" w:lineRule="auto"/>
        <w:ind w:firstLine="708"/>
        <w:jc w:val="both"/>
        <w:rPr>
          <w:rFonts w:ascii="Times New Roman" w:hAnsi="Times New Roman" w:cs="Times New Roman"/>
          <w:sz w:val="24"/>
          <w:szCs w:val="24"/>
        </w:rPr>
      </w:pPr>
      <w:r w:rsidRPr="00967063">
        <w:rPr>
          <w:rFonts w:ascii="Times New Roman" w:hAnsi="Times New Roman" w:cs="Times New Roman"/>
          <w:sz w:val="24"/>
          <w:szCs w:val="24"/>
        </w:rPr>
        <w:t>L’auteur désire remercier très sincèrement l</w:t>
      </w:r>
      <w:r w:rsidR="00A104FF" w:rsidRPr="00967063">
        <w:rPr>
          <w:rFonts w:ascii="Times New Roman" w:hAnsi="Times New Roman" w:cs="Times New Roman"/>
          <w:sz w:val="24"/>
          <w:szCs w:val="24"/>
        </w:rPr>
        <w:t>a</w:t>
      </w:r>
      <w:r w:rsidRPr="00967063">
        <w:rPr>
          <w:rFonts w:ascii="Times New Roman" w:hAnsi="Times New Roman" w:cs="Times New Roman"/>
          <w:sz w:val="24"/>
          <w:szCs w:val="24"/>
        </w:rPr>
        <w:t xml:space="preserve"> Professeur</w:t>
      </w:r>
      <w:r w:rsidR="00A104FF" w:rsidRPr="00967063">
        <w:rPr>
          <w:rFonts w:ascii="Times New Roman" w:hAnsi="Times New Roman" w:cs="Times New Roman"/>
          <w:sz w:val="24"/>
          <w:szCs w:val="24"/>
        </w:rPr>
        <w:t>e</w:t>
      </w:r>
      <w:r w:rsidRPr="00967063">
        <w:rPr>
          <w:rFonts w:ascii="Times New Roman" w:hAnsi="Times New Roman" w:cs="Times New Roman"/>
          <w:sz w:val="24"/>
          <w:szCs w:val="24"/>
        </w:rPr>
        <w:t xml:space="preserve"> Sophie C</w:t>
      </w:r>
      <w:r w:rsidR="00BE42EA">
        <w:rPr>
          <w:rFonts w:ascii="Times New Roman" w:hAnsi="Times New Roman" w:cs="Times New Roman"/>
          <w:sz w:val="24"/>
          <w:szCs w:val="24"/>
        </w:rPr>
        <w:t>loutier</w:t>
      </w:r>
      <w:r w:rsidRPr="00967063">
        <w:rPr>
          <w:rFonts w:ascii="Times New Roman" w:hAnsi="Times New Roman" w:cs="Times New Roman"/>
          <w:sz w:val="24"/>
          <w:szCs w:val="24"/>
        </w:rPr>
        <w:t xml:space="preserve"> pour ses précieux conseils, son soutien constant, et sa grande disponibilité. Cela a facilité grandement la rédaction de ce mémoire. Ses observations ont été fort appréciées. D’un regard à la fois critique, compétent, encourageant et bienveillant, elle a su nous orienter et rendre notre recherche plus stimulante.</w:t>
      </w:r>
    </w:p>
    <w:p w14:paraId="171DA55D" w14:textId="74255A5B" w:rsidR="000175A1" w:rsidRPr="00967063" w:rsidRDefault="000175A1" w:rsidP="000175A1">
      <w:pPr>
        <w:spacing w:line="480" w:lineRule="auto"/>
        <w:ind w:firstLine="708"/>
        <w:jc w:val="both"/>
        <w:rPr>
          <w:rFonts w:ascii="Times New Roman" w:hAnsi="Times New Roman" w:cs="Times New Roman"/>
          <w:sz w:val="24"/>
          <w:szCs w:val="24"/>
        </w:rPr>
      </w:pPr>
      <w:r w:rsidRPr="00967063">
        <w:rPr>
          <w:rFonts w:ascii="Times New Roman" w:hAnsi="Times New Roman" w:cs="Times New Roman"/>
          <w:sz w:val="24"/>
          <w:szCs w:val="24"/>
        </w:rPr>
        <w:t xml:space="preserve">L’auteur désire également remercier tous ces soutiens, tout particulièrement son Évêque Monseigneur Venant BACINONI. Il tient à remercier l’archidiocèse d’Ottawa pour son insertion pastorale et les </w:t>
      </w:r>
      <w:r w:rsidR="00145045">
        <w:rPr>
          <w:rFonts w:ascii="Times New Roman" w:hAnsi="Times New Roman" w:cs="Times New Roman"/>
          <w:sz w:val="24"/>
          <w:szCs w:val="24"/>
        </w:rPr>
        <w:t>r</w:t>
      </w:r>
      <w:r w:rsidRPr="00967063">
        <w:rPr>
          <w:rFonts w:ascii="Times New Roman" w:hAnsi="Times New Roman" w:cs="Times New Roman"/>
          <w:sz w:val="24"/>
          <w:szCs w:val="24"/>
        </w:rPr>
        <w:t xml:space="preserve">eligieuses Filles de la Sagesse </w:t>
      </w:r>
      <w:r w:rsidR="00A104FF" w:rsidRPr="00967063">
        <w:rPr>
          <w:rFonts w:ascii="Times New Roman" w:hAnsi="Times New Roman" w:cs="Times New Roman"/>
          <w:sz w:val="24"/>
          <w:szCs w:val="24"/>
        </w:rPr>
        <w:t xml:space="preserve">pour </w:t>
      </w:r>
      <w:r w:rsidRPr="00967063">
        <w:rPr>
          <w:rFonts w:ascii="Times New Roman" w:hAnsi="Times New Roman" w:cs="Times New Roman"/>
          <w:sz w:val="24"/>
          <w:szCs w:val="24"/>
        </w:rPr>
        <w:t xml:space="preserve">le précieux soutien spirituel et financier. </w:t>
      </w:r>
    </w:p>
    <w:p w14:paraId="675DAE42" w14:textId="77777777" w:rsidR="000175A1" w:rsidRPr="00967063" w:rsidRDefault="000175A1" w:rsidP="000175A1">
      <w:pPr>
        <w:jc w:val="center"/>
        <w:rPr>
          <w:rFonts w:ascii="Times New Roman" w:hAnsi="Times New Roman" w:cs="Times New Roman"/>
          <w:sz w:val="24"/>
          <w:szCs w:val="24"/>
        </w:rPr>
      </w:pPr>
    </w:p>
    <w:p w14:paraId="0FF31324" w14:textId="77777777" w:rsidR="000175A1" w:rsidRPr="00967063" w:rsidRDefault="000175A1" w:rsidP="000175A1">
      <w:pPr>
        <w:jc w:val="center"/>
        <w:rPr>
          <w:rFonts w:ascii="Times New Roman" w:hAnsi="Times New Roman" w:cs="Times New Roman"/>
          <w:sz w:val="24"/>
          <w:szCs w:val="24"/>
        </w:rPr>
      </w:pPr>
    </w:p>
    <w:p w14:paraId="7B31F489" w14:textId="77777777" w:rsidR="000175A1" w:rsidRPr="00967063" w:rsidRDefault="000175A1" w:rsidP="000175A1">
      <w:pPr>
        <w:jc w:val="center"/>
        <w:rPr>
          <w:rFonts w:ascii="Times New Roman" w:hAnsi="Times New Roman" w:cs="Times New Roman"/>
          <w:sz w:val="24"/>
          <w:szCs w:val="24"/>
        </w:rPr>
      </w:pPr>
    </w:p>
    <w:p w14:paraId="467F2F45" w14:textId="77777777" w:rsidR="000175A1" w:rsidRPr="00967063" w:rsidRDefault="000175A1" w:rsidP="000175A1">
      <w:pPr>
        <w:jc w:val="center"/>
        <w:rPr>
          <w:rFonts w:ascii="Times New Roman" w:hAnsi="Times New Roman" w:cs="Times New Roman"/>
          <w:sz w:val="24"/>
          <w:szCs w:val="24"/>
        </w:rPr>
      </w:pPr>
    </w:p>
    <w:p w14:paraId="18453B84" w14:textId="77777777" w:rsidR="000175A1" w:rsidRPr="00967063" w:rsidRDefault="000175A1" w:rsidP="000175A1">
      <w:pPr>
        <w:jc w:val="center"/>
        <w:rPr>
          <w:rFonts w:ascii="Times New Roman" w:hAnsi="Times New Roman" w:cs="Times New Roman"/>
          <w:sz w:val="24"/>
          <w:szCs w:val="24"/>
        </w:rPr>
      </w:pPr>
    </w:p>
    <w:p w14:paraId="3308FB70" w14:textId="77777777" w:rsidR="000175A1" w:rsidRPr="00967063" w:rsidRDefault="000175A1" w:rsidP="000175A1">
      <w:pPr>
        <w:jc w:val="center"/>
        <w:rPr>
          <w:rFonts w:ascii="Times New Roman" w:hAnsi="Times New Roman" w:cs="Times New Roman"/>
          <w:sz w:val="24"/>
          <w:szCs w:val="24"/>
        </w:rPr>
      </w:pPr>
    </w:p>
    <w:p w14:paraId="7AA2D246" w14:textId="77777777" w:rsidR="000175A1" w:rsidRPr="00967063" w:rsidRDefault="000175A1" w:rsidP="000175A1">
      <w:pPr>
        <w:jc w:val="center"/>
        <w:rPr>
          <w:rFonts w:ascii="Times New Roman" w:hAnsi="Times New Roman" w:cs="Times New Roman"/>
          <w:sz w:val="24"/>
          <w:szCs w:val="24"/>
        </w:rPr>
      </w:pPr>
    </w:p>
    <w:p w14:paraId="5369B86C" w14:textId="77777777" w:rsidR="000175A1" w:rsidRPr="00967063" w:rsidRDefault="000175A1" w:rsidP="000175A1">
      <w:pPr>
        <w:jc w:val="center"/>
        <w:rPr>
          <w:rFonts w:ascii="Times New Roman" w:hAnsi="Times New Roman" w:cs="Times New Roman"/>
          <w:sz w:val="24"/>
          <w:szCs w:val="24"/>
        </w:rPr>
      </w:pPr>
    </w:p>
    <w:p w14:paraId="19D4DDC7" w14:textId="77777777" w:rsidR="000175A1" w:rsidRPr="00967063" w:rsidRDefault="000175A1" w:rsidP="000175A1">
      <w:pPr>
        <w:jc w:val="center"/>
        <w:rPr>
          <w:rFonts w:ascii="Times New Roman" w:hAnsi="Times New Roman" w:cs="Times New Roman"/>
          <w:sz w:val="24"/>
          <w:szCs w:val="24"/>
        </w:rPr>
      </w:pPr>
    </w:p>
    <w:p w14:paraId="164CED44" w14:textId="77777777" w:rsidR="000175A1" w:rsidRDefault="000175A1" w:rsidP="000175A1">
      <w:pPr>
        <w:jc w:val="center"/>
        <w:rPr>
          <w:rFonts w:ascii="Times New Roman" w:hAnsi="Times New Roman" w:cs="Times New Roman"/>
          <w:sz w:val="24"/>
          <w:szCs w:val="24"/>
        </w:rPr>
      </w:pPr>
    </w:p>
    <w:p w14:paraId="5EA1B5F2" w14:textId="77777777" w:rsidR="000B7D6C" w:rsidRPr="00967063" w:rsidRDefault="000B7D6C" w:rsidP="000175A1">
      <w:pPr>
        <w:jc w:val="center"/>
        <w:rPr>
          <w:rFonts w:ascii="Times New Roman" w:hAnsi="Times New Roman" w:cs="Times New Roman"/>
          <w:sz w:val="24"/>
          <w:szCs w:val="24"/>
        </w:rPr>
      </w:pPr>
    </w:p>
    <w:p w14:paraId="2037189B" w14:textId="77777777" w:rsidR="000175A1" w:rsidRPr="00967063" w:rsidRDefault="000175A1" w:rsidP="000175A1">
      <w:pPr>
        <w:jc w:val="center"/>
        <w:rPr>
          <w:rFonts w:ascii="Times New Roman" w:hAnsi="Times New Roman" w:cs="Times New Roman"/>
          <w:sz w:val="24"/>
          <w:szCs w:val="24"/>
        </w:rPr>
      </w:pPr>
    </w:p>
    <w:p w14:paraId="13CD4C2E" w14:textId="77777777" w:rsidR="000175A1" w:rsidRPr="00967063" w:rsidRDefault="000175A1" w:rsidP="000175A1">
      <w:pPr>
        <w:rPr>
          <w:rFonts w:ascii="Times New Roman" w:hAnsi="Times New Roman" w:cs="Times New Roman"/>
          <w:sz w:val="24"/>
          <w:szCs w:val="24"/>
        </w:rPr>
      </w:pPr>
    </w:p>
    <w:p w14:paraId="5D91C110" w14:textId="77777777" w:rsidR="00BE42EA" w:rsidRDefault="00BE42EA">
      <w:pPr>
        <w:rPr>
          <w:rFonts w:ascii="Times New Roman" w:eastAsia="Times New Roman" w:hAnsi="Times New Roman" w:cs="Times New Roman"/>
          <w:b/>
          <w:bCs/>
          <w:kern w:val="36"/>
          <w:sz w:val="24"/>
          <w:szCs w:val="24"/>
          <w:lang w:eastAsia="fr-CA"/>
        </w:rPr>
      </w:pPr>
      <w:r>
        <w:rPr>
          <w:sz w:val="24"/>
          <w:szCs w:val="24"/>
        </w:rPr>
        <w:br w:type="page"/>
      </w:r>
    </w:p>
    <w:p w14:paraId="1F2B0930" w14:textId="2C6C9B62" w:rsidR="000175A1" w:rsidRPr="00967063" w:rsidRDefault="000175A1" w:rsidP="000B7D6C">
      <w:pPr>
        <w:pStyle w:val="Heading1"/>
        <w:rPr>
          <w:sz w:val="24"/>
          <w:szCs w:val="24"/>
        </w:rPr>
      </w:pPr>
      <w:bookmarkStart w:id="6" w:name="_Toc6239803"/>
      <w:r w:rsidRPr="00967063">
        <w:rPr>
          <w:sz w:val="24"/>
          <w:szCs w:val="24"/>
        </w:rPr>
        <w:t>Table des matières</w:t>
      </w:r>
      <w:bookmarkEnd w:id="6"/>
    </w:p>
    <w:sdt>
      <w:sdtPr>
        <w:rPr>
          <w:rFonts w:asciiTheme="minorHAnsi" w:eastAsiaTheme="minorHAnsi" w:hAnsiTheme="minorHAnsi" w:cstheme="minorBidi"/>
          <w:b w:val="0"/>
          <w:bCs w:val="0"/>
          <w:color w:val="auto"/>
          <w:sz w:val="22"/>
          <w:szCs w:val="22"/>
          <w:lang w:val="fr-FR" w:eastAsia="en-US"/>
        </w:rPr>
        <w:id w:val="-545442922"/>
        <w:docPartObj>
          <w:docPartGallery w:val="Table of Contents"/>
          <w:docPartUnique/>
        </w:docPartObj>
      </w:sdtPr>
      <w:sdtEndPr/>
      <w:sdtContent>
        <w:p w14:paraId="0B276802" w14:textId="30F0C935" w:rsidR="005B2662" w:rsidRPr="006F28E3" w:rsidRDefault="005B2662">
          <w:pPr>
            <w:pStyle w:val="TOCHeading"/>
            <w:rPr>
              <w:lang w:val="fr-CA"/>
            </w:rPr>
          </w:pPr>
          <w:r>
            <w:rPr>
              <w:lang w:val="fr-FR"/>
            </w:rPr>
            <w:t>Table des matières</w:t>
          </w:r>
        </w:p>
        <w:p w14:paraId="1FF95AB6" w14:textId="03BCE404" w:rsidR="005B2662" w:rsidRDefault="005B2662">
          <w:pPr>
            <w:pStyle w:val="TOC1"/>
            <w:rPr>
              <w:rFonts w:eastAsiaTheme="minorEastAsia"/>
              <w:noProof/>
              <w:lang w:eastAsia="fr-CA"/>
            </w:rPr>
          </w:pPr>
          <w:r>
            <w:fldChar w:fldCharType="begin"/>
          </w:r>
          <w:r>
            <w:instrText xml:space="preserve"> TOC \o "1-3" \h \z \u </w:instrText>
          </w:r>
          <w:r>
            <w:fldChar w:fldCharType="separate"/>
          </w:r>
          <w:hyperlink w:anchor="_Toc6239800" w:history="1">
            <w:r w:rsidRPr="001C0BBB">
              <w:rPr>
                <w:rStyle w:val="Hyperlink"/>
                <w:noProof/>
              </w:rPr>
              <w:t>Résumé</w:t>
            </w:r>
            <w:r>
              <w:rPr>
                <w:noProof/>
                <w:webHidden/>
              </w:rPr>
              <w:tab/>
            </w:r>
            <w:r>
              <w:rPr>
                <w:noProof/>
                <w:webHidden/>
              </w:rPr>
              <w:fldChar w:fldCharType="begin"/>
            </w:r>
            <w:r>
              <w:rPr>
                <w:noProof/>
                <w:webHidden/>
              </w:rPr>
              <w:instrText xml:space="preserve"> PAGEREF _Toc6239800 \h </w:instrText>
            </w:r>
            <w:r>
              <w:rPr>
                <w:noProof/>
                <w:webHidden/>
              </w:rPr>
            </w:r>
            <w:r>
              <w:rPr>
                <w:noProof/>
                <w:webHidden/>
              </w:rPr>
              <w:fldChar w:fldCharType="separate"/>
            </w:r>
            <w:r>
              <w:rPr>
                <w:noProof/>
                <w:webHidden/>
              </w:rPr>
              <w:t>i</w:t>
            </w:r>
            <w:r>
              <w:rPr>
                <w:noProof/>
                <w:webHidden/>
              </w:rPr>
              <w:fldChar w:fldCharType="end"/>
            </w:r>
          </w:hyperlink>
        </w:p>
        <w:p w14:paraId="3C19CAC3" w14:textId="63F26978" w:rsidR="005B2662" w:rsidRDefault="004B4503">
          <w:pPr>
            <w:pStyle w:val="TOC1"/>
            <w:rPr>
              <w:rFonts w:eastAsiaTheme="minorEastAsia"/>
              <w:noProof/>
              <w:lang w:eastAsia="fr-CA"/>
            </w:rPr>
          </w:pPr>
          <w:hyperlink w:anchor="_Toc6239801" w:history="1">
            <w:r w:rsidR="005B2662" w:rsidRPr="001C0BBB">
              <w:rPr>
                <w:rStyle w:val="Hyperlink"/>
                <w:noProof/>
              </w:rPr>
              <w:t>Avant-propos</w:t>
            </w:r>
            <w:r w:rsidR="005B2662">
              <w:rPr>
                <w:noProof/>
                <w:webHidden/>
              </w:rPr>
              <w:tab/>
            </w:r>
            <w:r w:rsidR="005B2662">
              <w:rPr>
                <w:noProof/>
                <w:webHidden/>
              </w:rPr>
              <w:fldChar w:fldCharType="begin"/>
            </w:r>
            <w:r w:rsidR="005B2662">
              <w:rPr>
                <w:noProof/>
                <w:webHidden/>
              </w:rPr>
              <w:instrText xml:space="preserve"> PAGEREF _Toc6239801 \h </w:instrText>
            </w:r>
            <w:r w:rsidR="005B2662">
              <w:rPr>
                <w:noProof/>
                <w:webHidden/>
              </w:rPr>
            </w:r>
            <w:r w:rsidR="005B2662">
              <w:rPr>
                <w:noProof/>
                <w:webHidden/>
              </w:rPr>
              <w:fldChar w:fldCharType="separate"/>
            </w:r>
            <w:r w:rsidR="005B2662">
              <w:rPr>
                <w:noProof/>
                <w:webHidden/>
              </w:rPr>
              <w:t>ii</w:t>
            </w:r>
            <w:r w:rsidR="005B2662">
              <w:rPr>
                <w:noProof/>
                <w:webHidden/>
              </w:rPr>
              <w:fldChar w:fldCharType="end"/>
            </w:r>
          </w:hyperlink>
        </w:p>
        <w:p w14:paraId="44848217" w14:textId="5729B2AD" w:rsidR="005B2662" w:rsidRDefault="004B4503">
          <w:pPr>
            <w:pStyle w:val="TOC1"/>
            <w:rPr>
              <w:rFonts w:eastAsiaTheme="minorEastAsia"/>
              <w:noProof/>
              <w:lang w:eastAsia="fr-CA"/>
            </w:rPr>
          </w:pPr>
          <w:hyperlink w:anchor="_Toc6239802" w:history="1">
            <w:r w:rsidR="005B2662" w:rsidRPr="001C0BBB">
              <w:rPr>
                <w:rStyle w:val="Hyperlink"/>
                <w:noProof/>
              </w:rPr>
              <w:t>Remerciements</w:t>
            </w:r>
            <w:r w:rsidR="005B2662">
              <w:rPr>
                <w:noProof/>
                <w:webHidden/>
              </w:rPr>
              <w:tab/>
            </w:r>
            <w:r w:rsidR="005B2662">
              <w:rPr>
                <w:noProof/>
                <w:webHidden/>
              </w:rPr>
              <w:fldChar w:fldCharType="begin"/>
            </w:r>
            <w:r w:rsidR="005B2662">
              <w:rPr>
                <w:noProof/>
                <w:webHidden/>
              </w:rPr>
              <w:instrText xml:space="preserve"> PAGEREF _Toc6239802 \h </w:instrText>
            </w:r>
            <w:r w:rsidR="005B2662">
              <w:rPr>
                <w:noProof/>
                <w:webHidden/>
              </w:rPr>
            </w:r>
            <w:r w:rsidR="005B2662">
              <w:rPr>
                <w:noProof/>
                <w:webHidden/>
              </w:rPr>
              <w:fldChar w:fldCharType="separate"/>
            </w:r>
            <w:r w:rsidR="005B2662">
              <w:rPr>
                <w:noProof/>
                <w:webHidden/>
              </w:rPr>
              <w:t>iii</w:t>
            </w:r>
            <w:r w:rsidR="005B2662">
              <w:rPr>
                <w:noProof/>
                <w:webHidden/>
              </w:rPr>
              <w:fldChar w:fldCharType="end"/>
            </w:r>
          </w:hyperlink>
        </w:p>
        <w:p w14:paraId="2A7F91BC" w14:textId="584667A0" w:rsidR="005B2662" w:rsidRDefault="004B4503">
          <w:pPr>
            <w:pStyle w:val="TOC1"/>
            <w:rPr>
              <w:rFonts w:eastAsiaTheme="minorEastAsia"/>
              <w:noProof/>
              <w:lang w:eastAsia="fr-CA"/>
            </w:rPr>
          </w:pPr>
          <w:hyperlink w:anchor="_Toc6239803" w:history="1">
            <w:r w:rsidR="005B2662" w:rsidRPr="001C0BBB">
              <w:rPr>
                <w:rStyle w:val="Hyperlink"/>
                <w:noProof/>
              </w:rPr>
              <w:t>Table des matières</w:t>
            </w:r>
            <w:r w:rsidR="005B2662">
              <w:rPr>
                <w:noProof/>
                <w:webHidden/>
              </w:rPr>
              <w:tab/>
            </w:r>
            <w:r w:rsidR="005B2662">
              <w:rPr>
                <w:noProof/>
                <w:webHidden/>
              </w:rPr>
              <w:fldChar w:fldCharType="begin"/>
            </w:r>
            <w:r w:rsidR="005B2662">
              <w:rPr>
                <w:noProof/>
                <w:webHidden/>
              </w:rPr>
              <w:instrText xml:space="preserve"> PAGEREF _Toc6239803 \h </w:instrText>
            </w:r>
            <w:r w:rsidR="005B2662">
              <w:rPr>
                <w:noProof/>
                <w:webHidden/>
              </w:rPr>
            </w:r>
            <w:r w:rsidR="005B2662">
              <w:rPr>
                <w:noProof/>
                <w:webHidden/>
              </w:rPr>
              <w:fldChar w:fldCharType="separate"/>
            </w:r>
            <w:r w:rsidR="005B2662">
              <w:rPr>
                <w:noProof/>
                <w:webHidden/>
              </w:rPr>
              <w:t>iv</w:t>
            </w:r>
            <w:r w:rsidR="005B2662">
              <w:rPr>
                <w:noProof/>
                <w:webHidden/>
              </w:rPr>
              <w:fldChar w:fldCharType="end"/>
            </w:r>
          </w:hyperlink>
        </w:p>
        <w:p w14:paraId="7B06A9EB" w14:textId="46D3403A" w:rsidR="005B2662" w:rsidRDefault="004B4503">
          <w:pPr>
            <w:pStyle w:val="TOC1"/>
            <w:rPr>
              <w:rFonts w:eastAsiaTheme="minorEastAsia"/>
              <w:noProof/>
              <w:lang w:eastAsia="fr-CA"/>
            </w:rPr>
          </w:pPr>
          <w:hyperlink w:anchor="_Toc6239804" w:history="1">
            <w:r w:rsidR="005B2662" w:rsidRPr="001C0BBB">
              <w:rPr>
                <w:rStyle w:val="Hyperlink"/>
                <w:iCs/>
                <w:noProof/>
              </w:rPr>
              <w:t>Introduction</w:t>
            </w:r>
            <w:r w:rsidR="005B2662">
              <w:rPr>
                <w:noProof/>
                <w:webHidden/>
              </w:rPr>
              <w:tab/>
            </w:r>
            <w:r w:rsidR="005B2662">
              <w:rPr>
                <w:noProof/>
                <w:webHidden/>
              </w:rPr>
              <w:fldChar w:fldCharType="begin"/>
            </w:r>
            <w:r w:rsidR="005B2662">
              <w:rPr>
                <w:noProof/>
                <w:webHidden/>
              </w:rPr>
              <w:instrText xml:space="preserve"> PAGEREF _Toc6239804 \h </w:instrText>
            </w:r>
            <w:r w:rsidR="005B2662">
              <w:rPr>
                <w:noProof/>
                <w:webHidden/>
              </w:rPr>
            </w:r>
            <w:r w:rsidR="005B2662">
              <w:rPr>
                <w:noProof/>
                <w:webHidden/>
              </w:rPr>
              <w:fldChar w:fldCharType="separate"/>
            </w:r>
            <w:r w:rsidR="005B2662">
              <w:rPr>
                <w:noProof/>
                <w:webHidden/>
              </w:rPr>
              <w:t>1</w:t>
            </w:r>
            <w:r w:rsidR="005B2662">
              <w:rPr>
                <w:noProof/>
                <w:webHidden/>
              </w:rPr>
              <w:fldChar w:fldCharType="end"/>
            </w:r>
          </w:hyperlink>
        </w:p>
        <w:p w14:paraId="49B1874B" w14:textId="4755F7FF" w:rsidR="005B2662" w:rsidRDefault="004B4503">
          <w:pPr>
            <w:pStyle w:val="TOC1"/>
            <w:rPr>
              <w:rFonts w:eastAsiaTheme="minorEastAsia"/>
              <w:noProof/>
              <w:lang w:eastAsia="fr-CA"/>
            </w:rPr>
          </w:pPr>
          <w:hyperlink w:anchor="_Toc6239805" w:history="1">
            <w:r w:rsidR="005B2662" w:rsidRPr="001C0BBB">
              <w:rPr>
                <w:rStyle w:val="Hyperlink"/>
                <w:noProof/>
              </w:rPr>
              <w:t>Chapitre I : Contexte du processus de vérité et de la réconciliation au Burundi</w:t>
            </w:r>
            <w:r w:rsidR="005B2662">
              <w:rPr>
                <w:noProof/>
                <w:webHidden/>
              </w:rPr>
              <w:tab/>
            </w:r>
            <w:r w:rsidR="005B2662">
              <w:rPr>
                <w:noProof/>
                <w:webHidden/>
              </w:rPr>
              <w:fldChar w:fldCharType="begin"/>
            </w:r>
            <w:r w:rsidR="005B2662">
              <w:rPr>
                <w:noProof/>
                <w:webHidden/>
              </w:rPr>
              <w:instrText xml:space="preserve"> PAGEREF _Toc6239805 \h </w:instrText>
            </w:r>
            <w:r w:rsidR="005B2662">
              <w:rPr>
                <w:noProof/>
                <w:webHidden/>
              </w:rPr>
            </w:r>
            <w:r w:rsidR="005B2662">
              <w:rPr>
                <w:noProof/>
                <w:webHidden/>
              </w:rPr>
              <w:fldChar w:fldCharType="separate"/>
            </w:r>
            <w:r w:rsidR="005B2662">
              <w:rPr>
                <w:noProof/>
                <w:webHidden/>
              </w:rPr>
              <w:t>5</w:t>
            </w:r>
            <w:r w:rsidR="005B2662">
              <w:rPr>
                <w:noProof/>
                <w:webHidden/>
              </w:rPr>
              <w:fldChar w:fldCharType="end"/>
            </w:r>
          </w:hyperlink>
        </w:p>
        <w:p w14:paraId="3AA029E1" w14:textId="26BF7B53" w:rsidR="005B2662" w:rsidRDefault="004B4503">
          <w:pPr>
            <w:pStyle w:val="TOC2"/>
            <w:tabs>
              <w:tab w:val="left" w:pos="660"/>
              <w:tab w:val="right" w:leader="dot" w:pos="8630"/>
            </w:tabs>
            <w:rPr>
              <w:rFonts w:eastAsiaTheme="minorEastAsia"/>
              <w:noProof/>
              <w:lang w:eastAsia="fr-CA"/>
            </w:rPr>
          </w:pPr>
          <w:hyperlink w:anchor="_Toc6239806" w:history="1">
            <w:r w:rsidR="005B2662" w:rsidRPr="001C0BBB">
              <w:rPr>
                <w:rStyle w:val="Hyperlink"/>
                <w:rFonts w:ascii="Times New Roman" w:hAnsi="Times New Roman" w:cs="Times New Roman"/>
                <w:noProof/>
              </w:rPr>
              <w:t>1.</w:t>
            </w:r>
            <w:r w:rsidR="005B2662">
              <w:rPr>
                <w:rFonts w:eastAsiaTheme="minorEastAsia"/>
                <w:noProof/>
                <w:lang w:eastAsia="fr-CA"/>
              </w:rPr>
              <w:tab/>
            </w:r>
            <w:r w:rsidR="005B2662" w:rsidRPr="001C0BBB">
              <w:rPr>
                <w:rStyle w:val="Hyperlink"/>
                <w:rFonts w:ascii="Times New Roman" w:hAnsi="Times New Roman" w:cs="Times New Roman"/>
                <w:noProof/>
              </w:rPr>
              <w:t>Une histoire de mémoires rivales et d’hostilité entre deux groupes</w:t>
            </w:r>
            <w:r w:rsidR="005B2662">
              <w:rPr>
                <w:noProof/>
                <w:webHidden/>
              </w:rPr>
              <w:tab/>
            </w:r>
            <w:r w:rsidR="005B2662">
              <w:rPr>
                <w:noProof/>
                <w:webHidden/>
              </w:rPr>
              <w:fldChar w:fldCharType="begin"/>
            </w:r>
            <w:r w:rsidR="005B2662">
              <w:rPr>
                <w:noProof/>
                <w:webHidden/>
              </w:rPr>
              <w:instrText xml:space="preserve"> PAGEREF _Toc6239806 \h </w:instrText>
            </w:r>
            <w:r w:rsidR="005B2662">
              <w:rPr>
                <w:noProof/>
                <w:webHidden/>
              </w:rPr>
            </w:r>
            <w:r w:rsidR="005B2662">
              <w:rPr>
                <w:noProof/>
                <w:webHidden/>
              </w:rPr>
              <w:fldChar w:fldCharType="separate"/>
            </w:r>
            <w:r w:rsidR="005B2662">
              <w:rPr>
                <w:noProof/>
                <w:webHidden/>
              </w:rPr>
              <w:t>5</w:t>
            </w:r>
            <w:r w:rsidR="005B2662">
              <w:rPr>
                <w:noProof/>
                <w:webHidden/>
              </w:rPr>
              <w:fldChar w:fldCharType="end"/>
            </w:r>
          </w:hyperlink>
        </w:p>
        <w:p w14:paraId="2D736A37" w14:textId="58EB794F" w:rsidR="005B2662" w:rsidRDefault="004B4503">
          <w:pPr>
            <w:pStyle w:val="TOC2"/>
            <w:tabs>
              <w:tab w:val="left" w:pos="660"/>
              <w:tab w:val="right" w:leader="dot" w:pos="8630"/>
            </w:tabs>
            <w:rPr>
              <w:rFonts w:eastAsiaTheme="minorEastAsia"/>
              <w:noProof/>
              <w:lang w:eastAsia="fr-CA"/>
            </w:rPr>
          </w:pPr>
          <w:hyperlink w:anchor="_Toc6239807" w:history="1">
            <w:r w:rsidR="005B2662" w:rsidRPr="001C0BBB">
              <w:rPr>
                <w:rStyle w:val="Hyperlink"/>
                <w:rFonts w:ascii="Times New Roman" w:hAnsi="Times New Roman" w:cs="Times New Roman"/>
                <w:noProof/>
              </w:rPr>
              <w:t>2.</w:t>
            </w:r>
            <w:r w:rsidR="005B2662">
              <w:rPr>
                <w:rFonts w:eastAsiaTheme="minorEastAsia"/>
                <w:noProof/>
                <w:lang w:eastAsia="fr-CA"/>
              </w:rPr>
              <w:tab/>
            </w:r>
            <w:r w:rsidR="005B2662" w:rsidRPr="001C0BBB">
              <w:rPr>
                <w:rStyle w:val="Hyperlink"/>
                <w:rFonts w:ascii="Times New Roman" w:hAnsi="Times New Roman" w:cs="Times New Roman"/>
                <w:noProof/>
              </w:rPr>
              <w:t>Un accord de paix et des accords de cessez-le-feu signés sous le poids de la région</w:t>
            </w:r>
            <w:r w:rsidR="005B2662">
              <w:rPr>
                <w:noProof/>
                <w:webHidden/>
              </w:rPr>
              <w:tab/>
            </w:r>
            <w:r w:rsidR="005B2662">
              <w:rPr>
                <w:noProof/>
                <w:webHidden/>
              </w:rPr>
              <w:fldChar w:fldCharType="begin"/>
            </w:r>
            <w:r w:rsidR="005B2662">
              <w:rPr>
                <w:noProof/>
                <w:webHidden/>
              </w:rPr>
              <w:instrText xml:space="preserve"> PAGEREF _Toc6239807 \h </w:instrText>
            </w:r>
            <w:r w:rsidR="005B2662">
              <w:rPr>
                <w:noProof/>
                <w:webHidden/>
              </w:rPr>
            </w:r>
            <w:r w:rsidR="005B2662">
              <w:rPr>
                <w:noProof/>
                <w:webHidden/>
              </w:rPr>
              <w:fldChar w:fldCharType="separate"/>
            </w:r>
            <w:r w:rsidR="005B2662">
              <w:rPr>
                <w:noProof/>
                <w:webHidden/>
              </w:rPr>
              <w:t>9</w:t>
            </w:r>
            <w:r w:rsidR="005B2662">
              <w:rPr>
                <w:noProof/>
                <w:webHidden/>
              </w:rPr>
              <w:fldChar w:fldCharType="end"/>
            </w:r>
          </w:hyperlink>
        </w:p>
        <w:p w14:paraId="3FBE92C7" w14:textId="01F638EB" w:rsidR="005B2662" w:rsidRDefault="004B4503">
          <w:pPr>
            <w:pStyle w:val="TOC2"/>
            <w:tabs>
              <w:tab w:val="left" w:pos="660"/>
              <w:tab w:val="right" w:leader="dot" w:pos="8630"/>
            </w:tabs>
            <w:rPr>
              <w:rFonts w:eastAsiaTheme="minorEastAsia"/>
              <w:noProof/>
              <w:lang w:eastAsia="fr-CA"/>
            </w:rPr>
          </w:pPr>
          <w:hyperlink w:anchor="_Toc6239808" w:history="1">
            <w:r w:rsidR="005B2662" w:rsidRPr="001C0BBB">
              <w:rPr>
                <w:rStyle w:val="Hyperlink"/>
                <w:rFonts w:ascii="Times New Roman" w:hAnsi="Times New Roman" w:cs="Times New Roman"/>
                <w:noProof/>
              </w:rPr>
              <w:t>3.</w:t>
            </w:r>
            <w:r w:rsidR="005B2662">
              <w:rPr>
                <w:rFonts w:eastAsiaTheme="minorEastAsia"/>
                <w:noProof/>
                <w:lang w:eastAsia="fr-CA"/>
              </w:rPr>
              <w:tab/>
            </w:r>
            <w:r w:rsidR="005B2662" w:rsidRPr="001C0BBB">
              <w:rPr>
                <w:rStyle w:val="Hyperlink"/>
                <w:rFonts w:ascii="Times New Roman" w:hAnsi="Times New Roman" w:cs="Times New Roman"/>
                <w:noProof/>
              </w:rPr>
              <w:t>Une CVR mise en place difficilement et sans pouvoir judiciaire</w:t>
            </w:r>
            <w:r w:rsidR="005B2662">
              <w:rPr>
                <w:noProof/>
                <w:webHidden/>
              </w:rPr>
              <w:tab/>
            </w:r>
            <w:r w:rsidR="005B2662">
              <w:rPr>
                <w:noProof/>
                <w:webHidden/>
              </w:rPr>
              <w:fldChar w:fldCharType="begin"/>
            </w:r>
            <w:r w:rsidR="005B2662">
              <w:rPr>
                <w:noProof/>
                <w:webHidden/>
              </w:rPr>
              <w:instrText xml:space="preserve"> PAGEREF _Toc6239808 \h </w:instrText>
            </w:r>
            <w:r w:rsidR="005B2662">
              <w:rPr>
                <w:noProof/>
                <w:webHidden/>
              </w:rPr>
            </w:r>
            <w:r w:rsidR="005B2662">
              <w:rPr>
                <w:noProof/>
                <w:webHidden/>
              </w:rPr>
              <w:fldChar w:fldCharType="separate"/>
            </w:r>
            <w:r w:rsidR="005B2662">
              <w:rPr>
                <w:noProof/>
                <w:webHidden/>
              </w:rPr>
              <w:t>11</w:t>
            </w:r>
            <w:r w:rsidR="005B2662">
              <w:rPr>
                <w:noProof/>
                <w:webHidden/>
              </w:rPr>
              <w:fldChar w:fldCharType="end"/>
            </w:r>
          </w:hyperlink>
        </w:p>
        <w:p w14:paraId="0D11AB1F" w14:textId="029AF777" w:rsidR="005B2662" w:rsidRDefault="004B4503">
          <w:pPr>
            <w:pStyle w:val="TOC2"/>
            <w:tabs>
              <w:tab w:val="left" w:pos="660"/>
              <w:tab w:val="right" w:leader="dot" w:pos="8630"/>
            </w:tabs>
            <w:rPr>
              <w:rFonts w:eastAsiaTheme="minorEastAsia"/>
              <w:noProof/>
              <w:lang w:eastAsia="fr-CA"/>
            </w:rPr>
          </w:pPr>
          <w:hyperlink w:anchor="_Toc6239809" w:history="1">
            <w:r w:rsidR="005B2662" w:rsidRPr="001C0BBB">
              <w:rPr>
                <w:rStyle w:val="Hyperlink"/>
                <w:rFonts w:ascii="Times New Roman" w:hAnsi="Times New Roman" w:cs="Times New Roman"/>
                <w:noProof/>
              </w:rPr>
              <w:t>4.</w:t>
            </w:r>
            <w:r w:rsidR="005B2662">
              <w:rPr>
                <w:rFonts w:eastAsiaTheme="minorEastAsia"/>
                <w:noProof/>
                <w:lang w:eastAsia="fr-CA"/>
              </w:rPr>
              <w:tab/>
            </w:r>
            <w:r w:rsidR="005B2662" w:rsidRPr="001C0BBB">
              <w:rPr>
                <w:rStyle w:val="Hyperlink"/>
                <w:rFonts w:ascii="Times New Roman" w:hAnsi="Times New Roman" w:cs="Times New Roman"/>
                <w:noProof/>
              </w:rPr>
              <w:t>Une CVR dont tout le bilan se résume à un travail purement préparatoire</w:t>
            </w:r>
            <w:r w:rsidR="005B2662">
              <w:rPr>
                <w:noProof/>
                <w:webHidden/>
              </w:rPr>
              <w:tab/>
            </w:r>
            <w:r w:rsidR="005B2662">
              <w:rPr>
                <w:noProof/>
                <w:webHidden/>
              </w:rPr>
              <w:fldChar w:fldCharType="begin"/>
            </w:r>
            <w:r w:rsidR="005B2662">
              <w:rPr>
                <w:noProof/>
                <w:webHidden/>
              </w:rPr>
              <w:instrText xml:space="preserve"> PAGEREF _Toc6239809 \h </w:instrText>
            </w:r>
            <w:r w:rsidR="005B2662">
              <w:rPr>
                <w:noProof/>
                <w:webHidden/>
              </w:rPr>
            </w:r>
            <w:r w:rsidR="005B2662">
              <w:rPr>
                <w:noProof/>
                <w:webHidden/>
              </w:rPr>
              <w:fldChar w:fldCharType="separate"/>
            </w:r>
            <w:r w:rsidR="005B2662">
              <w:rPr>
                <w:noProof/>
                <w:webHidden/>
              </w:rPr>
              <w:t>14</w:t>
            </w:r>
            <w:r w:rsidR="005B2662">
              <w:rPr>
                <w:noProof/>
                <w:webHidden/>
              </w:rPr>
              <w:fldChar w:fldCharType="end"/>
            </w:r>
          </w:hyperlink>
        </w:p>
        <w:p w14:paraId="79DE7B08" w14:textId="7AC1E647" w:rsidR="005B2662" w:rsidRDefault="004B4503">
          <w:pPr>
            <w:pStyle w:val="TOC1"/>
            <w:rPr>
              <w:rFonts w:eastAsiaTheme="minorEastAsia"/>
              <w:noProof/>
              <w:lang w:eastAsia="fr-CA"/>
            </w:rPr>
          </w:pPr>
          <w:hyperlink w:anchor="_Toc6239810" w:history="1">
            <w:r w:rsidR="005B2662" w:rsidRPr="001C0BBB">
              <w:rPr>
                <w:rStyle w:val="Hyperlink"/>
                <w:noProof/>
              </w:rPr>
              <w:t>Chapitre II : Nature du problème de la CVR selon l’éthique reconstructive</w:t>
            </w:r>
            <w:r w:rsidR="005B2662">
              <w:rPr>
                <w:noProof/>
                <w:webHidden/>
              </w:rPr>
              <w:tab/>
            </w:r>
            <w:r w:rsidR="005B2662">
              <w:rPr>
                <w:noProof/>
                <w:webHidden/>
              </w:rPr>
              <w:fldChar w:fldCharType="begin"/>
            </w:r>
            <w:r w:rsidR="005B2662">
              <w:rPr>
                <w:noProof/>
                <w:webHidden/>
              </w:rPr>
              <w:instrText xml:space="preserve"> PAGEREF _Toc6239810 \h </w:instrText>
            </w:r>
            <w:r w:rsidR="005B2662">
              <w:rPr>
                <w:noProof/>
                <w:webHidden/>
              </w:rPr>
            </w:r>
            <w:r w:rsidR="005B2662">
              <w:rPr>
                <w:noProof/>
                <w:webHidden/>
              </w:rPr>
              <w:fldChar w:fldCharType="separate"/>
            </w:r>
            <w:r w:rsidR="005B2662">
              <w:rPr>
                <w:noProof/>
                <w:webHidden/>
              </w:rPr>
              <w:t>19</w:t>
            </w:r>
            <w:r w:rsidR="005B2662">
              <w:rPr>
                <w:noProof/>
                <w:webHidden/>
              </w:rPr>
              <w:fldChar w:fldCharType="end"/>
            </w:r>
          </w:hyperlink>
        </w:p>
        <w:p w14:paraId="6722D9A4" w14:textId="2806E280" w:rsidR="005B2662" w:rsidRDefault="004B4503">
          <w:pPr>
            <w:pStyle w:val="TOC2"/>
            <w:tabs>
              <w:tab w:val="left" w:pos="660"/>
              <w:tab w:val="right" w:leader="dot" w:pos="8630"/>
            </w:tabs>
            <w:rPr>
              <w:rFonts w:eastAsiaTheme="minorEastAsia"/>
              <w:noProof/>
              <w:lang w:eastAsia="fr-CA"/>
            </w:rPr>
          </w:pPr>
          <w:hyperlink w:anchor="_Toc6239811" w:history="1">
            <w:r w:rsidR="005B2662" w:rsidRPr="001C0BBB">
              <w:rPr>
                <w:rStyle w:val="Hyperlink"/>
                <w:rFonts w:ascii="Times New Roman" w:hAnsi="Times New Roman" w:cs="Times New Roman"/>
                <w:noProof/>
              </w:rPr>
              <w:t>1.</w:t>
            </w:r>
            <w:r w:rsidR="005B2662">
              <w:rPr>
                <w:rFonts w:eastAsiaTheme="minorEastAsia"/>
                <w:noProof/>
                <w:lang w:eastAsia="fr-CA"/>
              </w:rPr>
              <w:tab/>
            </w:r>
            <w:r w:rsidR="005B2662" w:rsidRPr="001C0BBB">
              <w:rPr>
                <w:rStyle w:val="Hyperlink"/>
                <w:rFonts w:ascii="Times New Roman" w:hAnsi="Times New Roman" w:cs="Times New Roman"/>
                <w:noProof/>
              </w:rPr>
              <w:t>L’éthique reconstructive et sa pertinence pour le travail de la commission</w:t>
            </w:r>
            <w:r w:rsidR="005B2662">
              <w:rPr>
                <w:noProof/>
                <w:webHidden/>
              </w:rPr>
              <w:tab/>
            </w:r>
            <w:r w:rsidR="005B2662">
              <w:rPr>
                <w:noProof/>
                <w:webHidden/>
              </w:rPr>
              <w:fldChar w:fldCharType="begin"/>
            </w:r>
            <w:r w:rsidR="005B2662">
              <w:rPr>
                <w:noProof/>
                <w:webHidden/>
              </w:rPr>
              <w:instrText xml:space="preserve"> PAGEREF _Toc6239811 \h </w:instrText>
            </w:r>
            <w:r w:rsidR="005B2662">
              <w:rPr>
                <w:noProof/>
                <w:webHidden/>
              </w:rPr>
            </w:r>
            <w:r w:rsidR="005B2662">
              <w:rPr>
                <w:noProof/>
                <w:webHidden/>
              </w:rPr>
              <w:fldChar w:fldCharType="separate"/>
            </w:r>
            <w:r w:rsidR="005B2662">
              <w:rPr>
                <w:noProof/>
                <w:webHidden/>
              </w:rPr>
              <w:t>19</w:t>
            </w:r>
            <w:r w:rsidR="005B2662">
              <w:rPr>
                <w:noProof/>
                <w:webHidden/>
              </w:rPr>
              <w:fldChar w:fldCharType="end"/>
            </w:r>
          </w:hyperlink>
        </w:p>
        <w:p w14:paraId="3F044C9C" w14:textId="03E5C669" w:rsidR="005B2662" w:rsidRDefault="004B4503">
          <w:pPr>
            <w:pStyle w:val="TOC3"/>
            <w:tabs>
              <w:tab w:val="right" w:leader="dot" w:pos="8630"/>
            </w:tabs>
            <w:rPr>
              <w:rFonts w:eastAsiaTheme="minorEastAsia"/>
              <w:noProof/>
              <w:lang w:eastAsia="fr-CA"/>
            </w:rPr>
          </w:pPr>
          <w:hyperlink w:anchor="_Toc6239812" w:history="1">
            <w:r w:rsidR="005B2662" w:rsidRPr="001C0BBB">
              <w:rPr>
                <w:rStyle w:val="Hyperlink"/>
                <w:rFonts w:ascii="Times New Roman" w:hAnsi="Times New Roman" w:cs="Times New Roman"/>
                <w:noProof/>
              </w:rPr>
              <w:t>1.1 L’éthique reconstructive selon Jean Marc Ferry.</w:t>
            </w:r>
            <w:r w:rsidR="005B2662">
              <w:rPr>
                <w:noProof/>
                <w:webHidden/>
              </w:rPr>
              <w:tab/>
            </w:r>
            <w:r w:rsidR="005B2662">
              <w:rPr>
                <w:noProof/>
                <w:webHidden/>
              </w:rPr>
              <w:fldChar w:fldCharType="begin"/>
            </w:r>
            <w:r w:rsidR="005B2662">
              <w:rPr>
                <w:noProof/>
                <w:webHidden/>
              </w:rPr>
              <w:instrText xml:space="preserve"> PAGEREF _Toc6239812 \h </w:instrText>
            </w:r>
            <w:r w:rsidR="005B2662">
              <w:rPr>
                <w:noProof/>
                <w:webHidden/>
              </w:rPr>
            </w:r>
            <w:r w:rsidR="005B2662">
              <w:rPr>
                <w:noProof/>
                <w:webHidden/>
              </w:rPr>
              <w:fldChar w:fldCharType="separate"/>
            </w:r>
            <w:r w:rsidR="005B2662">
              <w:rPr>
                <w:noProof/>
                <w:webHidden/>
              </w:rPr>
              <w:t>19</w:t>
            </w:r>
            <w:r w:rsidR="005B2662">
              <w:rPr>
                <w:noProof/>
                <w:webHidden/>
              </w:rPr>
              <w:fldChar w:fldCharType="end"/>
            </w:r>
          </w:hyperlink>
        </w:p>
        <w:p w14:paraId="22FBC2F5" w14:textId="5B933F9D" w:rsidR="005B2662" w:rsidRDefault="004B4503">
          <w:pPr>
            <w:pStyle w:val="TOC3"/>
            <w:tabs>
              <w:tab w:val="right" w:leader="dot" w:pos="8630"/>
            </w:tabs>
            <w:rPr>
              <w:rFonts w:eastAsiaTheme="minorEastAsia"/>
              <w:noProof/>
              <w:lang w:eastAsia="fr-CA"/>
            </w:rPr>
          </w:pPr>
          <w:hyperlink w:anchor="_Toc6239813" w:history="1">
            <w:r w:rsidR="005B2662" w:rsidRPr="001C0BBB">
              <w:rPr>
                <w:rStyle w:val="Hyperlink"/>
                <w:rFonts w:ascii="Times New Roman" w:hAnsi="Times New Roman" w:cs="Times New Roman"/>
                <w:noProof/>
              </w:rPr>
              <w:t>1.2 Pertinence de l’éthique reconstructive de Ferry pour la CVR</w:t>
            </w:r>
            <w:r w:rsidR="005B2662">
              <w:rPr>
                <w:noProof/>
                <w:webHidden/>
              </w:rPr>
              <w:tab/>
            </w:r>
            <w:r w:rsidR="005B2662">
              <w:rPr>
                <w:noProof/>
                <w:webHidden/>
              </w:rPr>
              <w:fldChar w:fldCharType="begin"/>
            </w:r>
            <w:r w:rsidR="005B2662">
              <w:rPr>
                <w:noProof/>
                <w:webHidden/>
              </w:rPr>
              <w:instrText xml:space="preserve"> PAGEREF _Toc6239813 \h </w:instrText>
            </w:r>
            <w:r w:rsidR="005B2662">
              <w:rPr>
                <w:noProof/>
                <w:webHidden/>
              </w:rPr>
            </w:r>
            <w:r w:rsidR="005B2662">
              <w:rPr>
                <w:noProof/>
                <w:webHidden/>
              </w:rPr>
              <w:fldChar w:fldCharType="separate"/>
            </w:r>
            <w:r w:rsidR="005B2662">
              <w:rPr>
                <w:noProof/>
                <w:webHidden/>
              </w:rPr>
              <w:t>27</w:t>
            </w:r>
            <w:r w:rsidR="005B2662">
              <w:rPr>
                <w:noProof/>
                <w:webHidden/>
              </w:rPr>
              <w:fldChar w:fldCharType="end"/>
            </w:r>
          </w:hyperlink>
        </w:p>
        <w:p w14:paraId="2F72F304" w14:textId="78161B24" w:rsidR="005B2662" w:rsidRDefault="004B4503">
          <w:pPr>
            <w:pStyle w:val="TOC2"/>
            <w:tabs>
              <w:tab w:val="left" w:pos="660"/>
              <w:tab w:val="right" w:leader="dot" w:pos="8630"/>
            </w:tabs>
            <w:rPr>
              <w:rFonts w:eastAsiaTheme="minorEastAsia"/>
              <w:noProof/>
              <w:lang w:eastAsia="fr-CA"/>
            </w:rPr>
          </w:pPr>
          <w:hyperlink w:anchor="_Toc6239814" w:history="1">
            <w:r w:rsidR="005B2662" w:rsidRPr="001C0BBB">
              <w:rPr>
                <w:rStyle w:val="Hyperlink"/>
                <w:rFonts w:ascii="Times New Roman" w:hAnsi="Times New Roman" w:cs="Times New Roman"/>
                <w:noProof/>
              </w:rPr>
              <w:t>2.</w:t>
            </w:r>
            <w:r w:rsidR="005B2662">
              <w:rPr>
                <w:rFonts w:eastAsiaTheme="minorEastAsia"/>
                <w:noProof/>
                <w:lang w:eastAsia="fr-CA"/>
              </w:rPr>
              <w:tab/>
            </w:r>
            <w:r w:rsidR="005B2662" w:rsidRPr="001C0BBB">
              <w:rPr>
                <w:rStyle w:val="Hyperlink"/>
                <w:rFonts w:ascii="Times New Roman" w:hAnsi="Times New Roman" w:cs="Times New Roman"/>
                <w:noProof/>
              </w:rPr>
              <w:t>La nature du problème que pose le processus actuel de reconstruction au Burundi</w:t>
            </w:r>
            <w:r w:rsidR="005B2662">
              <w:rPr>
                <w:noProof/>
                <w:webHidden/>
              </w:rPr>
              <w:tab/>
            </w:r>
            <w:r w:rsidR="005B2662">
              <w:rPr>
                <w:noProof/>
                <w:webHidden/>
              </w:rPr>
              <w:fldChar w:fldCharType="begin"/>
            </w:r>
            <w:r w:rsidR="005B2662">
              <w:rPr>
                <w:noProof/>
                <w:webHidden/>
              </w:rPr>
              <w:instrText xml:space="preserve"> PAGEREF _Toc6239814 \h </w:instrText>
            </w:r>
            <w:r w:rsidR="005B2662">
              <w:rPr>
                <w:noProof/>
                <w:webHidden/>
              </w:rPr>
            </w:r>
            <w:r w:rsidR="005B2662">
              <w:rPr>
                <w:noProof/>
                <w:webHidden/>
              </w:rPr>
              <w:fldChar w:fldCharType="separate"/>
            </w:r>
            <w:r w:rsidR="005B2662">
              <w:rPr>
                <w:noProof/>
                <w:webHidden/>
              </w:rPr>
              <w:t>29</w:t>
            </w:r>
            <w:r w:rsidR="005B2662">
              <w:rPr>
                <w:noProof/>
                <w:webHidden/>
              </w:rPr>
              <w:fldChar w:fldCharType="end"/>
            </w:r>
          </w:hyperlink>
        </w:p>
        <w:p w14:paraId="67E1BB44" w14:textId="7D9FA053" w:rsidR="005B2662" w:rsidRDefault="004B4503">
          <w:pPr>
            <w:pStyle w:val="TOC1"/>
            <w:rPr>
              <w:rFonts w:eastAsiaTheme="minorEastAsia"/>
              <w:noProof/>
              <w:lang w:eastAsia="fr-CA"/>
            </w:rPr>
          </w:pPr>
          <w:hyperlink w:anchor="_Toc6239815" w:history="1">
            <w:r w:rsidR="005B2662" w:rsidRPr="001C0BBB">
              <w:rPr>
                <w:rStyle w:val="Hyperlink"/>
                <w:noProof/>
              </w:rPr>
              <w:t>Chapitre III : Enjeu moral du processus : un ordre moral inhérent ou un environnement prometteur</w:t>
            </w:r>
            <w:r w:rsidR="005B2662">
              <w:rPr>
                <w:noProof/>
                <w:webHidden/>
              </w:rPr>
              <w:tab/>
            </w:r>
            <w:r w:rsidR="005B2662">
              <w:rPr>
                <w:noProof/>
                <w:webHidden/>
              </w:rPr>
              <w:fldChar w:fldCharType="begin"/>
            </w:r>
            <w:r w:rsidR="005B2662">
              <w:rPr>
                <w:noProof/>
                <w:webHidden/>
              </w:rPr>
              <w:instrText xml:space="preserve"> PAGEREF _Toc6239815 \h </w:instrText>
            </w:r>
            <w:r w:rsidR="005B2662">
              <w:rPr>
                <w:noProof/>
                <w:webHidden/>
              </w:rPr>
            </w:r>
            <w:r w:rsidR="005B2662">
              <w:rPr>
                <w:noProof/>
                <w:webHidden/>
              </w:rPr>
              <w:fldChar w:fldCharType="separate"/>
            </w:r>
            <w:r w:rsidR="005B2662">
              <w:rPr>
                <w:noProof/>
                <w:webHidden/>
              </w:rPr>
              <w:t>32</w:t>
            </w:r>
            <w:r w:rsidR="005B2662">
              <w:rPr>
                <w:noProof/>
                <w:webHidden/>
              </w:rPr>
              <w:fldChar w:fldCharType="end"/>
            </w:r>
          </w:hyperlink>
        </w:p>
        <w:p w14:paraId="59D9FF3C" w14:textId="71B2F8EA" w:rsidR="005B2662" w:rsidRDefault="004B4503">
          <w:pPr>
            <w:pStyle w:val="TOC2"/>
            <w:tabs>
              <w:tab w:val="left" w:pos="660"/>
              <w:tab w:val="right" w:leader="dot" w:pos="8630"/>
            </w:tabs>
            <w:rPr>
              <w:rFonts w:eastAsiaTheme="minorEastAsia"/>
              <w:noProof/>
              <w:lang w:eastAsia="fr-CA"/>
            </w:rPr>
          </w:pPr>
          <w:hyperlink w:anchor="_Toc6239816" w:history="1">
            <w:r w:rsidR="005B2662" w:rsidRPr="001C0BBB">
              <w:rPr>
                <w:rStyle w:val="Hyperlink"/>
                <w:rFonts w:ascii="Times New Roman" w:hAnsi="Times New Roman" w:cs="Times New Roman"/>
                <w:noProof/>
              </w:rPr>
              <w:t>1.</w:t>
            </w:r>
            <w:r w:rsidR="005B2662">
              <w:rPr>
                <w:rFonts w:eastAsiaTheme="minorEastAsia"/>
                <w:noProof/>
                <w:lang w:eastAsia="fr-CA"/>
              </w:rPr>
              <w:tab/>
            </w:r>
            <w:r w:rsidR="005B2662" w:rsidRPr="001C0BBB">
              <w:rPr>
                <w:rStyle w:val="Hyperlink"/>
                <w:rFonts w:ascii="Times New Roman" w:hAnsi="Times New Roman" w:cs="Times New Roman"/>
                <w:noProof/>
              </w:rPr>
              <w:t>Il y a un ordre moral inhérent au travail actuel de la CVR</w:t>
            </w:r>
            <w:r w:rsidR="005B2662">
              <w:rPr>
                <w:noProof/>
                <w:webHidden/>
              </w:rPr>
              <w:tab/>
            </w:r>
            <w:r w:rsidR="005B2662">
              <w:rPr>
                <w:noProof/>
                <w:webHidden/>
              </w:rPr>
              <w:fldChar w:fldCharType="begin"/>
            </w:r>
            <w:r w:rsidR="005B2662">
              <w:rPr>
                <w:noProof/>
                <w:webHidden/>
              </w:rPr>
              <w:instrText xml:space="preserve"> PAGEREF _Toc6239816 \h </w:instrText>
            </w:r>
            <w:r w:rsidR="005B2662">
              <w:rPr>
                <w:noProof/>
                <w:webHidden/>
              </w:rPr>
            </w:r>
            <w:r w:rsidR="005B2662">
              <w:rPr>
                <w:noProof/>
                <w:webHidden/>
              </w:rPr>
              <w:fldChar w:fldCharType="separate"/>
            </w:r>
            <w:r w:rsidR="005B2662">
              <w:rPr>
                <w:noProof/>
                <w:webHidden/>
              </w:rPr>
              <w:t>32</w:t>
            </w:r>
            <w:r w:rsidR="005B2662">
              <w:rPr>
                <w:noProof/>
                <w:webHidden/>
              </w:rPr>
              <w:fldChar w:fldCharType="end"/>
            </w:r>
          </w:hyperlink>
        </w:p>
        <w:p w14:paraId="1B219157" w14:textId="30F5EF32" w:rsidR="005B2662" w:rsidRDefault="004B4503">
          <w:pPr>
            <w:pStyle w:val="TOC2"/>
            <w:tabs>
              <w:tab w:val="right" w:leader="dot" w:pos="8630"/>
            </w:tabs>
            <w:rPr>
              <w:rFonts w:eastAsiaTheme="minorEastAsia"/>
              <w:noProof/>
              <w:lang w:eastAsia="fr-CA"/>
            </w:rPr>
          </w:pPr>
          <w:hyperlink w:anchor="_Toc6239817" w:history="1">
            <w:r w:rsidR="005B2662" w:rsidRPr="001C0BBB">
              <w:rPr>
                <w:rStyle w:val="Hyperlink"/>
                <w:rFonts w:ascii="Times New Roman" w:hAnsi="Times New Roman" w:cs="Times New Roman"/>
                <w:noProof/>
              </w:rPr>
              <w:t>2. L’environnement de travail de la CVR n’offre pas de promesse</w:t>
            </w:r>
            <w:r w:rsidR="005B2662">
              <w:rPr>
                <w:noProof/>
                <w:webHidden/>
              </w:rPr>
              <w:tab/>
            </w:r>
            <w:r w:rsidR="005B2662">
              <w:rPr>
                <w:noProof/>
                <w:webHidden/>
              </w:rPr>
              <w:fldChar w:fldCharType="begin"/>
            </w:r>
            <w:r w:rsidR="005B2662">
              <w:rPr>
                <w:noProof/>
                <w:webHidden/>
              </w:rPr>
              <w:instrText xml:space="preserve"> PAGEREF _Toc6239817 \h </w:instrText>
            </w:r>
            <w:r w:rsidR="005B2662">
              <w:rPr>
                <w:noProof/>
                <w:webHidden/>
              </w:rPr>
            </w:r>
            <w:r w:rsidR="005B2662">
              <w:rPr>
                <w:noProof/>
                <w:webHidden/>
              </w:rPr>
              <w:fldChar w:fldCharType="separate"/>
            </w:r>
            <w:r w:rsidR="005B2662">
              <w:rPr>
                <w:noProof/>
                <w:webHidden/>
              </w:rPr>
              <w:t>36</w:t>
            </w:r>
            <w:r w:rsidR="005B2662">
              <w:rPr>
                <w:noProof/>
                <w:webHidden/>
              </w:rPr>
              <w:fldChar w:fldCharType="end"/>
            </w:r>
          </w:hyperlink>
        </w:p>
        <w:p w14:paraId="71D189B3" w14:textId="74C95A9F" w:rsidR="005B2662" w:rsidRDefault="004B4503">
          <w:pPr>
            <w:pStyle w:val="TOC1"/>
            <w:rPr>
              <w:rFonts w:eastAsiaTheme="minorEastAsia"/>
              <w:noProof/>
              <w:lang w:eastAsia="fr-CA"/>
            </w:rPr>
          </w:pPr>
          <w:hyperlink w:anchor="_Toc6239818" w:history="1">
            <w:r w:rsidR="005B2662" w:rsidRPr="001C0BBB">
              <w:rPr>
                <w:rStyle w:val="Hyperlink"/>
                <w:noProof/>
              </w:rPr>
              <w:t>Chapitre IV : Contribution de l’éthique reconstructive au travail de la CVR</w:t>
            </w:r>
            <w:r w:rsidR="005B2662">
              <w:rPr>
                <w:noProof/>
                <w:webHidden/>
              </w:rPr>
              <w:tab/>
            </w:r>
            <w:r w:rsidR="005B2662">
              <w:rPr>
                <w:noProof/>
                <w:webHidden/>
              </w:rPr>
              <w:fldChar w:fldCharType="begin"/>
            </w:r>
            <w:r w:rsidR="005B2662">
              <w:rPr>
                <w:noProof/>
                <w:webHidden/>
              </w:rPr>
              <w:instrText xml:space="preserve"> PAGEREF _Toc6239818 \h </w:instrText>
            </w:r>
            <w:r w:rsidR="005B2662">
              <w:rPr>
                <w:noProof/>
                <w:webHidden/>
              </w:rPr>
            </w:r>
            <w:r w:rsidR="005B2662">
              <w:rPr>
                <w:noProof/>
                <w:webHidden/>
              </w:rPr>
              <w:fldChar w:fldCharType="separate"/>
            </w:r>
            <w:r w:rsidR="005B2662">
              <w:rPr>
                <w:noProof/>
                <w:webHidden/>
              </w:rPr>
              <w:t>40</w:t>
            </w:r>
            <w:r w:rsidR="005B2662">
              <w:rPr>
                <w:noProof/>
                <w:webHidden/>
              </w:rPr>
              <w:fldChar w:fldCharType="end"/>
            </w:r>
          </w:hyperlink>
        </w:p>
        <w:p w14:paraId="0E9C82BB" w14:textId="569CC6EB" w:rsidR="005B2662" w:rsidRDefault="004B4503">
          <w:pPr>
            <w:pStyle w:val="TOC2"/>
            <w:tabs>
              <w:tab w:val="left" w:pos="660"/>
              <w:tab w:val="right" w:leader="dot" w:pos="8630"/>
            </w:tabs>
            <w:rPr>
              <w:rFonts w:eastAsiaTheme="minorEastAsia"/>
              <w:noProof/>
              <w:lang w:eastAsia="fr-CA"/>
            </w:rPr>
          </w:pPr>
          <w:hyperlink w:anchor="_Toc6239819" w:history="1">
            <w:r w:rsidR="005B2662" w:rsidRPr="001C0BBB">
              <w:rPr>
                <w:rStyle w:val="Hyperlink"/>
                <w:rFonts w:ascii="Times New Roman" w:hAnsi="Times New Roman" w:cs="Times New Roman"/>
                <w:noProof/>
              </w:rPr>
              <w:t>1.</w:t>
            </w:r>
            <w:r w:rsidR="005B2662">
              <w:rPr>
                <w:rFonts w:eastAsiaTheme="minorEastAsia"/>
                <w:noProof/>
                <w:lang w:eastAsia="fr-CA"/>
              </w:rPr>
              <w:tab/>
            </w:r>
            <w:r w:rsidR="005B2662" w:rsidRPr="001C0BBB">
              <w:rPr>
                <w:rStyle w:val="Hyperlink"/>
                <w:rFonts w:ascii="Times New Roman" w:hAnsi="Times New Roman" w:cs="Times New Roman"/>
                <w:noProof/>
              </w:rPr>
              <w:t>La CVR porte une responsabilité morale d’accompagner le processus de vérité et réconciliation</w:t>
            </w:r>
            <w:r w:rsidR="005B2662">
              <w:rPr>
                <w:noProof/>
                <w:webHidden/>
              </w:rPr>
              <w:tab/>
            </w:r>
            <w:r w:rsidR="005B2662">
              <w:rPr>
                <w:noProof/>
                <w:webHidden/>
              </w:rPr>
              <w:fldChar w:fldCharType="begin"/>
            </w:r>
            <w:r w:rsidR="005B2662">
              <w:rPr>
                <w:noProof/>
                <w:webHidden/>
              </w:rPr>
              <w:instrText xml:space="preserve"> PAGEREF _Toc6239819 \h </w:instrText>
            </w:r>
            <w:r w:rsidR="005B2662">
              <w:rPr>
                <w:noProof/>
                <w:webHidden/>
              </w:rPr>
            </w:r>
            <w:r w:rsidR="005B2662">
              <w:rPr>
                <w:noProof/>
                <w:webHidden/>
              </w:rPr>
              <w:fldChar w:fldCharType="separate"/>
            </w:r>
            <w:r w:rsidR="005B2662">
              <w:rPr>
                <w:noProof/>
                <w:webHidden/>
              </w:rPr>
              <w:t>40</w:t>
            </w:r>
            <w:r w:rsidR="005B2662">
              <w:rPr>
                <w:noProof/>
                <w:webHidden/>
              </w:rPr>
              <w:fldChar w:fldCharType="end"/>
            </w:r>
          </w:hyperlink>
        </w:p>
        <w:p w14:paraId="254FE639" w14:textId="78D27DD7" w:rsidR="005B2662" w:rsidRDefault="004B4503">
          <w:pPr>
            <w:pStyle w:val="TOC2"/>
            <w:tabs>
              <w:tab w:val="left" w:pos="660"/>
              <w:tab w:val="right" w:leader="dot" w:pos="8630"/>
            </w:tabs>
            <w:rPr>
              <w:rFonts w:eastAsiaTheme="minorEastAsia"/>
              <w:noProof/>
              <w:lang w:eastAsia="fr-CA"/>
            </w:rPr>
          </w:pPr>
          <w:hyperlink w:anchor="_Toc6239820" w:history="1">
            <w:r w:rsidR="005B2662" w:rsidRPr="001C0BBB">
              <w:rPr>
                <w:rStyle w:val="Hyperlink"/>
                <w:rFonts w:ascii="Times New Roman" w:hAnsi="Times New Roman" w:cs="Times New Roman"/>
                <w:noProof/>
              </w:rPr>
              <w:t>2.</w:t>
            </w:r>
            <w:r w:rsidR="005B2662">
              <w:rPr>
                <w:rFonts w:eastAsiaTheme="minorEastAsia"/>
                <w:noProof/>
                <w:lang w:eastAsia="fr-CA"/>
              </w:rPr>
              <w:tab/>
            </w:r>
            <w:r w:rsidR="005B2662" w:rsidRPr="001C0BBB">
              <w:rPr>
                <w:rStyle w:val="Hyperlink"/>
                <w:rFonts w:ascii="Times New Roman" w:hAnsi="Times New Roman" w:cs="Times New Roman"/>
                <w:noProof/>
              </w:rPr>
              <w:t>L’éthique reconstructive permet au processus de dévoiler le savoir tragique</w:t>
            </w:r>
            <w:r w:rsidR="005B2662">
              <w:rPr>
                <w:noProof/>
                <w:webHidden/>
              </w:rPr>
              <w:tab/>
            </w:r>
            <w:r w:rsidR="005B2662">
              <w:rPr>
                <w:noProof/>
                <w:webHidden/>
              </w:rPr>
              <w:fldChar w:fldCharType="begin"/>
            </w:r>
            <w:r w:rsidR="005B2662">
              <w:rPr>
                <w:noProof/>
                <w:webHidden/>
              </w:rPr>
              <w:instrText xml:space="preserve"> PAGEREF _Toc6239820 \h </w:instrText>
            </w:r>
            <w:r w:rsidR="005B2662">
              <w:rPr>
                <w:noProof/>
                <w:webHidden/>
              </w:rPr>
            </w:r>
            <w:r w:rsidR="005B2662">
              <w:rPr>
                <w:noProof/>
                <w:webHidden/>
              </w:rPr>
              <w:fldChar w:fldCharType="separate"/>
            </w:r>
            <w:r w:rsidR="005B2662">
              <w:rPr>
                <w:noProof/>
                <w:webHidden/>
              </w:rPr>
              <w:t>42</w:t>
            </w:r>
            <w:r w:rsidR="005B2662">
              <w:rPr>
                <w:noProof/>
                <w:webHidden/>
              </w:rPr>
              <w:fldChar w:fldCharType="end"/>
            </w:r>
          </w:hyperlink>
        </w:p>
        <w:p w14:paraId="053FEB95" w14:textId="491EA9AC" w:rsidR="005B2662" w:rsidRDefault="004B4503">
          <w:pPr>
            <w:pStyle w:val="TOC2"/>
            <w:tabs>
              <w:tab w:val="left" w:pos="660"/>
              <w:tab w:val="right" w:leader="dot" w:pos="8630"/>
            </w:tabs>
            <w:rPr>
              <w:rFonts w:eastAsiaTheme="minorEastAsia"/>
              <w:noProof/>
              <w:lang w:eastAsia="fr-CA"/>
            </w:rPr>
          </w:pPr>
          <w:hyperlink w:anchor="_Toc6239821" w:history="1">
            <w:r w:rsidR="005B2662" w:rsidRPr="001C0BBB">
              <w:rPr>
                <w:rStyle w:val="Hyperlink"/>
                <w:rFonts w:ascii="Times New Roman" w:hAnsi="Times New Roman" w:cs="Times New Roman"/>
                <w:noProof/>
              </w:rPr>
              <w:t>3.</w:t>
            </w:r>
            <w:r w:rsidR="005B2662">
              <w:rPr>
                <w:rFonts w:eastAsiaTheme="minorEastAsia"/>
                <w:noProof/>
                <w:lang w:eastAsia="fr-CA"/>
              </w:rPr>
              <w:tab/>
            </w:r>
            <w:r w:rsidR="005B2662" w:rsidRPr="001C0BBB">
              <w:rPr>
                <w:rStyle w:val="Hyperlink"/>
                <w:rFonts w:ascii="Times New Roman" w:hAnsi="Times New Roman" w:cs="Times New Roman"/>
                <w:noProof/>
              </w:rPr>
              <w:t>L‘éthique reconstructive permet à la CVR d’instituer une communauté d’existence substantielle</w:t>
            </w:r>
            <w:r w:rsidR="005B2662">
              <w:rPr>
                <w:noProof/>
                <w:webHidden/>
              </w:rPr>
              <w:tab/>
            </w:r>
            <w:r w:rsidR="005B2662">
              <w:rPr>
                <w:noProof/>
                <w:webHidden/>
              </w:rPr>
              <w:fldChar w:fldCharType="begin"/>
            </w:r>
            <w:r w:rsidR="005B2662">
              <w:rPr>
                <w:noProof/>
                <w:webHidden/>
              </w:rPr>
              <w:instrText xml:space="preserve"> PAGEREF _Toc6239821 \h </w:instrText>
            </w:r>
            <w:r w:rsidR="005B2662">
              <w:rPr>
                <w:noProof/>
                <w:webHidden/>
              </w:rPr>
            </w:r>
            <w:r w:rsidR="005B2662">
              <w:rPr>
                <w:noProof/>
                <w:webHidden/>
              </w:rPr>
              <w:fldChar w:fldCharType="separate"/>
            </w:r>
            <w:r w:rsidR="005B2662">
              <w:rPr>
                <w:noProof/>
                <w:webHidden/>
              </w:rPr>
              <w:t>43</w:t>
            </w:r>
            <w:r w:rsidR="005B2662">
              <w:rPr>
                <w:noProof/>
                <w:webHidden/>
              </w:rPr>
              <w:fldChar w:fldCharType="end"/>
            </w:r>
          </w:hyperlink>
        </w:p>
        <w:p w14:paraId="003D6290" w14:textId="0C114D46" w:rsidR="005B2662" w:rsidRDefault="004B4503">
          <w:pPr>
            <w:pStyle w:val="TOC2"/>
            <w:tabs>
              <w:tab w:val="left" w:pos="660"/>
              <w:tab w:val="right" w:leader="dot" w:pos="8630"/>
            </w:tabs>
            <w:rPr>
              <w:rFonts w:eastAsiaTheme="minorEastAsia"/>
              <w:noProof/>
              <w:lang w:eastAsia="fr-CA"/>
            </w:rPr>
          </w:pPr>
          <w:hyperlink w:anchor="_Toc6239822" w:history="1">
            <w:r w:rsidR="005B2662" w:rsidRPr="001C0BBB">
              <w:rPr>
                <w:rStyle w:val="Hyperlink"/>
                <w:rFonts w:ascii="Times New Roman" w:hAnsi="Times New Roman" w:cs="Times New Roman"/>
                <w:noProof/>
              </w:rPr>
              <w:t>4.</w:t>
            </w:r>
            <w:r w:rsidR="005B2662">
              <w:rPr>
                <w:rFonts w:eastAsiaTheme="minorEastAsia"/>
                <w:noProof/>
                <w:lang w:eastAsia="fr-CA"/>
              </w:rPr>
              <w:tab/>
            </w:r>
            <w:r w:rsidR="005B2662" w:rsidRPr="001C0BBB">
              <w:rPr>
                <w:rStyle w:val="Hyperlink"/>
                <w:rFonts w:ascii="Times New Roman" w:hAnsi="Times New Roman" w:cs="Times New Roman"/>
                <w:noProof/>
              </w:rPr>
              <w:t>L’éthique reconstructive permet à la CVR de révéler le mal structurel et de prévenir ainsi la violence symbolique</w:t>
            </w:r>
            <w:r w:rsidR="005B2662">
              <w:rPr>
                <w:noProof/>
                <w:webHidden/>
              </w:rPr>
              <w:tab/>
            </w:r>
            <w:r w:rsidR="005B2662">
              <w:rPr>
                <w:noProof/>
                <w:webHidden/>
              </w:rPr>
              <w:fldChar w:fldCharType="begin"/>
            </w:r>
            <w:r w:rsidR="005B2662">
              <w:rPr>
                <w:noProof/>
                <w:webHidden/>
              </w:rPr>
              <w:instrText xml:space="preserve"> PAGEREF _Toc6239822 \h </w:instrText>
            </w:r>
            <w:r w:rsidR="005B2662">
              <w:rPr>
                <w:noProof/>
                <w:webHidden/>
              </w:rPr>
            </w:r>
            <w:r w:rsidR="005B2662">
              <w:rPr>
                <w:noProof/>
                <w:webHidden/>
              </w:rPr>
              <w:fldChar w:fldCharType="separate"/>
            </w:r>
            <w:r w:rsidR="005B2662">
              <w:rPr>
                <w:noProof/>
                <w:webHidden/>
              </w:rPr>
              <w:t>45</w:t>
            </w:r>
            <w:r w:rsidR="005B2662">
              <w:rPr>
                <w:noProof/>
                <w:webHidden/>
              </w:rPr>
              <w:fldChar w:fldCharType="end"/>
            </w:r>
          </w:hyperlink>
        </w:p>
        <w:p w14:paraId="4DFAE0F7" w14:textId="2355AD7C" w:rsidR="005B2662" w:rsidRDefault="004B4503">
          <w:pPr>
            <w:pStyle w:val="TOC1"/>
            <w:rPr>
              <w:rFonts w:eastAsiaTheme="minorEastAsia"/>
              <w:noProof/>
              <w:lang w:eastAsia="fr-CA"/>
            </w:rPr>
          </w:pPr>
          <w:hyperlink w:anchor="_Toc6239823" w:history="1">
            <w:r w:rsidR="005B2662" w:rsidRPr="001C0BBB">
              <w:rPr>
                <w:rStyle w:val="Hyperlink"/>
                <w:iCs/>
                <w:noProof/>
              </w:rPr>
              <w:t>Conclusion</w:t>
            </w:r>
            <w:r w:rsidR="005B2662">
              <w:rPr>
                <w:noProof/>
                <w:webHidden/>
              </w:rPr>
              <w:tab/>
            </w:r>
            <w:r w:rsidR="005B2662">
              <w:rPr>
                <w:noProof/>
                <w:webHidden/>
              </w:rPr>
              <w:fldChar w:fldCharType="begin"/>
            </w:r>
            <w:r w:rsidR="005B2662">
              <w:rPr>
                <w:noProof/>
                <w:webHidden/>
              </w:rPr>
              <w:instrText xml:space="preserve"> PAGEREF _Toc6239823 \h </w:instrText>
            </w:r>
            <w:r w:rsidR="005B2662">
              <w:rPr>
                <w:noProof/>
                <w:webHidden/>
              </w:rPr>
            </w:r>
            <w:r w:rsidR="005B2662">
              <w:rPr>
                <w:noProof/>
                <w:webHidden/>
              </w:rPr>
              <w:fldChar w:fldCharType="separate"/>
            </w:r>
            <w:r w:rsidR="005B2662">
              <w:rPr>
                <w:noProof/>
                <w:webHidden/>
              </w:rPr>
              <w:t>47</w:t>
            </w:r>
            <w:r w:rsidR="005B2662">
              <w:rPr>
                <w:noProof/>
                <w:webHidden/>
              </w:rPr>
              <w:fldChar w:fldCharType="end"/>
            </w:r>
          </w:hyperlink>
        </w:p>
        <w:p w14:paraId="2C95357B" w14:textId="777BF94C" w:rsidR="005B2662" w:rsidRDefault="004B4503">
          <w:pPr>
            <w:pStyle w:val="TOC1"/>
            <w:rPr>
              <w:rFonts w:eastAsiaTheme="minorEastAsia"/>
              <w:noProof/>
              <w:lang w:eastAsia="fr-CA"/>
            </w:rPr>
          </w:pPr>
          <w:hyperlink w:anchor="_Toc6239824" w:history="1">
            <w:r w:rsidR="005B2662" w:rsidRPr="001C0BBB">
              <w:rPr>
                <w:rStyle w:val="Hyperlink"/>
                <w:iCs/>
                <w:noProof/>
              </w:rPr>
              <w:t>Bibliographie</w:t>
            </w:r>
            <w:r w:rsidR="005B2662">
              <w:rPr>
                <w:noProof/>
                <w:webHidden/>
              </w:rPr>
              <w:tab/>
            </w:r>
            <w:r w:rsidR="005B2662">
              <w:rPr>
                <w:noProof/>
                <w:webHidden/>
              </w:rPr>
              <w:fldChar w:fldCharType="begin"/>
            </w:r>
            <w:r w:rsidR="005B2662">
              <w:rPr>
                <w:noProof/>
                <w:webHidden/>
              </w:rPr>
              <w:instrText xml:space="preserve"> PAGEREF _Toc6239824 \h </w:instrText>
            </w:r>
            <w:r w:rsidR="005B2662">
              <w:rPr>
                <w:noProof/>
                <w:webHidden/>
              </w:rPr>
            </w:r>
            <w:r w:rsidR="005B2662">
              <w:rPr>
                <w:noProof/>
                <w:webHidden/>
              </w:rPr>
              <w:fldChar w:fldCharType="separate"/>
            </w:r>
            <w:r w:rsidR="005B2662">
              <w:rPr>
                <w:noProof/>
                <w:webHidden/>
              </w:rPr>
              <w:t>50</w:t>
            </w:r>
            <w:r w:rsidR="005B2662">
              <w:rPr>
                <w:noProof/>
                <w:webHidden/>
              </w:rPr>
              <w:fldChar w:fldCharType="end"/>
            </w:r>
          </w:hyperlink>
        </w:p>
        <w:p w14:paraId="01CDD9F7" w14:textId="6A17DFC7" w:rsidR="005B2662" w:rsidRDefault="005B2662">
          <w:r>
            <w:rPr>
              <w:b/>
              <w:bCs/>
              <w:lang w:val="fr-FR"/>
            </w:rPr>
            <w:fldChar w:fldCharType="end"/>
          </w:r>
        </w:p>
      </w:sdtContent>
    </w:sdt>
    <w:p w14:paraId="510C3BAC" w14:textId="77777777" w:rsidR="000175A1" w:rsidRPr="00967063" w:rsidRDefault="000175A1" w:rsidP="000175A1">
      <w:pPr>
        <w:jc w:val="center"/>
        <w:rPr>
          <w:rFonts w:ascii="Times New Roman" w:hAnsi="Times New Roman" w:cs="Times New Roman"/>
          <w:sz w:val="24"/>
          <w:szCs w:val="24"/>
        </w:rPr>
      </w:pPr>
    </w:p>
    <w:p w14:paraId="715C91C6" w14:textId="77777777" w:rsidR="0070591A" w:rsidRDefault="0070591A" w:rsidP="000B7D6C">
      <w:pPr>
        <w:rPr>
          <w:rFonts w:ascii="Times New Roman" w:hAnsi="Times New Roman" w:cs="Times New Roman"/>
          <w:sz w:val="24"/>
          <w:szCs w:val="24"/>
        </w:rPr>
        <w:sectPr w:rsidR="0070591A" w:rsidSect="0070591A">
          <w:footerReference w:type="default" r:id="rId11"/>
          <w:headerReference w:type="first" r:id="rId12"/>
          <w:pgSz w:w="12240" w:h="15840"/>
          <w:pgMar w:top="1440" w:right="1800" w:bottom="1440" w:left="1800" w:header="708" w:footer="708" w:gutter="0"/>
          <w:pgNumType w:fmt="lowerRoman" w:start="1"/>
          <w:cols w:space="708"/>
          <w:titlePg/>
          <w:docGrid w:linePitch="360"/>
        </w:sectPr>
      </w:pPr>
    </w:p>
    <w:bookmarkEnd w:id="2"/>
    <w:p w14:paraId="7CF46B44" w14:textId="07514D99" w:rsidR="00704319" w:rsidRPr="00967063" w:rsidRDefault="00704319" w:rsidP="00EE64C5">
      <w:pPr>
        <w:rPr>
          <w:rFonts w:ascii="Times New Roman" w:hAnsi="Times New Roman" w:cs="Times New Roman"/>
          <w:iCs/>
          <w:sz w:val="24"/>
          <w:szCs w:val="24"/>
        </w:rPr>
      </w:pPr>
    </w:p>
    <w:p w14:paraId="139F08AF" w14:textId="77777777" w:rsidR="001905B0" w:rsidRPr="00967063" w:rsidRDefault="001905B0" w:rsidP="001905B0">
      <w:pPr>
        <w:pStyle w:val="Heading1"/>
        <w:rPr>
          <w:iCs/>
          <w:sz w:val="24"/>
          <w:szCs w:val="24"/>
        </w:rPr>
      </w:pPr>
      <w:bookmarkStart w:id="7" w:name="_Toc6239804"/>
      <w:bookmarkEnd w:id="0"/>
      <w:r w:rsidRPr="00967063">
        <w:rPr>
          <w:rFonts w:eastAsiaTheme="minorHAnsi"/>
          <w:iCs/>
          <w:sz w:val="24"/>
          <w:szCs w:val="24"/>
        </w:rPr>
        <w:t>Introduction</w:t>
      </w:r>
      <w:bookmarkEnd w:id="7"/>
    </w:p>
    <w:p w14:paraId="1A73630A" w14:textId="77777777" w:rsidR="004268BF" w:rsidRDefault="004268BF" w:rsidP="00F62281">
      <w:pPr>
        <w:spacing w:line="240" w:lineRule="auto"/>
        <w:ind w:left="2124"/>
        <w:jc w:val="both"/>
        <w:rPr>
          <w:rFonts w:ascii="Times New Roman" w:hAnsi="Times New Roman" w:cs="Times New Roman"/>
          <w:sz w:val="24"/>
          <w:szCs w:val="24"/>
        </w:rPr>
      </w:pPr>
    </w:p>
    <w:p w14:paraId="04454A95" w14:textId="77777777" w:rsidR="004268BF" w:rsidRPr="004268BF" w:rsidRDefault="004268BF" w:rsidP="00F92884">
      <w:pPr>
        <w:spacing w:line="240" w:lineRule="auto"/>
        <w:rPr>
          <w:rFonts w:ascii="Times New Roman" w:hAnsi="Times New Roman" w:cs="Times New Roman"/>
          <w:sz w:val="24"/>
          <w:szCs w:val="24"/>
        </w:rPr>
      </w:pPr>
      <w:r w:rsidRPr="004268BF">
        <w:rPr>
          <w:rFonts w:ascii="Times New Roman" w:hAnsi="Times New Roman" w:cs="Times New Roman"/>
          <w:sz w:val="24"/>
          <w:szCs w:val="24"/>
        </w:rPr>
        <w:t>Le tragique laisse transparaître l’être. A travers le tragique parle un autre qui n’est plus tragique. L’arrêt dans le tragique, la complaisance au tragique recèle de subtiles perversions : les consciences sans ressources profondes y cherchent un alibi à bon marché : le nihilisme s’y pare de couleurs esthétiques et introduit en fraude la cruauté, la jouissance du non-sens, l’amer plaisir de souffrir et de faire souffrir, de détruire. Ainsi le savoir tragique est un mouvement qui ne peut atteindre ses limites inférieure ou supérieure, ni se reposer dans le seulement tragique.</w:t>
      </w:r>
    </w:p>
    <w:p w14:paraId="714AF956" w14:textId="77777777" w:rsidR="004268BF" w:rsidRPr="004268BF" w:rsidRDefault="004268BF" w:rsidP="00F92884">
      <w:pPr>
        <w:spacing w:line="240" w:lineRule="auto"/>
        <w:rPr>
          <w:rFonts w:ascii="Times New Roman" w:hAnsi="Times New Roman" w:cs="Times New Roman"/>
          <w:sz w:val="24"/>
          <w:szCs w:val="24"/>
        </w:rPr>
      </w:pPr>
      <w:r w:rsidRPr="004268BF">
        <w:rPr>
          <w:rFonts w:ascii="Times New Roman" w:hAnsi="Times New Roman" w:cs="Times New Roman"/>
          <w:sz w:val="24"/>
          <w:szCs w:val="24"/>
        </w:rPr>
        <w:t>Paul Ricoeur, 1953</w:t>
      </w:r>
    </w:p>
    <w:p w14:paraId="0F974300" w14:textId="77777777" w:rsidR="004268BF" w:rsidRDefault="004268BF" w:rsidP="001905B0">
      <w:pPr>
        <w:spacing w:line="480" w:lineRule="auto"/>
        <w:ind w:firstLine="708"/>
        <w:jc w:val="both"/>
        <w:rPr>
          <w:rFonts w:ascii="Times New Roman" w:hAnsi="Times New Roman" w:cs="Times New Roman"/>
          <w:sz w:val="24"/>
          <w:szCs w:val="24"/>
        </w:rPr>
      </w:pPr>
    </w:p>
    <w:p w14:paraId="571CD0C7" w14:textId="77777777" w:rsidR="001905B0" w:rsidRPr="00967063" w:rsidRDefault="001905B0" w:rsidP="001905B0">
      <w:pPr>
        <w:spacing w:line="480" w:lineRule="auto"/>
        <w:ind w:firstLine="708"/>
        <w:jc w:val="both"/>
        <w:rPr>
          <w:rFonts w:ascii="Times New Roman" w:hAnsi="Times New Roman" w:cs="Times New Roman"/>
          <w:sz w:val="24"/>
          <w:szCs w:val="24"/>
        </w:rPr>
      </w:pPr>
      <w:r w:rsidRPr="00967063">
        <w:rPr>
          <w:rFonts w:ascii="Times New Roman" w:hAnsi="Times New Roman" w:cs="Times New Roman"/>
          <w:sz w:val="24"/>
          <w:szCs w:val="24"/>
        </w:rPr>
        <w:t xml:space="preserve">Les commissions vérité et réconciliation (CVR) sont présentées partout comme </w:t>
      </w:r>
      <w:r w:rsidRPr="00967063">
        <w:rPr>
          <w:rFonts w:ascii="Times New Roman" w:hAnsi="Times New Roman" w:cs="Times New Roman"/>
          <w:iCs/>
          <w:sz w:val="24"/>
          <w:szCs w:val="24"/>
        </w:rPr>
        <w:t>des « instruments qu’une société choisit en vue de remédier aux crimes qui l’ont atteint</w:t>
      </w:r>
      <w:r>
        <w:rPr>
          <w:rFonts w:ascii="Times New Roman" w:hAnsi="Times New Roman" w:cs="Times New Roman"/>
          <w:iCs/>
          <w:sz w:val="24"/>
          <w:szCs w:val="24"/>
        </w:rPr>
        <w:t>e</w:t>
      </w:r>
      <w:r w:rsidRPr="00967063">
        <w:rPr>
          <w:rFonts w:ascii="Times New Roman" w:hAnsi="Times New Roman" w:cs="Times New Roman"/>
          <w:iCs/>
          <w:sz w:val="24"/>
          <w:szCs w:val="24"/>
        </w:rPr>
        <w:t xml:space="preserve"> »</w:t>
      </w:r>
      <w:r w:rsidRPr="00967063">
        <w:rPr>
          <w:rStyle w:val="FootnoteReference"/>
          <w:rFonts w:ascii="Times New Roman" w:hAnsi="Times New Roman" w:cs="Times New Roman"/>
          <w:iCs/>
          <w:sz w:val="24"/>
          <w:szCs w:val="24"/>
        </w:rPr>
        <w:footnoteReference w:id="1"/>
      </w:r>
      <w:r w:rsidRPr="00967063">
        <w:rPr>
          <w:rFonts w:ascii="Times New Roman" w:hAnsi="Times New Roman" w:cs="Times New Roman"/>
          <w:iCs/>
          <w:sz w:val="24"/>
          <w:szCs w:val="24"/>
        </w:rPr>
        <w:t>. Autant dire</w:t>
      </w:r>
      <w:r>
        <w:rPr>
          <w:rFonts w:ascii="Times New Roman" w:hAnsi="Times New Roman" w:cs="Times New Roman"/>
          <w:iCs/>
          <w:sz w:val="24"/>
          <w:szCs w:val="24"/>
        </w:rPr>
        <w:t xml:space="preserve"> avec </w:t>
      </w:r>
      <w:r w:rsidRPr="00967063">
        <w:rPr>
          <w:rFonts w:ascii="Times New Roman" w:hAnsi="Times New Roman" w:cs="Times New Roman"/>
          <w:iCs/>
          <w:sz w:val="24"/>
          <w:szCs w:val="24"/>
        </w:rPr>
        <w:t xml:space="preserve">Bertrand Badie que </w:t>
      </w:r>
      <w:r w:rsidRPr="00967063">
        <w:rPr>
          <w:rFonts w:ascii="Times New Roman" w:hAnsi="Times New Roman" w:cs="Times New Roman"/>
          <w:sz w:val="24"/>
          <w:szCs w:val="24"/>
        </w:rPr>
        <w:t>« la justice de transition mise en œuvre par les gouvernements démocratiques est notamment justifiée par un refus de la logique ami/ennemi qui, reconduite par une politique de justice punitive, ne permettrait pas selon eux que soit rompu le cycle de la violence »</w:t>
      </w:r>
      <w:r w:rsidRPr="00967063">
        <w:rPr>
          <w:rStyle w:val="FootnoteReference"/>
          <w:rFonts w:ascii="Times New Roman" w:hAnsi="Times New Roman" w:cs="Times New Roman"/>
          <w:sz w:val="24"/>
          <w:szCs w:val="24"/>
        </w:rPr>
        <w:t xml:space="preserve"> </w:t>
      </w:r>
      <w:r w:rsidRPr="00967063">
        <w:rPr>
          <w:rStyle w:val="FootnoteReference"/>
          <w:rFonts w:ascii="Times New Roman" w:hAnsi="Times New Roman" w:cs="Times New Roman"/>
          <w:sz w:val="24"/>
          <w:szCs w:val="24"/>
        </w:rPr>
        <w:footnoteReference w:id="2"/>
      </w:r>
      <w:r w:rsidRPr="00967063">
        <w:rPr>
          <w:rFonts w:ascii="Times New Roman" w:hAnsi="Times New Roman" w:cs="Times New Roman"/>
          <w:sz w:val="24"/>
          <w:szCs w:val="24"/>
        </w:rPr>
        <w:t xml:space="preserve">. </w:t>
      </w:r>
    </w:p>
    <w:p w14:paraId="07824CC5" w14:textId="3BEF868C" w:rsidR="001905B0" w:rsidRPr="00967063" w:rsidRDefault="001905B0" w:rsidP="001905B0">
      <w:pPr>
        <w:spacing w:line="480" w:lineRule="auto"/>
        <w:ind w:firstLine="708"/>
        <w:jc w:val="both"/>
        <w:rPr>
          <w:rFonts w:ascii="Times New Roman" w:hAnsi="Times New Roman" w:cs="Times New Roman"/>
          <w:sz w:val="24"/>
          <w:szCs w:val="24"/>
        </w:rPr>
      </w:pPr>
      <w:r w:rsidRPr="00967063">
        <w:rPr>
          <w:rFonts w:ascii="Times New Roman" w:hAnsi="Times New Roman" w:cs="Times New Roman"/>
          <w:sz w:val="24"/>
          <w:szCs w:val="24"/>
        </w:rPr>
        <w:t>En 2014, la société burundaise s’est dotée d’une CVR</w:t>
      </w:r>
      <w:r w:rsidRPr="00967063">
        <w:rPr>
          <w:rStyle w:val="FootnoteReference"/>
          <w:rFonts w:ascii="Times New Roman" w:hAnsi="Times New Roman" w:cs="Times New Roman"/>
          <w:sz w:val="24"/>
          <w:szCs w:val="24"/>
        </w:rPr>
        <w:footnoteReference w:id="3"/>
      </w:r>
      <w:r w:rsidRPr="00967063">
        <w:rPr>
          <w:rFonts w:ascii="Times New Roman" w:hAnsi="Times New Roman" w:cs="Times New Roman"/>
          <w:sz w:val="24"/>
          <w:szCs w:val="24"/>
        </w:rPr>
        <w:t xml:space="preserve">. Dans l’article 6 de la loi qui </w:t>
      </w:r>
      <w:r>
        <w:rPr>
          <w:rFonts w:ascii="Times New Roman" w:hAnsi="Times New Roman" w:cs="Times New Roman"/>
          <w:sz w:val="24"/>
          <w:szCs w:val="24"/>
        </w:rPr>
        <w:t>la met</w:t>
      </w:r>
      <w:r w:rsidRPr="00967063">
        <w:rPr>
          <w:rFonts w:ascii="Times New Roman" w:hAnsi="Times New Roman" w:cs="Times New Roman"/>
          <w:sz w:val="24"/>
          <w:szCs w:val="24"/>
        </w:rPr>
        <w:t xml:space="preserve"> en place est indiqué</w:t>
      </w:r>
      <w:r w:rsidR="00844BDF">
        <w:rPr>
          <w:rFonts w:ascii="Times New Roman" w:hAnsi="Times New Roman" w:cs="Times New Roman"/>
          <w:sz w:val="24"/>
          <w:szCs w:val="24"/>
        </w:rPr>
        <w:t>e</w:t>
      </w:r>
      <w:r w:rsidRPr="00967063">
        <w:rPr>
          <w:rFonts w:ascii="Times New Roman" w:hAnsi="Times New Roman" w:cs="Times New Roman"/>
          <w:sz w:val="24"/>
          <w:szCs w:val="24"/>
        </w:rPr>
        <w:t xml:space="preserve"> </w:t>
      </w:r>
      <w:r>
        <w:rPr>
          <w:rFonts w:ascii="Times New Roman" w:hAnsi="Times New Roman" w:cs="Times New Roman"/>
          <w:sz w:val="24"/>
          <w:szCs w:val="24"/>
        </w:rPr>
        <w:t>s</w:t>
      </w:r>
      <w:r w:rsidRPr="00967063">
        <w:rPr>
          <w:rFonts w:ascii="Times New Roman" w:hAnsi="Times New Roman" w:cs="Times New Roman"/>
          <w:sz w:val="24"/>
          <w:szCs w:val="24"/>
        </w:rPr>
        <w:t>a mission</w:t>
      </w:r>
      <w:r>
        <w:rPr>
          <w:rFonts w:ascii="Times New Roman" w:hAnsi="Times New Roman" w:cs="Times New Roman"/>
          <w:sz w:val="24"/>
          <w:szCs w:val="24"/>
        </w:rPr>
        <w:t>. Elle</w:t>
      </w:r>
      <w:r w:rsidRPr="00967063">
        <w:rPr>
          <w:rFonts w:ascii="Times New Roman" w:hAnsi="Times New Roman" w:cs="Times New Roman"/>
          <w:sz w:val="24"/>
          <w:szCs w:val="24"/>
        </w:rPr>
        <w:t xml:space="preserve"> consiste essentiellement à élucider, qualifier et établir les responsabilités des violations commises depuis 1962 à 2008</w:t>
      </w:r>
      <w:r w:rsidRPr="00967063">
        <w:rPr>
          <w:rStyle w:val="FootnoteReference"/>
          <w:rFonts w:ascii="Times New Roman" w:hAnsi="Times New Roman" w:cs="Times New Roman"/>
          <w:sz w:val="24"/>
          <w:szCs w:val="24"/>
        </w:rPr>
        <w:footnoteReference w:id="4"/>
      </w:r>
      <w:r w:rsidRPr="00967063">
        <w:rPr>
          <w:rFonts w:ascii="Times New Roman" w:hAnsi="Times New Roman" w:cs="Times New Roman"/>
          <w:sz w:val="24"/>
          <w:szCs w:val="24"/>
        </w:rPr>
        <w:t xml:space="preserve">. </w:t>
      </w:r>
      <w:r>
        <w:rPr>
          <w:rFonts w:ascii="Times New Roman" w:hAnsi="Times New Roman" w:cs="Times New Roman"/>
          <w:sz w:val="24"/>
          <w:szCs w:val="24"/>
        </w:rPr>
        <w:t>Cette commission</w:t>
      </w:r>
      <w:r w:rsidRPr="00967063">
        <w:rPr>
          <w:rFonts w:ascii="Times New Roman" w:hAnsi="Times New Roman" w:cs="Times New Roman"/>
          <w:sz w:val="24"/>
          <w:szCs w:val="24"/>
        </w:rPr>
        <w:t xml:space="preserve"> doit également identifier et cartographier les fosses communes et tout autre lieu d’enterrement non reconnu par la loi. Elle doit publier des listes de certaines catégories de personnes (disparues, victimes, témoins ayant renoncé à l’anonymat, celles qui se sont distinguées dans la protection des autres, les victimes ayant accordé le pardon et les auteurs de crimes ayant été pardonnés)</w:t>
      </w:r>
      <w:r w:rsidR="006F28E3">
        <w:rPr>
          <w:rFonts w:ascii="Times New Roman" w:hAnsi="Times New Roman" w:cs="Times New Roman"/>
          <w:sz w:val="24"/>
          <w:szCs w:val="24"/>
        </w:rPr>
        <w:t>,</w:t>
      </w:r>
      <w:r w:rsidRPr="00967063">
        <w:rPr>
          <w:rFonts w:ascii="Times New Roman" w:hAnsi="Times New Roman" w:cs="Times New Roman"/>
          <w:sz w:val="24"/>
          <w:szCs w:val="24"/>
        </w:rPr>
        <w:t xml:space="preserve"> proposer des réparations et enfin contribuer à la recherche documentaire afin d’avoir une version partagée des évènements</w:t>
      </w:r>
      <w:r w:rsidRPr="00967063">
        <w:rPr>
          <w:rStyle w:val="FootnoteReference"/>
          <w:rFonts w:ascii="Times New Roman" w:hAnsi="Times New Roman" w:cs="Times New Roman"/>
          <w:sz w:val="24"/>
          <w:szCs w:val="24"/>
        </w:rPr>
        <w:footnoteReference w:id="5"/>
      </w:r>
      <w:r w:rsidRPr="00967063">
        <w:rPr>
          <w:rFonts w:ascii="Times New Roman" w:hAnsi="Times New Roman" w:cs="Times New Roman"/>
          <w:sz w:val="24"/>
          <w:szCs w:val="24"/>
        </w:rPr>
        <w:t xml:space="preserve">. </w:t>
      </w:r>
    </w:p>
    <w:p w14:paraId="2CC7D951" w14:textId="01CBAE70" w:rsidR="001905B0" w:rsidRPr="00967063" w:rsidRDefault="001905B0" w:rsidP="001905B0">
      <w:pPr>
        <w:spacing w:line="480" w:lineRule="auto"/>
        <w:ind w:firstLine="708"/>
        <w:jc w:val="both"/>
        <w:rPr>
          <w:rFonts w:ascii="Times New Roman" w:hAnsi="Times New Roman" w:cs="Times New Roman"/>
          <w:sz w:val="24"/>
          <w:szCs w:val="24"/>
        </w:rPr>
      </w:pPr>
      <w:r w:rsidRPr="00967063">
        <w:rPr>
          <w:rFonts w:ascii="Times New Roman" w:hAnsi="Times New Roman" w:cs="Times New Roman"/>
          <w:sz w:val="24"/>
          <w:szCs w:val="24"/>
        </w:rPr>
        <w:t>Or est-il que son travail est remis en cause. Certains plus optimistes pensent qu’elle est moralement justifiée de poursuivre son travail</w:t>
      </w:r>
      <w:r>
        <w:rPr>
          <w:rFonts w:ascii="Times New Roman" w:hAnsi="Times New Roman" w:cs="Times New Roman"/>
          <w:sz w:val="24"/>
          <w:szCs w:val="24"/>
        </w:rPr>
        <w:t xml:space="preserve"> malgré la crise en cours depuis 2015</w:t>
      </w:r>
      <w:r w:rsidRPr="00967063">
        <w:rPr>
          <w:rFonts w:ascii="Times New Roman" w:hAnsi="Times New Roman" w:cs="Times New Roman"/>
          <w:sz w:val="24"/>
          <w:szCs w:val="24"/>
        </w:rPr>
        <w:t xml:space="preserve">. D’autres en revanche, pensent que le processus est sans promesse. Nous aurons à explorer les arguments des uns et des autres. </w:t>
      </w:r>
      <w:r>
        <w:rPr>
          <w:rFonts w:ascii="Times New Roman" w:hAnsi="Times New Roman" w:cs="Times New Roman"/>
          <w:sz w:val="24"/>
          <w:szCs w:val="24"/>
        </w:rPr>
        <w:t>En attendant, il est possible de se poser déjà un certain nombre de questions à</w:t>
      </w:r>
      <w:r w:rsidRPr="00967063">
        <w:rPr>
          <w:rFonts w:ascii="Times New Roman" w:hAnsi="Times New Roman" w:cs="Times New Roman"/>
          <w:sz w:val="24"/>
          <w:szCs w:val="24"/>
        </w:rPr>
        <w:t xml:space="preserve"> la lumière de ces remises en question. Est-</w:t>
      </w:r>
      <w:r w:rsidR="000865EC">
        <w:rPr>
          <w:rFonts w:ascii="Times New Roman" w:hAnsi="Times New Roman" w:cs="Times New Roman"/>
          <w:sz w:val="24"/>
          <w:szCs w:val="24"/>
        </w:rPr>
        <w:t>ce que cette commission est</w:t>
      </w:r>
      <w:r>
        <w:rPr>
          <w:rFonts w:ascii="Times New Roman" w:hAnsi="Times New Roman" w:cs="Times New Roman"/>
          <w:sz w:val="24"/>
          <w:szCs w:val="24"/>
        </w:rPr>
        <w:t xml:space="preserve"> </w:t>
      </w:r>
      <w:r w:rsidRPr="00967063">
        <w:rPr>
          <w:rFonts w:ascii="Times New Roman" w:hAnsi="Times New Roman" w:cs="Times New Roman"/>
          <w:sz w:val="24"/>
          <w:szCs w:val="24"/>
        </w:rPr>
        <w:t xml:space="preserve">justifiée de poursuivre son travail ou devrait-elle attendre la fin de la crise? Nous </w:t>
      </w:r>
      <w:r>
        <w:rPr>
          <w:rFonts w:ascii="Times New Roman" w:hAnsi="Times New Roman" w:cs="Times New Roman"/>
          <w:sz w:val="24"/>
          <w:szCs w:val="24"/>
        </w:rPr>
        <w:t>p</w:t>
      </w:r>
      <w:r w:rsidRPr="00967063">
        <w:rPr>
          <w:rFonts w:ascii="Times New Roman" w:hAnsi="Times New Roman" w:cs="Times New Roman"/>
          <w:sz w:val="24"/>
          <w:szCs w:val="24"/>
        </w:rPr>
        <w:t>ou</w:t>
      </w:r>
      <w:r>
        <w:rPr>
          <w:rFonts w:ascii="Times New Roman" w:hAnsi="Times New Roman" w:cs="Times New Roman"/>
          <w:sz w:val="24"/>
          <w:szCs w:val="24"/>
        </w:rPr>
        <w:t>v</w:t>
      </w:r>
      <w:r w:rsidRPr="00967063">
        <w:rPr>
          <w:rFonts w:ascii="Times New Roman" w:hAnsi="Times New Roman" w:cs="Times New Roman"/>
          <w:sz w:val="24"/>
          <w:szCs w:val="24"/>
        </w:rPr>
        <w:t xml:space="preserve">ons mieux situer </w:t>
      </w:r>
      <w:r>
        <w:rPr>
          <w:rFonts w:ascii="Times New Roman" w:hAnsi="Times New Roman" w:cs="Times New Roman"/>
          <w:sz w:val="24"/>
          <w:szCs w:val="24"/>
        </w:rPr>
        <w:t xml:space="preserve">encore </w:t>
      </w:r>
      <w:r w:rsidRPr="00967063">
        <w:rPr>
          <w:rFonts w:ascii="Times New Roman" w:hAnsi="Times New Roman" w:cs="Times New Roman"/>
          <w:sz w:val="24"/>
          <w:szCs w:val="24"/>
        </w:rPr>
        <w:t xml:space="preserve">notre problématique </w:t>
      </w:r>
      <w:r>
        <w:rPr>
          <w:rFonts w:ascii="Times New Roman" w:hAnsi="Times New Roman" w:cs="Times New Roman"/>
          <w:sz w:val="24"/>
          <w:szCs w:val="24"/>
        </w:rPr>
        <w:t xml:space="preserve">en nous appuyant sur </w:t>
      </w:r>
      <w:r w:rsidRPr="00967063">
        <w:rPr>
          <w:rFonts w:ascii="Times New Roman" w:hAnsi="Times New Roman" w:cs="Times New Roman"/>
          <w:sz w:val="24"/>
          <w:szCs w:val="24"/>
        </w:rPr>
        <w:t>Hannah Arendt</w:t>
      </w:r>
      <w:r>
        <w:rPr>
          <w:rFonts w:ascii="Times New Roman" w:hAnsi="Times New Roman" w:cs="Times New Roman"/>
          <w:sz w:val="24"/>
          <w:szCs w:val="24"/>
        </w:rPr>
        <w:t xml:space="preserve"> et sa notion de l’action. C</w:t>
      </w:r>
      <w:r w:rsidRPr="00967063">
        <w:rPr>
          <w:rFonts w:ascii="Times New Roman" w:hAnsi="Times New Roman" w:cs="Times New Roman"/>
          <w:sz w:val="24"/>
          <w:szCs w:val="24"/>
        </w:rPr>
        <w:t>ompte tenu du fait que l’</w:t>
      </w:r>
      <w:r w:rsidRPr="00967063">
        <w:rPr>
          <w:rFonts w:ascii="Times New Roman" w:hAnsi="Times New Roman" w:cs="Times New Roman"/>
          <w:i/>
          <w:sz w:val="24"/>
          <w:szCs w:val="24"/>
        </w:rPr>
        <w:t>action</w:t>
      </w:r>
      <w:r>
        <w:rPr>
          <w:rFonts w:ascii="Times New Roman" w:hAnsi="Times New Roman" w:cs="Times New Roman"/>
          <w:sz w:val="24"/>
          <w:szCs w:val="24"/>
        </w:rPr>
        <w:t xml:space="preserve">, </w:t>
      </w:r>
      <w:r w:rsidRPr="00967063">
        <w:rPr>
          <w:rFonts w:ascii="Times New Roman" w:hAnsi="Times New Roman" w:cs="Times New Roman"/>
          <w:sz w:val="24"/>
          <w:szCs w:val="24"/>
        </w:rPr>
        <w:t>chez Arendt</w:t>
      </w:r>
      <w:r>
        <w:rPr>
          <w:rFonts w:ascii="Times New Roman" w:hAnsi="Times New Roman" w:cs="Times New Roman"/>
          <w:sz w:val="24"/>
          <w:szCs w:val="24"/>
        </w:rPr>
        <w:t>,</w:t>
      </w:r>
      <w:r w:rsidRPr="00967063">
        <w:rPr>
          <w:rFonts w:ascii="Times New Roman" w:hAnsi="Times New Roman" w:cs="Times New Roman"/>
          <w:sz w:val="24"/>
          <w:szCs w:val="24"/>
        </w:rPr>
        <w:t xml:space="preserve"> est un processus qu’aucune instrumentalisation ou dégradation politique ne peut empêcher</w:t>
      </w:r>
      <w:r w:rsidR="001B2B75">
        <w:rPr>
          <w:rStyle w:val="FootnoteReference"/>
          <w:rFonts w:ascii="Times New Roman" w:hAnsi="Times New Roman" w:cs="Times New Roman"/>
          <w:sz w:val="24"/>
          <w:szCs w:val="24"/>
        </w:rPr>
        <w:footnoteReference w:id="6"/>
      </w:r>
      <w:r>
        <w:rPr>
          <w:rFonts w:ascii="Times New Roman" w:hAnsi="Times New Roman" w:cs="Times New Roman"/>
          <w:sz w:val="24"/>
          <w:szCs w:val="24"/>
        </w:rPr>
        <w:t xml:space="preserve"> et compte tenu en outre </w:t>
      </w:r>
      <w:r w:rsidRPr="00967063">
        <w:rPr>
          <w:rFonts w:ascii="Times New Roman" w:hAnsi="Times New Roman" w:cs="Times New Roman"/>
          <w:sz w:val="24"/>
          <w:szCs w:val="24"/>
        </w:rPr>
        <w:t>que l</w:t>
      </w:r>
      <w:r w:rsidR="000865EC">
        <w:rPr>
          <w:rFonts w:ascii="Times New Roman" w:hAnsi="Times New Roman" w:cs="Times New Roman"/>
          <w:sz w:val="24"/>
          <w:szCs w:val="24"/>
        </w:rPr>
        <w:t>e pardon</w:t>
      </w:r>
      <w:r w:rsidRPr="00967063">
        <w:rPr>
          <w:rFonts w:ascii="Times New Roman" w:hAnsi="Times New Roman" w:cs="Times New Roman"/>
          <w:sz w:val="24"/>
          <w:szCs w:val="24"/>
        </w:rPr>
        <w:t xml:space="preserve"> et la réconciliation sont des formes d’action</w:t>
      </w:r>
      <w:r>
        <w:rPr>
          <w:rFonts w:ascii="Times New Roman" w:hAnsi="Times New Roman" w:cs="Times New Roman"/>
          <w:sz w:val="24"/>
          <w:szCs w:val="24"/>
        </w:rPr>
        <w:t>,</w:t>
      </w:r>
      <w:r w:rsidRPr="00967063">
        <w:rPr>
          <w:rFonts w:ascii="Times New Roman" w:hAnsi="Times New Roman" w:cs="Times New Roman"/>
          <w:sz w:val="24"/>
          <w:szCs w:val="24"/>
        </w:rPr>
        <w:t xml:space="preserve"> est-il moralement admissible que la CVR décline son mandat? Si elle ne le peut pas, a-t-elle</w:t>
      </w:r>
      <w:r>
        <w:rPr>
          <w:rFonts w:ascii="Times New Roman" w:hAnsi="Times New Roman" w:cs="Times New Roman"/>
          <w:sz w:val="24"/>
          <w:szCs w:val="24"/>
        </w:rPr>
        <w:t xml:space="preserve"> au moins </w:t>
      </w:r>
      <w:r w:rsidRPr="00967063">
        <w:rPr>
          <w:rFonts w:ascii="Times New Roman" w:hAnsi="Times New Roman" w:cs="Times New Roman"/>
          <w:sz w:val="24"/>
          <w:szCs w:val="24"/>
        </w:rPr>
        <w:t xml:space="preserve">la possibilité de s’appuyer sur </w:t>
      </w:r>
      <w:r>
        <w:rPr>
          <w:rFonts w:ascii="Times New Roman" w:hAnsi="Times New Roman" w:cs="Times New Roman"/>
          <w:sz w:val="24"/>
          <w:szCs w:val="24"/>
        </w:rPr>
        <w:t xml:space="preserve">un </w:t>
      </w:r>
      <w:r w:rsidRPr="00967063">
        <w:rPr>
          <w:rFonts w:ascii="Times New Roman" w:hAnsi="Times New Roman" w:cs="Times New Roman"/>
          <w:sz w:val="24"/>
          <w:szCs w:val="24"/>
        </w:rPr>
        <w:t>cadre éthique, et lequel, afin de rendre crédible le processus</w:t>
      </w:r>
      <w:r>
        <w:rPr>
          <w:rFonts w:ascii="Times New Roman" w:hAnsi="Times New Roman" w:cs="Times New Roman"/>
          <w:sz w:val="24"/>
          <w:szCs w:val="24"/>
        </w:rPr>
        <w:t xml:space="preserve"> </w:t>
      </w:r>
      <w:r w:rsidRPr="00967063">
        <w:rPr>
          <w:rFonts w:ascii="Times New Roman" w:hAnsi="Times New Roman" w:cs="Times New Roman"/>
          <w:sz w:val="24"/>
          <w:szCs w:val="24"/>
        </w:rPr>
        <w:t xml:space="preserve">et ses résultats? </w:t>
      </w:r>
      <w:r>
        <w:rPr>
          <w:rFonts w:ascii="Times New Roman" w:hAnsi="Times New Roman" w:cs="Times New Roman"/>
          <w:sz w:val="24"/>
          <w:szCs w:val="24"/>
        </w:rPr>
        <w:t>Voilà</w:t>
      </w:r>
      <w:r w:rsidRPr="00967063">
        <w:rPr>
          <w:rFonts w:ascii="Times New Roman" w:hAnsi="Times New Roman" w:cs="Times New Roman"/>
          <w:sz w:val="24"/>
          <w:szCs w:val="24"/>
        </w:rPr>
        <w:t xml:space="preserve"> </w:t>
      </w:r>
      <w:r>
        <w:rPr>
          <w:rFonts w:ascii="Times New Roman" w:hAnsi="Times New Roman" w:cs="Times New Roman"/>
          <w:sz w:val="24"/>
          <w:szCs w:val="24"/>
        </w:rPr>
        <w:t xml:space="preserve">le genre de </w:t>
      </w:r>
      <w:r w:rsidRPr="00967063">
        <w:rPr>
          <w:rFonts w:ascii="Times New Roman" w:hAnsi="Times New Roman" w:cs="Times New Roman"/>
          <w:sz w:val="24"/>
          <w:szCs w:val="24"/>
        </w:rPr>
        <w:t xml:space="preserve">questionnement qui nous amène à nous intéresser à </w:t>
      </w:r>
      <w:r>
        <w:rPr>
          <w:rFonts w:ascii="Times New Roman" w:hAnsi="Times New Roman" w:cs="Times New Roman"/>
          <w:sz w:val="24"/>
          <w:szCs w:val="24"/>
        </w:rPr>
        <w:t>une</w:t>
      </w:r>
      <w:r w:rsidRPr="00967063">
        <w:rPr>
          <w:rFonts w:ascii="Times New Roman" w:hAnsi="Times New Roman" w:cs="Times New Roman"/>
          <w:sz w:val="24"/>
          <w:szCs w:val="24"/>
        </w:rPr>
        <w:t xml:space="preserve"> </w:t>
      </w:r>
      <w:r w:rsidRPr="00967063">
        <w:rPr>
          <w:rFonts w:ascii="Times New Roman" w:hAnsi="Times New Roman" w:cs="Times New Roman"/>
          <w:iCs/>
          <w:sz w:val="24"/>
          <w:szCs w:val="24"/>
          <w:lang w:val="fr"/>
        </w:rPr>
        <w:t>démarche éthique qui s’inscrit dans une dynamique sociale locale</w:t>
      </w:r>
      <w:r>
        <w:rPr>
          <w:rFonts w:ascii="Times New Roman" w:hAnsi="Times New Roman" w:cs="Times New Roman"/>
          <w:iCs/>
          <w:sz w:val="24"/>
          <w:szCs w:val="24"/>
          <w:lang w:val="fr"/>
        </w:rPr>
        <w:t xml:space="preserve"> comme celle de la crise</w:t>
      </w:r>
      <w:r w:rsidRPr="00967063">
        <w:rPr>
          <w:rFonts w:ascii="Times New Roman" w:hAnsi="Times New Roman" w:cs="Times New Roman"/>
          <w:iCs/>
          <w:sz w:val="24"/>
          <w:szCs w:val="24"/>
          <w:lang w:val="fr"/>
        </w:rPr>
        <w:t> </w:t>
      </w:r>
      <w:r>
        <w:rPr>
          <w:rFonts w:ascii="Times New Roman" w:hAnsi="Times New Roman" w:cs="Times New Roman"/>
          <w:iCs/>
          <w:sz w:val="24"/>
          <w:szCs w:val="24"/>
          <w:lang w:val="fr"/>
        </w:rPr>
        <w:t>au Burundi</w:t>
      </w:r>
      <w:r w:rsidR="000865EC">
        <w:rPr>
          <w:rFonts w:ascii="Times New Roman" w:hAnsi="Times New Roman" w:cs="Times New Roman"/>
          <w:iCs/>
          <w:sz w:val="24"/>
          <w:szCs w:val="24"/>
          <w:lang w:val="fr"/>
        </w:rPr>
        <w:t> à l’aune de</w:t>
      </w:r>
      <w:r w:rsidRPr="00967063">
        <w:rPr>
          <w:rFonts w:ascii="Times New Roman" w:hAnsi="Times New Roman" w:cs="Times New Roman"/>
          <w:iCs/>
          <w:sz w:val="24"/>
          <w:szCs w:val="24"/>
          <w:lang w:val="fr"/>
        </w:rPr>
        <w:t xml:space="preserve"> </w:t>
      </w:r>
      <w:r w:rsidRPr="00967063">
        <w:rPr>
          <w:rFonts w:ascii="Times New Roman" w:hAnsi="Times New Roman" w:cs="Times New Roman"/>
          <w:sz w:val="24"/>
          <w:szCs w:val="24"/>
        </w:rPr>
        <w:t>l’éthique reconstructive</w:t>
      </w:r>
      <w:r w:rsidR="000865EC">
        <w:rPr>
          <w:rFonts w:ascii="Times New Roman" w:hAnsi="Times New Roman" w:cs="Times New Roman"/>
          <w:sz w:val="24"/>
          <w:szCs w:val="24"/>
        </w:rPr>
        <w:t xml:space="preserve"> de Jean-Marc Ferry.</w:t>
      </w:r>
    </w:p>
    <w:p w14:paraId="09E8B14D" w14:textId="7AE1C7E5" w:rsidR="001905B0" w:rsidRPr="00967063" w:rsidRDefault="001905B0" w:rsidP="001905B0">
      <w:pPr>
        <w:spacing w:line="480" w:lineRule="auto"/>
        <w:ind w:firstLine="708"/>
        <w:jc w:val="both"/>
        <w:rPr>
          <w:rFonts w:ascii="Times New Roman" w:hAnsi="Times New Roman" w:cs="Times New Roman"/>
          <w:sz w:val="24"/>
          <w:szCs w:val="24"/>
        </w:rPr>
      </w:pPr>
      <w:r w:rsidRPr="00967063">
        <w:rPr>
          <w:rFonts w:ascii="Times New Roman" w:hAnsi="Times New Roman" w:cs="Times New Roman"/>
          <w:iCs/>
          <w:sz w:val="24"/>
          <w:szCs w:val="24"/>
          <w:lang w:val="fr"/>
        </w:rPr>
        <w:t xml:space="preserve">Né en 1946, le philosophe Jean-Marc Ferry a consacré, </w:t>
      </w:r>
      <w:r>
        <w:rPr>
          <w:rFonts w:ascii="Times New Roman" w:hAnsi="Times New Roman" w:cs="Times New Roman"/>
          <w:iCs/>
          <w:sz w:val="24"/>
          <w:szCs w:val="24"/>
          <w:lang w:val="fr"/>
        </w:rPr>
        <w:t xml:space="preserve">en </w:t>
      </w:r>
      <w:r w:rsidRPr="00967063">
        <w:rPr>
          <w:rFonts w:ascii="Times New Roman" w:hAnsi="Times New Roman" w:cs="Times New Roman"/>
          <w:iCs/>
          <w:sz w:val="24"/>
          <w:szCs w:val="24"/>
          <w:lang w:val="fr"/>
        </w:rPr>
        <w:t>répondant à une exhortation</w:t>
      </w:r>
      <w:r>
        <w:rPr>
          <w:rFonts w:ascii="Times New Roman" w:hAnsi="Times New Roman" w:cs="Times New Roman"/>
          <w:iCs/>
          <w:sz w:val="24"/>
          <w:szCs w:val="24"/>
          <w:lang w:val="fr"/>
        </w:rPr>
        <w:t xml:space="preserve"> de</w:t>
      </w:r>
      <w:r w:rsidRPr="00967063">
        <w:rPr>
          <w:rFonts w:ascii="Times New Roman" w:hAnsi="Times New Roman" w:cs="Times New Roman"/>
          <w:iCs/>
          <w:sz w:val="24"/>
          <w:szCs w:val="24"/>
          <w:lang w:val="fr"/>
        </w:rPr>
        <w:t xml:space="preserve"> Paul Ri</w:t>
      </w:r>
      <w:r w:rsidR="000865EC">
        <w:rPr>
          <w:rFonts w:ascii="Times New Roman" w:hAnsi="Times New Roman" w:cs="Times New Roman"/>
          <w:iCs/>
          <w:sz w:val="24"/>
          <w:szCs w:val="24"/>
          <w:lang w:val="fr"/>
        </w:rPr>
        <w:t>cœur</w:t>
      </w:r>
      <w:r w:rsidRPr="00967063">
        <w:rPr>
          <w:rStyle w:val="FootnoteReference"/>
          <w:rFonts w:ascii="Times New Roman" w:hAnsi="Times New Roman" w:cs="Times New Roman"/>
          <w:iCs/>
          <w:sz w:val="24"/>
          <w:szCs w:val="24"/>
          <w:lang w:val="fr"/>
        </w:rPr>
        <w:footnoteReference w:id="7"/>
      </w:r>
      <w:r w:rsidRPr="00967063">
        <w:rPr>
          <w:rFonts w:ascii="Times New Roman" w:hAnsi="Times New Roman" w:cs="Times New Roman"/>
          <w:iCs/>
          <w:sz w:val="24"/>
          <w:szCs w:val="24"/>
          <w:lang w:val="fr"/>
        </w:rPr>
        <w:t xml:space="preserve">, une partie de sa production philosophique au profit d’une meilleure compréhension d’un cadre éthique approprié aux contextes de crise. </w:t>
      </w:r>
      <w:r>
        <w:rPr>
          <w:rFonts w:ascii="Times New Roman" w:hAnsi="Times New Roman" w:cs="Times New Roman"/>
          <w:iCs/>
          <w:sz w:val="24"/>
          <w:szCs w:val="24"/>
          <w:lang w:val="fr"/>
        </w:rPr>
        <w:t xml:space="preserve">En étudiant </w:t>
      </w:r>
      <w:r w:rsidRPr="00967063">
        <w:rPr>
          <w:rFonts w:ascii="Times New Roman" w:hAnsi="Times New Roman" w:cs="Times New Roman"/>
          <w:sz w:val="24"/>
          <w:szCs w:val="24"/>
        </w:rPr>
        <w:t xml:space="preserve">l’éthique reconstructive de </w:t>
      </w:r>
      <w:r w:rsidRPr="00967063">
        <w:rPr>
          <w:rFonts w:ascii="Times New Roman" w:hAnsi="Times New Roman" w:cs="Times New Roman"/>
          <w:iCs/>
          <w:sz w:val="24"/>
          <w:szCs w:val="24"/>
          <w:lang w:val="fr"/>
        </w:rPr>
        <w:t>Ferry, on réalise qu’on est</w:t>
      </w:r>
      <w:r>
        <w:rPr>
          <w:rFonts w:ascii="Times New Roman" w:hAnsi="Times New Roman" w:cs="Times New Roman"/>
          <w:iCs/>
          <w:sz w:val="24"/>
          <w:szCs w:val="24"/>
          <w:lang w:val="fr"/>
        </w:rPr>
        <w:t xml:space="preserve">, de fait, </w:t>
      </w:r>
      <w:r w:rsidRPr="00967063">
        <w:rPr>
          <w:rFonts w:ascii="Times New Roman" w:hAnsi="Times New Roman" w:cs="Times New Roman"/>
          <w:iCs/>
          <w:sz w:val="24"/>
          <w:szCs w:val="24"/>
          <w:lang w:val="fr"/>
        </w:rPr>
        <w:t>en présence d’un philosophe qui procède d’un lieu proprement éthique et dont le souci constant est d’aider à lever le destin hostile</w:t>
      </w:r>
      <w:r>
        <w:rPr>
          <w:rFonts w:ascii="Times New Roman" w:hAnsi="Times New Roman" w:cs="Times New Roman"/>
          <w:iCs/>
          <w:sz w:val="24"/>
          <w:szCs w:val="24"/>
          <w:lang w:val="fr"/>
        </w:rPr>
        <w:t xml:space="preserve"> dans nos vies</w:t>
      </w:r>
      <w:r w:rsidRPr="00967063">
        <w:rPr>
          <w:rFonts w:ascii="Times New Roman" w:hAnsi="Times New Roman" w:cs="Times New Roman"/>
          <w:iCs/>
          <w:sz w:val="24"/>
          <w:szCs w:val="24"/>
          <w:lang w:val="fr"/>
        </w:rPr>
        <w:t>. Que nous dit ce philosophe ? Que nous pouvons lever le destin et sa causalité</w:t>
      </w:r>
      <w:r>
        <w:rPr>
          <w:rFonts w:ascii="Times New Roman" w:hAnsi="Times New Roman" w:cs="Times New Roman"/>
          <w:iCs/>
          <w:sz w:val="24"/>
          <w:szCs w:val="24"/>
          <w:lang w:val="fr"/>
        </w:rPr>
        <w:t xml:space="preserve"> dans notre vivre-ensemble</w:t>
      </w:r>
      <w:r w:rsidRPr="00967063">
        <w:rPr>
          <w:rFonts w:ascii="Times New Roman" w:hAnsi="Times New Roman" w:cs="Times New Roman"/>
          <w:iCs/>
          <w:sz w:val="24"/>
          <w:szCs w:val="24"/>
          <w:lang w:val="fr"/>
        </w:rPr>
        <w:t xml:space="preserve">. A condition de </w:t>
      </w:r>
      <w:r w:rsidRPr="00967063">
        <w:rPr>
          <w:rFonts w:ascii="Times New Roman" w:eastAsia="Times New Roman" w:hAnsi="Times New Roman" w:cs="Times New Roman"/>
          <w:iCs/>
          <w:sz w:val="24"/>
          <w:szCs w:val="24"/>
          <w:lang w:val="fr" w:eastAsia="fr-CA"/>
        </w:rPr>
        <w:t>partir de la « structure pour reconstituer le processus dont cette structure est le résultat, de sorte que l’on accède à une compréhension proprement historique de la situation donnée dans la présence »</w:t>
      </w:r>
      <w:r w:rsidRPr="00967063">
        <w:rPr>
          <w:rStyle w:val="FootnoteReference"/>
          <w:rFonts w:ascii="Times New Roman" w:eastAsia="Times New Roman" w:hAnsi="Times New Roman" w:cs="Times New Roman"/>
          <w:iCs/>
          <w:sz w:val="24"/>
          <w:szCs w:val="24"/>
          <w:lang w:val="fr" w:eastAsia="fr-CA"/>
        </w:rPr>
        <w:footnoteReference w:id="8"/>
      </w:r>
      <w:r w:rsidRPr="00967063">
        <w:rPr>
          <w:rFonts w:ascii="Times New Roman" w:eastAsia="Times New Roman" w:hAnsi="Times New Roman" w:cs="Times New Roman"/>
          <w:iCs/>
          <w:sz w:val="24"/>
          <w:szCs w:val="24"/>
          <w:lang w:val="fr" w:eastAsia="fr-CA"/>
        </w:rPr>
        <w:t>. La thématisation du malentendu se fait</w:t>
      </w:r>
      <w:r>
        <w:rPr>
          <w:rFonts w:ascii="Times New Roman" w:eastAsia="Times New Roman" w:hAnsi="Times New Roman" w:cs="Times New Roman"/>
          <w:iCs/>
          <w:sz w:val="24"/>
          <w:szCs w:val="24"/>
          <w:lang w:val="fr" w:eastAsia="fr-CA"/>
        </w:rPr>
        <w:t xml:space="preserve"> </w:t>
      </w:r>
      <w:r w:rsidRPr="00967063">
        <w:rPr>
          <w:rFonts w:ascii="Times New Roman" w:eastAsia="Times New Roman" w:hAnsi="Times New Roman" w:cs="Times New Roman"/>
          <w:iCs/>
          <w:sz w:val="24"/>
          <w:szCs w:val="24"/>
          <w:lang w:val="fr" w:eastAsia="fr-CA"/>
        </w:rPr>
        <w:t xml:space="preserve">à la fois </w:t>
      </w:r>
      <w:r w:rsidRPr="00967063">
        <w:rPr>
          <w:rFonts w:ascii="Times New Roman" w:hAnsi="Times New Roman" w:cs="Times New Roman"/>
          <w:bCs/>
          <w:sz w:val="24"/>
          <w:szCs w:val="24"/>
        </w:rPr>
        <w:t>du point de vue « subjectif des acteurs immergés dans le drame, et du point objectif du système de contraintes logiques ou normatives qui soumettent les acteurs aux déterminations dont ils sont éventuellement porteurs, ou qu’ils ont eux-mêmes déclenchées ».</w:t>
      </w:r>
      <w:r w:rsidRPr="00967063">
        <w:rPr>
          <w:rStyle w:val="FootnoteReference"/>
          <w:rFonts w:ascii="Times New Roman" w:hAnsi="Times New Roman" w:cs="Times New Roman"/>
          <w:sz w:val="24"/>
          <w:szCs w:val="24"/>
        </w:rPr>
        <w:footnoteReference w:id="9"/>
      </w:r>
      <w:r w:rsidRPr="00967063">
        <w:rPr>
          <w:rFonts w:ascii="Times New Roman" w:hAnsi="Times New Roman" w:cs="Times New Roman"/>
          <w:bCs/>
          <w:sz w:val="24"/>
          <w:szCs w:val="24"/>
        </w:rPr>
        <w:t xml:space="preserve"> La reconstruction qui permet de lever le destin est </w:t>
      </w:r>
      <w:r w:rsidR="000865EC">
        <w:rPr>
          <w:rFonts w:ascii="Times New Roman" w:hAnsi="Times New Roman" w:cs="Times New Roman"/>
          <w:bCs/>
          <w:sz w:val="24"/>
          <w:szCs w:val="24"/>
        </w:rPr>
        <w:t xml:space="preserve">un </w:t>
      </w:r>
      <w:r w:rsidRPr="00967063">
        <w:rPr>
          <w:rFonts w:ascii="Times New Roman" w:hAnsi="Times New Roman" w:cs="Times New Roman"/>
          <w:bCs/>
          <w:sz w:val="24"/>
          <w:szCs w:val="24"/>
        </w:rPr>
        <w:t xml:space="preserve">processus en quatre phases : la narration, l’interprétation, l’argumentation et la reconstruction. Parce qu’elle exige le décentrement, elle empêche que </w:t>
      </w:r>
      <w:r w:rsidRPr="00967063">
        <w:rPr>
          <w:rFonts w:ascii="Times New Roman" w:eastAsia="Times New Roman" w:hAnsi="Times New Roman" w:cs="Times New Roman"/>
          <w:iCs/>
          <w:sz w:val="24"/>
          <w:szCs w:val="24"/>
          <w:lang w:val="fr" w:eastAsia="fr-CA"/>
        </w:rPr>
        <w:t>« omissions mensongères dans la narration, déformations malveillantes dans l’interprétation, conclusions répressives dans l’argumentation »</w:t>
      </w:r>
      <w:r w:rsidRPr="00967063">
        <w:rPr>
          <w:rStyle w:val="FootnoteReference"/>
          <w:rFonts w:ascii="Times New Roman" w:eastAsia="Times New Roman" w:hAnsi="Times New Roman" w:cs="Times New Roman"/>
          <w:iCs/>
          <w:sz w:val="24"/>
          <w:szCs w:val="24"/>
          <w:lang w:val="fr" w:eastAsia="fr-CA"/>
        </w:rPr>
        <w:footnoteReference w:id="10"/>
      </w:r>
      <w:r>
        <w:rPr>
          <w:rFonts w:ascii="Times New Roman" w:eastAsia="Times New Roman" w:hAnsi="Times New Roman" w:cs="Times New Roman"/>
          <w:iCs/>
          <w:sz w:val="24"/>
          <w:szCs w:val="24"/>
          <w:lang w:val="fr" w:eastAsia="fr-CA"/>
        </w:rPr>
        <w:t xml:space="preserve"> </w:t>
      </w:r>
      <w:r w:rsidRPr="00967063">
        <w:rPr>
          <w:rFonts w:ascii="Times New Roman" w:eastAsia="Times New Roman" w:hAnsi="Times New Roman" w:cs="Times New Roman"/>
          <w:iCs/>
          <w:sz w:val="24"/>
          <w:szCs w:val="24"/>
          <w:lang w:val="fr" w:eastAsia="fr-CA"/>
        </w:rPr>
        <w:t>ne gagnent du terrain</w:t>
      </w:r>
      <w:r>
        <w:rPr>
          <w:rFonts w:ascii="Times New Roman" w:eastAsia="Times New Roman" w:hAnsi="Times New Roman" w:cs="Times New Roman"/>
          <w:iCs/>
          <w:sz w:val="24"/>
          <w:szCs w:val="24"/>
          <w:lang w:val="fr" w:eastAsia="fr-CA"/>
        </w:rPr>
        <w:t xml:space="preserve">. Car ce sont </w:t>
      </w:r>
      <w:r w:rsidRPr="00967063">
        <w:rPr>
          <w:rFonts w:ascii="Times New Roman" w:eastAsia="Times New Roman" w:hAnsi="Times New Roman" w:cs="Times New Roman"/>
          <w:iCs/>
          <w:sz w:val="24"/>
          <w:szCs w:val="24"/>
          <w:lang w:val="fr" w:eastAsia="fr-CA"/>
        </w:rPr>
        <w:t>ces «</w:t>
      </w:r>
      <w:r w:rsidR="000865EC">
        <w:rPr>
          <w:rFonts w:ascii="Times New Roman" w:eastAsia="Times New Roman" w:hAnsi="Times New Roman" w:cs="Times New Roman"/>
          <w:iCs/>
          <w:sz w:val="24"/>
          <w:szCs w:val="24"/>
          <w:lang w:val="fr" w:eastAsia="fr-CA"/>
        </w:rPr>
        <w:t> </w:t>
      </w:r>
      <w:r w:rsidRPr="00967063">
        <w:rPr>
          <w:rFonts w:ascii="Times New Roman" w:eastAsia="Times New Roman" w:hAnsi="Times New Roman" w:cs="Times New Roman"/>
          <w:iCs/>
          <w:sz w:val="24"/>
          <w:szCs w:val="24"/>
          <w:lang w:val="fr" w:eastAsia="fr-CA"/>
        </w:rPr>
        <w:t>injustices routinières qui constituent autant d’atteintes imperceptibles à la reconnaissance réciproque, autant de blessures et d’obstacles à l’entente »</w:t>
      </w:r>
      <w:r w:rsidRPr="00967063">
        <w:rPr>
          <w:rStyle w:val="FootnoteReference"/>
          <w:rFonts w:ascii="Times New Roman" w:eastAsia="Times New Roman" w:hAnsi="Times New Roman" w:cs="Times New Roman"/>
          <w:iCs/>
          <w:sz w:val="24"/>
          <w:szCs w:val="24"/>
          <w:lang w:val="fr" w:eastAsia="fr-CA"/>
        </w:rPr>
        <w:footnoteReference w:id="11"/>
      </w:r>
      <w:r w:rsidRPr="00967063">
        <w:rPr>
          <w:rFonts w:ascii="Times New Roman" w:eastAsia="Times New Roman" w:hAnsi="Times New Roman" w:cs="Times New Roman"/>
          <w:iCs/>
          <w:sz w:val="24"/>
          <w:szCs w:val="24"/>
          <w:lang w:val="fr" w:eastAsia="fr-CA"/>
        </w:rPr>
        <w:t xml:space="preserve">. </w:t>
      </w:r>
      <w:r>
        <w:rPr>
          <w:rFonts w:ascii="Times New Roman" w:eastAsia="Times New Roman" w:hAnsi="Times New Roman" w:cs="Times New Roman"/>
          <w:iCs/>
          <w:sz w:val="24"/>
          <w:szCs w:val="24"/>
          <w:lang w:val="fr" w:eastAsia="fr-CA"/>
        </w:rPr>
        <w:t>La reconstruction</w:t>
      </w:r>
      <w:r w:rsidRPr="00967063">
        <w:rPr>
          <w:rFonts w:ascii="Times New Roman" w:eastAsia="Times New Roman" w:hAnsi="Times New Roman" w:cs="Times New Roman"/>
          <w:iCs/>
          <w:sz w:val="24"/>
          <w:szCs w:val="24"/>
          <w:lang w:val="fr" w:eastAsia="fr-CA"/>
        </w:rPr>
        <w:t xml:space="preserve"> les </w:t>
      </w:r>
      <w:r>
        <w:rPr>
          <w:rFonts w:ascii="Times New Roman" w:eastAsia="Times New Roman" w:hAnsi="Times New Roman" w:cs="Times New Roman"/>
          <w:iCs/>
          <w:sz w:val="24"/>
          <w:szCs w:val="24"/>
          <w:lang w:val="fr" w:eastAsia="fr-CA"/>
        </w:rPr>
        <w:t xml:space="preserve">envisage </w:t>
      </w:r>
      <w:r w:rsidRPr="00967063">
        <w:rPr>
          <w:rFonts w:ascii="Times New Roman" w:eastAsia="Times New Roman" w:hAnsi="Times New Roman" w:cs="Times New Roman"/>
          <w:iCs/>
          <w:sz w:val="24"/>
          <w:szCs w:val="24"/>
          <w:lang w:val="fr" w:eastAsia="fr-CA"/>
        </w:rPr>
        <w:t>thématiquement dans la perspective « pratique de négations déterminées »</w:t>
      </w:r>
      <w:r w:rsidRPr="00967063">
        <w:rPr>
          <w:rStyle w:val="FootnoteReference"/>
          <w:rFonts w:ascii="Times New Roman" w:eastAsia="Times New Roman" w:hAnsi="Times New Roman" w:cs="Times New Roman"/>
          <w:iCs/>
          <w:sz w:val="24"/>
          <w:szCs w:val="24"/>
          <w:lang w:val="fr" w:eastAsia="fr-CA"/>
        </w:rPr>
        <w:footnoteReference w:id="12"/>
      </w:r>
      <w:r w:rsidRPr="00967063">
        <w:rPr>
          <w:rFonts w:ascii="Times New Roman" w:eastAsia="Times New Roman" w:hAnsi="Times New Roman" w:cs="Times New Roman"/>
          <w:iCs/>
          <w:sz w:val="24"/>
          <w:szCs w:val="24"/>
          <w:lang w:val="fr" w:eastAsia="fr-CA"/>
        </w:rPr>
        <w:t>.</w:t>
      </w:r>
    </w:p>
    <w:p w14:paraId="3EE68547" w14:textId="38A9CF48" w:rsidR="001905B0" w:rsidRPr="00967063" w:rsidRDefault="001905B0" w:rsidP="001905B0">
      <w:pPr>
        <w:spacing w:line="480" w:lineRule="auto"/>
        <w:ind w:firstLine="708"/>
        <w:jc w:val="both"/>
        <w:rPr>
          <w:rFonts w:ascii="Times New Roman" w:hAnsi="Times New Roman" w:cs="Times New Roman"/>
          <w:iCs/>
          <w:sz w:val="24"/>
          <w:szCs w:val="24"/>
          <w:lang w:val="fr"/>
        </w:rPr>
      </w:pPr>
      <w:r w:rsidRPr="00967063">
        <w:rPr>
          <w:rFonts w:ascii="Times New Roman" w:eastAsia="Times New Roman" w:hAnsi="Times New Roman" w:cs="Times New Roman"/>
          <w:iCs/>
          <w:sz w:val="24"/>
          <w:szCs w:val="24"/>
          <w:lang w:val="fr" w:eastAsia="fr-CA"/>
        </w:rPr>
        <w:t xml:space="preserve">De là vient notre question de recherche : dans quelle mesure </w:t>
      </w:r>
      <w:r w:rsidRPr="00967063">
        <w:rPr>
          <w:rFonts w:ascii="Times New Roman" w:hAnsi="Times New Roman" w:cs="Times New Roman"/>
          <w:iCs/>
          <w:sz w:val="24"/>
          <w:szCs w:val="24"/>
          <w:lang w:val="fr"/>
        </w:rPr>
        <w:t>l’</w:t>
      </w:r>
      <w:r w:rsidR="000865EC">
        <w:rPr>
          <w:rFonts w:ascii="Times New Roman" w:hAnsi="Times New Roman" w:cs="Times New Roman"/>
          <w:iCs/>
          <w:sz w:val="24"/>
          <w:szCs w:val="24"/>
          <w:lang w:val="fr"/>
        </w:rPr>
        <w:t>é</w:t>
      </w:r>
      <w:r w:rsidRPr="00967063">
        <w:rPr>
          <w:rFonts w:ascii="Times New Roman" w:hAnsi="Times New Roman" w:cs="Times New Roman"/>
          <w:iCs/>
          <w:sz w:val="24"/>
          <w:szCs w:val="24"/>
          <w:lang w:val="fr"/>
        </w:rPr>
        <w:t xml:space="preserve">thique reconstructive de Jean-Marc Ferry peut-elle contribuer au travail de la CVR </w:t>
      </w:r>
      <w:r>
        <w:rPr>
          <w:rFonts w:ascii="Times New Roman" w:hAnsi="Times New Roman" w:cs="Times New Roman"/>
          <w:iCs/>
          <w:sz w:val="24"/>
          <w:szCs w:val="24"/>
          <w:lang w:val="fr"/>
        </w:rPr>
        <w:t xml:space="preserve">d’une part et </w:t>
      </w:r>
      <w:r w:rsidRPr="00967063">
        <w:rPr>
          <w:rFonts w:ascii="Times New Roman" w:hAnsi="Times New Roman" w:cs="Times New Roman"/>
          <w:iCs/>
          <w:sz w:val="24"/>
          <w:szCs w:val="24"/>
          <w:lang w:val="fr"/>
        </w:rPr>
        <w:t>à la levée des blocages institutionnels en vue de la réconciliation au Burundi </w:t>
      </w:r>
      <w:r>
        <w:rPr>
          <w:rFonts w:ascii="Times New Roman" w:hAnsi="Times New Roman" w:cs="Times New Roman"/>
          <w:iCs/>
          <w:sz w:val="24"/>
          <w:szCs w:val="24"/>
          <w:lang w:val="fr"/>
        </w:rPr>
        <w:t>d’autre part</w:t>
      </w:r>
      <w:r w:rsidRPr="00967063">
        <w:rPr>
          <w:rFonts w:ascii="Times New Roman" w:hAnsi="Times New Roman" w:cs="Times New Roman"/>
          <w:iCs/>
          <w:sz w:val="24"/>
          <w:szCs w:val="24"/>
          <w:lang w:val="fr"/>
        </w:rPr>
        <w:t xml:space="preserve">? </w:t>
      </w:r>
      <w:r>
        <w:rPr>
          <w:rFonts w:ascii="Times New Roman" w:hAnsi="Times New Roman" w:cs="Times New Roman"/>
          <w:iCs/>
          <w:sz w:val="24"/>
          <w:szCs w:val="24"/>
          <w:lang w:val="fr"/>
        </w:rPr>
        <w:t>Notre</w:t>
      </w:r>
      <w:r w:rsidRPr="00967063">
        <w:rPr>
          <w:rFonts w:ascii="Times New Roman" w:hAnsi="Times New Roman" w:cs="Times New Roman"/>
          <w:iCs/>
          <w:sz w:val="24"/>
          <w:szCs w:val="24"/>
          <w:lang w:val="fr"/>
        </w:rPr>
        <w:t xml:space="preserve"> pari</w:t>
      </w:r>
      <w:r>
        <w:rPr>
          <w:rFonts w:ascii="Times New Roman" w:hAnsi="Times New Roman" w:cs="Times New Roman"/>
          <w:iCs/>
          <w:sz w:val="24"/>
          <w:szCs w:val="24"/>
          <w:lang w:val="fr"/>
        </w:rPr>
        <w:t xml:space="preserve"> est</w:t>
      </w:r>
      <w:r w:rsidRPr="00967063">
        <w:rPr>
          <w:rFonts w:ascii="Times New Roman" w:hAnsi="Times New Roman" w:cs="Times New Roman"/>
          <w:iCs/>
          <w:sz w:val="24"/>
          <w:szCs w:val="24"/>
          <w:lang w:val="fr"/>
        </w:rPr>
        <w:t xml:space="preserve"> que la CVR peut rejoindre les processus</w:t>
      </w:r>
      <w:r w:rsidR="000865EC">
        <w:rPr>
          <w:rFonts w:ascii="Times New Roman" w:hAnsi="Times New Roman" w:cs="Times New Roman"/>
          <w:iCs/>
          <w:sz w:val="24"/>
          <w:szCs w:val="24"/>
          <w:lang w:val="fr"/>
        </w:rPr>
        <w:t xml:space="preserve"> en</w:t>
      </w:r>
      <w:r w:rsidRPr="00967063">
        <w:rPr>
          <w:rFonts w:ascii="Times New Roman" w:hAnsi="Times New Roman" w:cs="Times New Roman"/>
          <w:iCs/>
          <w:sz w:val="24"/>
          <w:szCs w:val="24"/>
          <w:lang w:val="fr"/>
        </w:rPr>
        <w:t xml:space="preserve"> cours à condition de s’appuyer sur un cadre éthique approprié aux contextes de crise. Or l’éthique reconstructive de Ferry en est un. En s’appuyant sur ce cadre, la CVR non seulement peut faire accéder au savoir tragique</w:t>
      </w:r>
      <w:r>
        <w:rPr>
          <w:rFonts w:ascii="Times New Roman" w:hAnsi="Times New Roman" w:cs="Times New Roman"/>
          <w:iCs/>
          <w:sz w:val="24"/>
          <w:szCs w:val="24"/>
          <w:lang w:val="fr"/>
        </w:rPr>
        <w:t xml:space="preserve"> aussi bien</w:t>
      </w:r>
      <w:r w:rsidRPr="00967063">
        <w:rPr>
          <w:rFonts w:ascii="Times New Roman" w:hAnsi="Times New Roman" w:cs="Times New Roman"/>
          <w:iCs/>
          <w:sz w:val="24"/>
          <w:szCs w:val="24"/>
          <w:lang w:val="fr"/>
        </w:rPr>
        <w:t xml:space="preserve"> les acteurs </w:t>
      </w:r>
      <w:r>
        <w:rPr>
          <w:rFonts w:ascii="Times New Roman" w:hAnsi="Times New Roman" w:cs="Times New Roman"/>
          <w:iCs/>
          <w:sz w:val="24"/>
          <w:szCs w:val="24"/>
          <w:lang w:val="fr"/>
        </w:rPr>
        <w:t>que</w:t>
      </w:r>
      <w:r w:rsidRPr="00967063">
        <w:rPr>
          <w:rFonts w:ascii="Times New Roman" w:hAnsi="Times New Roman" w:cs="Times New Roman"/>
          <w:iCs/>
          <w:sz w:val="24"/>
          <w:szCs w:val="24"/>
          <w:lang w:val="fr"/>
        </w:rPr>
        <w:t xml:space="preserve"> les spectateurs du processus Burundais, mais aussi </w:t>
      </w:r>
      <w:r>
        <w:rPr>
          <w:rFonts w:ascii="Times New Roman" w:hAnsi="Times New Roman" w:cs="Times New Roman"/>
          <w:iCs/>
          <w:sz w:val="24"/>
          <w:szCs w:val="24"/>
          <w:lang w:val="fr"/>
        </w:rPr>
        <w:t xml:space="preserve">elle peut </w:t>
      </w:r>
      <w:r w:rsidRPr="00967063">
        <w:rPr>
          <w:rFonts w:ascii="Times New Roman" w:hAnsi="Times New Roman" w:cs="Times New Roman"/>
          <w:iCs/>
          <w:sz w:val="24"/>
          <w:szCs w:val="24"/>
          <w:lang w:val="fr"/>
        </w:rPr>
        <w:t xml:space="preserve">aider à faire apparaître un monde commun </w:t>
      </w:r>
      <w:r>
        <w:rPr>
          <w:rFonts w:ascii="Times New Roman" w:hAnsi="Times New Roman" w:cs="Times New Roman"/>
          <w:iCs/>
          <w:sz w:val="24"/>
          <w:szCs w:val="24"/>
          <w:lang w:val="fr"/>
        </w:rPr>
        <w:t xml:space="preserve">fait sans cesse </w:t>
      </w:r>
      <w:r w:rsidRPr="00967063">
        <w:rPr>
          <w:rFonts w:ascii="Times New Roman" w:hAnsi="Times New Roman" w:cs="Times New Roman"/>
          <w:iCs/>
          <w:sz w:val="24"/>
          <w:szCs w:val="24"/>
          <w:lang w:val="fr"/>
        </w:rPr>
        <w:t>de lutte</w:t>
      </w:r>
      <w:r>
        <w:rPr>
          <w:rFonts w:ascii="Times New Roman" w:hAnsi="Times New Roman" w:cs="Times New Roman"/>
          <w:iCs/>
          <w:sz w:val="24"/>
          <w:szCs w:val="24"/>
          <w:lang w:val="fr"/>
        </w:rPr>
        <w:t>s</w:t>
      </w:r>
      <w:r w:rsidRPr="00967063">
        <w:rPr>
          <w:rFonts w:ascii="Times New Roman" w:hAnsi="Times New Roman" w:cs="Times New Roman"/>
          <w:iCs/>
          <w:sz w:val="24"/>
          <w:szCs w:val="24"/>
          <w:lang w:val="fr"/>
        </w:rPr>
        <w:t xml:space="preserve"> pour empêcher que le mal politique ne gagne du terrain. Et surtout</w:t>
      </w:r>
      <w:r w:rsidR="000865EC">
        <w:rPr>
          <w:rFonts w:ascii="Times New Roman" w:hAnsi="Times New Roman" w:cs="Times New Roman"/>
          <w:iCs/>
          <w:sz w:val="24"/>
          <w:szCs w:val="24"/>
          <w:lang w:val="fr"/>
        </w:rPr>
        <w:t>,</w:t>
      </w:r>
      <w:r w:rsidRPr="00967063">
        <w:rPr>
          <w:rFonts w:ascii="Times New Roman" w:hAnsi="Times New Roman" w:cs="Times New Roman"/>
          <w:iCs/>
          <w:sz w:val="24"/>
          <w:szCs w:val="24"/>
          <w:lang w:val="fr"/>
        </w:rPr>
        <w:t xml:space="preserve"> elle peut </w:t>
      </w:r>
      <w:r w:rsidR="000865EC">
        <w:rPr>
          <w:rFonts w:ascii="Times New Roman" w:hAnsi="Times New Roman" w:cs="Times New Roman"/>
          <w:iCs/>
          <w:sz w:val="24"/>
          <w:szCs w:val="24"/>
          <w:lang w:val="fr"/>
        </w:rPr>
        <w:t>contribuer à faire</w:t>
      </w:r>
      <w:r w:rsidRPr="00967063">
        <w:rPr>
          <w:rFonts w:ascii="Times New Roman" w:hAnsi="Times New Roman" w:cs="Times New Roman"/>
          <w:iCs/>
          <w:sz w:val="24"/>
          <w:szCs w:val="24"/>
          <w:lang w:val="fr"/>
        </w:rPr>
        <w:t xml:space="preserve"> en sorte que le processus ne subisse pas la violence symbolique. </w:t>
      </w:r>
    </w:p>
    <w:p w14:paraId="2C93D860" w14:textId="0E28E2B5" w:rsidR="001905B0" w:rsidRDefault="001905B0" w:rsidP="001905B0">
      <w:pPr>
        <w:spacing w:line="480" w:lineRule="auto"/>
        <w:ind w:firstLine="708"/>
        <w:jc w:val="both"/>
        <w:rPr>
          <w:rFonts w:ascii="Times New Roman" w:hAnsi="Times New Roman" w:cs="Times New Roman"/>
          <w:sz w:val="24"/>
          <w:szCs w:val="24"/>
        </w:rPr>
      </w:pPr>
      <w:r w:rsidRPr="00967063">
        <w:rPr>
          <w:rFonts w:ascii="Times New Roman" w:hAnsi="Times New Roman" w:cs="Times New Roman"/>
          <w:sz w:val="24"/>
          <w:szCs w:val="24"/>
          <w:lang w:val="fr"/>
        </w:rPr>
        <w:t xml:space="preserve">Afin de démontrer cette hypothèse nous mettrons constamment en relation les notions-clés de l’éthique reconstructive et les aspects </w:t>
      </w:r>
      <w:r>
        <w:rPr>
          <w:rFonts w:ascii="Times New Roman" w:hAnsi="Times New Roman" w:cs="Times New Roman"/>
          <w:sz w:val="24"/>
          <w:szCs w:val="24"/>
          <w:lang w:val="fr"/>
        </w:rPr>
        <w:t xml:space="preserve">importants </w:t>
      </w:r>
      <w:r w:rsidRPr="00967063">
        <w:rPr>
          <w:rFonts w:ascii="Times New Roman" w:hAnsi="Times New Roman" w:cs="Times New Roman"/>
          <w:sz w:val="24"/>
          <w:szCs w:val="24"/>
          <w:lang w:val="fr"/>
        </w:rPr>
        <w:t>de la problématique induit</w:t>
      </w:r>
      <w:r>
        <w:rPr>
          <w:rFonts w:ascii="Times New Roman" w:hAnsi="Times New Roman" w:cs="Times New Roman"/>
          <w:sz w:val="24"/>
          <w:szCs w:val="24"/>
          <w:lang w:val="fr"/>
        </w:rPr>
        <w:t>e</w:t>
      </w:r>
      <w:r w:rsidRPr="00967063">
        <w:rPr>
          <w:rFonts w:ascii="Times New Roman" w:hAnsi="Times New Roman" w:cs="Times New Roman"/>
          <w:sz w:val="24"/>
          <w:szCs w:val="24"/>
          <w:lang w:val="fr"/>
        </w:rPr>
        <w:t xml:space="preserve"> par les circonstances de travail de la CVR. </w:t>
      </w:r>
      <w:r>
        <w:rPr>
          <w:rFonts w:ascii="Times New Roman" w:hAnsi="Times New Roman" w:cs="Times New Roman"/>
          <w:sz w:val="24"/>
          <w:szCs w:val="24"/>
          <w:lang w:val="fr"/>
        </w:rPr>
        <w:t xml:space="preserve"> </w:t>
      </w:r>
      <w:r w:rsidRPr="00967063">
        <w:rPr>
          <w:rFonts w:ascii="Times New Roman" w:hAnsi="Times New Roman" w:cs="Times New Roman"/>
          <w:sz w:val="24"/>
          <w:szCs w:val="24"/>
          <w:lang w:val="fr"/>
        </w:rPr>
        <w:t xml:space="preserve">Le présent </w:t>
      </w:r>
      <w:r w:rsidR="000865EC">
        <w:rPr>
          <w:rFonts w:ascii="Times New Roman" w:hAnsi="Times New Roman" w:cs="Times New Roman"/>
          <w:sz w:val="24"/>
          <w:szCs w:val="24"/>
          <w:lang w:val="fr"/>
        </w:rPr>
        <w:t xml:space="preserve">mémoire se </w:t>
      </w:r>
      <w:r w:rsidR="00C26D9C">
        <w:rPr>
          <w:rFonts w:ascii="Times New Roman" w:hAnsi="Times New Roman" w:cs="Times New Roman"/>
          <w:sz w:val="24"/>
          <w:szCs w:val="24"/>
          <w:lang w:val="fr"/>
        </w:rPr>
        <w:t>divise en</w:t>
      </w:r>
      <w:r w:rsidRPr="00967063">
        <w:rPr>
          <w:rFonts w:ascii="Times New Roman" w:hAnsi="Times New Roman" w:cs="Times New Roman"/>
          <w:sz w:val="24"/>
          <w:szCs w:val="24"/>
          <w:lang w:val="fr"/>
        </w:rPr>
        <w:t xml:space="preserve"> quatre chapitres. Dans le premier, nous aspirons </w:t>
      </w:r>
      <w:r w:rsidR="00C26D9C">
        <w:rPr>
          <w:rFonts w:ascii="Times New Roman" w:hAnsi="Times New Roman" w:cs="Times New Roman"/>
          <w:sz w:val="24"/>
          <w:szCs w:val="24"/>
          <w:lang w:val="fr"/>
        </w:rPr>
        <w:t xml:space="preserve">à </w:t>
      </w:r>
      <w:r w:rsidRPr="00967063">
        <w:rPr>
          <w:rFonts w:ascii="Times New Roman" w:hAnsi="Times New Roman" w:cs="Times New Roman"/>
          <w:sz w:val="24"/>
          <w:szCs w:val="24"/>
          <w:lang w:val="fr"/>
        </w:rPr>
        <w:t>décrire les aspects émergeant des circonstances de travail de la CVR</w:t>
      </w:r>
      <w:r w:rsidR="00C26D9C">
        <w:rPr>
          <w:rFonts w:ascii="Times New Roman" w:hAnsi="Times New Roman" w:cs="Times New Roman"/>
          <w:sz w:val="24"/>
          <w:szCs w:val="24"/>
          <w:lang w:val="fr"/>
        </w:rPr>
        <w:t xml:space="preserve"> en reprenant brièvement l’historique des événements et le contexte de sa mise en place</w:t>
      </w:r>
      <w:r w:rsidRPr="00967063">
        <w:rPr>
          <w:rFonts w:ascii="Times New Roman" w:hAnsi="Times New Roman" w:cs="Times New Roman"/>
          <w:sz w:val="24"/>
          <w:szCs w:val="24"/>
          <w:lang w:val="fr"/>
        </w:rPr>
        <w:t xml:space="preserve">. </w:t>
      </w:r>
      <w:r w:rsidRPr="00967063">
        <w:rPr>
          <w:rFonts w:ascii="Times New Roman" w:hAnsi="Times New Roman" w:cs="Times New Roman"/>
          <w:sz w:val="24"/>
          <w:szCs w:val="24"/>
        </w:rPr>
        <w:t xml:space="preserve">Dans </w:t>
      </w:r>
      <w:r w:rsidR="00C26D9C">
        <w:rPr>
          <w:rFonts w:ascii="Times New Roman" w:hAnsi="Times New Roman" w:cs="Times New Roman"/>
          <w:sz w:val="24"/>
          <w:szCs w:val="24"/>
        </w:rPr>
        <w:t xml:space="preserve">le </w:t>
      </w:r>
      <w:r w:rsidRPr="00967063">
        <w:rPr>
          <w:rFonts w:ascii="Times New Roman" w:hAnsi="Times New Roman" w:cs="Times New Roman"/>
          <w:sz w:val="24"/>
          <w:szCs w:val="24"/>
        </w:rPr>
        <w:t>deuxième, nous pos</w:t>
      </w:r>
      <w:r w:rsidR="00C26D9C">
        <w:rPr>
          <w:rFonts w:ascii="Times New Roman" w:hAnsi="Times New Roman" w:cs="Times New Roman"/>
          <w:sz w:val="24"/>
          <w:szCs w:val="24"/>
        </w:rPr>
        <w:t>ons</w:t>
      </w:r>
      <w:r w:rsidRPr="00967063">
        <w:rPr>
          <w:rFonts w:ascii="Times New Roman" w:hAnsi="Times New Roman" w:cs="Times New Roman"/>
          <w:sz w:val="24"/>
          <w:szCs w:val="24"/>
        </w:rPr>
        <w:t xml:space="preserve"> le cadre</w:t>
      </w:r>
      <w:r w:rsidR="00C26D9C">
        <w:rPr>
          <w:rFonts w:ascii="Times New Roman" w:hAnsi="Times New Roman" w:cs="Times New Roman"/>
          <w:sz w:val="24"/>
          <w:szCs w:val="24"/>
        </w:rPr>
        <w:t xml:space="preserve"> théorique</w:t>
      </w:r>
      <w:r w:rsidRPr="00967063">
        <w:rPr>
          <w:rFonts w:ascii="Times New Roman" w:hAnsi="Times New Roman" w:cs="Times New Roman"/>
          <w:sz w:val="24"/>
          <w:szCs w:val="24"/>
        </w:rPr>
        <w:t xml:space="preserve"> </w:t>
      </w:r>
      <w:r>
        <w:rPr>
          <w:rFonts w:ascii="Times New Roman" w:hAnsi="Times New Roman" w:cs="Times New Roman"/>
          <w:sz w:val="24"/>
          <w:szCs w:val="24"/>
        </w:rPr>
        <w:t>de l’</w:t>
      </w:r>
      <w:r w:rsidRPr="00967063">
        <w:rPr>
          <w:rFonts w:ascii="Times New Roman" w:hAnsi="Times New Roman" w:cs="Times New Roman"/>
          <w:sz w:val="24"/>
          <w:szCs w:val="24"/>
        </w:rPr>
        <w:t>éthique</w:t>
      </w:r>
      <w:r>
        <w:rPr>
          <w:rFonts w:ascii="Times New Roman" w:hAnsi="Times New Roman" w:cs="Times New Roman"/>
          <w:sz w:val="24"/>
          <w:szCs w:val="24"/>
        </w:rPr>
        <w:t xml:space="preserve"> reconstructive </w:t>
      </w:r>
      <w:r w:rsidR="00C26D9C">
        <w:rPr>
          <w:rFonts w:ascii="Times New Roman" w:hAnsi="Times New Roman" w:cs="Times New Roman"/>
          <w:sz w:val="24"/>
          <w:szCs w:val="24"/>
        </w:rPr>
        <w:t>afin d’en dégager</w:t>
      </w:r>
      <w:r w:rsidRPr="00967063">
        <w:rPr>
          <w:rFonts w:ascii="Times New Roman" w:hAnsi="Times New Roman" w:cs="Times New Roman"/>
          <w:sz w:val="24"/>
          <w:szCs w:val="24"/>
        </w:rPr>
        <w:t xml:space="preserve"> </w:t>
      </w:r>
      <w:r w:rsidR="00C26D9C">
        <w:rPr>
          <w:rFonts w:ascii="Times New Roman" w:hAnsi="Times New Roman" w:cs="Times New Roman"/>
          <w:sz w:val="24"/>
          <w:szCs w:val="24"/>
        </w:rPr>
        <w:t>l</w:t>
      </w:r>
      <w:r w:rsidRPr="00967063">
        <w:rPr>
          <w:rFonts w:ascii="Times New Roman" w:hAnsi="Times New Roman" w:cs="Times New Roman"/>
          <w:sz w:val="24"/>
          <w:szCs w:val="24"/>
        </w:rPr>
        <w:t>a pertinence</w:t>
      </w:r>
      <w:r>
        <w:rPr>
          <w:rFonts w:ascii="Times New Roman" w:hAnsi="Times New Roman" w:cs="Times New Roman"/>
          <w:sz w:val="24"/>
          <w:szCs w:val="24"/>
        </w:rPr>
        <w:t>. S</w:t>
      </w:r>
      <w:r w:rsidRPr="00967063">
        <w:rPr>
          <w:rFonts w:ascii="Times New Roman" w:hAnsi="Times New Roman" w:cs="Times New Roman"/>
          <w:sz w:val="24"/>
          <w:szCs w:val="24"/>
        </w:rPr>
        <w:t>ous cet angle, nous détermineron</w:t>
      </w:r>
      <w:r w:rsidR="00C26D9C">
        <w:rPr>
          <w:rFonts w:ascii="Times New Roman" w:hAnsi="Times New Roman" w:cs="Times New Roman"/>
          <w:sz w:val="24"/>
          <w:szCs w:val="24"/>
        </w:rPr>
        <w:t>s</w:t>
      </w:r>
      <w:r w:rsidRPr="00967063">
        <w:rPr>
          <w:rFonts w:ascii="Times New Roman" w:hAnsi="Times New Roman" w:cs="Times New Roman"/>
          <w:sz w:val="24"/>
          <w:szCs w:val="24"/>
        </w:rPr>
        <w:t xml:space="preserve"> la nature éthique du problème </w:t>
      </w:r>
      <w:r>
        <w:rPr>
          <w:rFonts w:ascii="Times New Roman" w:hAnsi="Times New Roman" w:cs="Times New Roman"/>
          <w:sz w:val="24"/>
          <w:szCs w:val="24"/>
        </w:rPr>
        <w:t>posé au</w:t>
      </w:r>
      <w:r w:rsidRPr="00967063">
        <w:rPr>
          <w:rFonts w:ascii="Times New Roman" w:hAnsi="Times New Roman" w:cs="Times New Roman"/>
          <w:sz w:val="24"/>
          <w:szCs w:val="24"/>
        </w:rPr>
        <w:t xml:space="preserve"> processus burundais</w:t>
      </w:r>
      <w:r>
        <w:rPr>
          <w:rFonts w:ascii="Times New Roman" w:hAnsi="Times New Roman" w:cs="Times New Roman"/>
          <w:sz w:val="24"/>
          <w:szCs w:val="24"/>
        </w:rPr>
        <w:t xml:space="preserve"> de vérité et réconciliation</w:t>
      </w:r>
      <w:r w:rsidRPr="00967063">
        <w:rPr>
          <w:rFonts w:ascii="Times New Roman" w:hAnsi="Times New Roman" w:cs="Times New Roman"/>
          <w:sz w:val="24"/>
          <w:szCs w:val="24"/>
        </w:rPr>
        <w:t xml:space="preserve">. Dans le troisième chapitre, nous </w:t>
      </w:r>
      <w:r w:rsidR="00C26D9C">
        <w:rPr>
          <w:rFonts w:ascii="Times New Roman" w:hAnsi="Times New Roman" w:cs="Times New Roman"/>
          <w:sz w:val="24"/>
          <w:szCs w:val="24"/>
        </w:rPr>
        <w:t>analysons</w:t>
      </w:r>
      <w:r w:rsidRPr="00967063">
        <w:rPr>
          <w:rFonts w:ascii="Times New Roman" w:hAnsi="Times New Roman" w:cs="Times New Roman"/>
          <w:sz w:val="24"/>
          <w:szCs w:val="24"/>
        </w:rPr>
        <w:t xml:space="preserve"> l’enjeu moral </w:t>
      </w:r>
      <w:r w:rsidR="00C514FF">
        <w:rPr>
          <w:rFonts w:ascii="Times New Roman" w:hAnsi="Times New Roman" w:cs="Times New Roman"/>
          <w:sz w:val="24"/>
          <w:szCs w:val="24"/>
        </w:rPr>
        <w:t xml:space="preserve">de </w:t>
      </w:r>
      <w:r>
        <w:rPr>
          <w:rFonts w:ascii="Times New Roman" w:hAnsi="Times New Roman" w:cs="Times New Roman"/>
          <w:sz w:val="24"/>
          <w:szCs w:val="24"/>
        </w:rPr>
        <w:t>ce processus</w:t>
      </w:r>
      <w:r w:rsidRPr="00967063">
        <w:rPr>
          <w:rFonts w:ascii="Times New Roman" w:hAnsi="Times New Roman" w:cs="Times New Roman"/>
          <w:sz w:val="24"/>
          <w:szCs w:val="24"/>
        </w:rPr>
        <w:t xml:space="preserve">. </w:t>
      </w:r>
      <w:r>
        <w:rPr>
          <w:rFonts w:ascii="Times New Roman" w:hAnsi="Times New Roman" w:cs="Times New Roman"/>
          <w:sz w:val="24"/>
          <w:szCs w:val="24"/>
        </w:rPr>
        <w:t>Le</w:t>
      </w:r>
      <w:r w:rsidRPr="00967063">
        <w:rPr>
          <w:rFonts w:ascii="Times New Roman" w:hAnsi="Times New Roman" w:cs="Times New Roman"/>
          <w:sz w:val="24"/>
          <w:szCs w:val="24"/>
        </w:rPr>
        <w:t xml:space="preserve"> dernier chapitre</w:t>
      </w:r>
      <w:r>
        <w:rPr>
          <w:rFonts w:ascii="Times New Roman" w:hAnsi="Times New Roman" w:cs="Times New Roman"/>
          <w:sz w:val="24"/>
          <w:szCs w:val="24"/>
        </w:rPr>
        <w:t xml:space="preserve"> sera consacré </w:t>
      </w:r>
      <w:r w:rsidR="00392F02">
        <w:rPr>
          <w:rFonts w:ascii="Times New Roman" w:hAnsi="Times New Roman" w:cs="Times New Roman"/>
          <w:sz w:val="24"/>
          <w:szCs w:val="24"/>
        </w:rPr>
        <w:t xml:space="preserve">à </w:t>
      </w:r>
      <w:r w:rsidRPr="00967063">
        <w:rPr>
          <w:rFonts w:ascii="Times New Roman" w:hAnsi="Times New Roman" w:cs="Times New Roman"/>
          <w:sz w:val="24"/>
          <w:szCs w:val="24"/>
        </w:rPr>
        <w:t xml:space="preserve">notre position </w:t>
      </w:r>
      <w:r>
        <w:rPr>
          <w:rFonts w:ascii="Times New Roman" w:hAnsi="Times New Roman" w:cs="Times New Roman"/>
          <w:sz w:val="24"/>
          <w:szCs w:val="24"/>
        </w:rPr>
        <w:t xml:space="preserve">et notre réponse </w:t>
      </w:r>
      <w:r w:rsidRPr="00967063">
        <w:rPr>
          <w:rFonts w:ascii="Times New Roman" w:hAnsi="Times New Roman" w:cs="Times New Roman"/>
          <w:sz w:val="24"/>
          <w:szCs w:val="24"/>
        </w:rPr>
        <w:t xml:space="preserve">à </w:t>
      </w:r>
      <w:r>
        <w:rPr>
          <w:rFonts w:ascii="Times New Roman" w:hAnsi="Times New Roman" w:cs="Times New Roman"/>
          <w:sz w:val="24"/>
          <w:szCs w:val="24"/>
        </w:rPr>
        <w:t>la</w:t>
      </w:r>
      <w:r w:rsidRPr="00967063">
        <w:rPr>
          <w:rFonts w:ascii="Times New Roman" w:hAnsi="Times New Roman" w:cs="Times New Roman"/>
          <w:sz w:val="24"/>
          <w:szCs w:val="24"/>
        </w:rPr>
        <w:t xml:space="preserve"> question de recherche. </w:t>
      </w:r>
    </w:p>
    <w:p w14:paraId="3EE09DB6" w14:textId="77777777" w:rsidR="001905B0" w:rsidRPr="00967063" w:rsidRDefault="001905B0" w:rsidP="001905B0">
      <w:pPr>
        <w:rPr>
          <w:rFonts w:ascii="Times New Roman" w:hAnsi="Times New Roman" w:cs="Times New Roman"/>
          <w:sz w:val="24"/>
          <w:szCs w:val="24"/>
        </w:rPr>
      </w:pPr>
      <w:r>
        <w:rPr>
          <w:rFonts w:ascii="Times New Roman" w:hAnsi="Times New Roman" w:cs="Times New Roman"/>
          <w:sz w:val="24"/>
          <w:szCs w:val="24"/>
        </w:rPr>
        <w:br w:type="page"/>
      </w:r>
    </w:p>
    <w:p w14:paraId="4A0F29DB" w14:textId="77777777" w:rsidR="001905B0" w:rsidRPr="00967063" w:rsidRDefault="001905B0" w:rsidP="001905B0">
      <w:pPr>
        <w:pStyle w:val="Heading1"/>
        <w:rPr>
          <w:sz w:val="24"/>
          <w:szCs w:val="24"/>
        </w:rPr>
      </w:pPr>
      <w:bookmarkStart w:id="8" w:name="_Toc536771108"/>
      <w:bookmarkStart w:id="9" w:name="_Toc3637607"/>
      <w:bookmarkStart w:id="10" w:name="_Toc6239805"/>
      <w:r w:rsidRPr="00967063">
        <w:rPr>
          <w:sz w:val="24"/>
          <w:szCs w:val="24"/>
        </w:rPr>
        <w:t>Chapitre I : Contexte du processus de vérité et de la réconciliation au Burundi</w:t>
      </w:r>
      <w:bookmarkEnd w:id="8"/>
      <w:bookmarkEnd w:id="9"/>
      <w:bookmarkEnd w:id="10"/>
      <w:r w:rsidRPr="00967063">
        <w:rPr>
          <w:sz w:val="24"/>
          <w:szCs w:val="24"/>
        </w:rPr>
        <w:t xml:space="preserve"> </w:t>
      </w:r>
    </w:p>
    <w:p w14:paraId="42C58F20" w14:textId="77777777" w:rsidR="001905B0" w:rsidRPr="00967063" w:rsidRDefault="001905B0" w:rsidP="001905B0">
      <w:pPr>
        <w:spacing w:line="480" w:lineRule="auto"/>
        <w:ind w:firstLine="708"/>
        <w:jc w:val="both"/>
        <w:rPr>
          <w:rFonts w:ascii="Times New Roman" w:hAnsi="Times New Roman" w:cs="Times New Roman"/>
          <w:sz w:val="24"/>
          <w:szCs w:val="24"/>
        </w:rPr>
      </w:pPr>
      <w:r w:rsidRPr="00967063">
        <w:rPr>
          <w:rFonts w:ascii="Times New Roman" w:hAnsi="Times New Roman" w:cs="Times New Roman"/>
          <w:sz w:val="24"/>
          <w:szCs w:val="24"/>
        </w:rPr>
        <w:t>Le but de ce premier chapitre est de mettre en lumière quatre éléments importants</w:t>
      </w:r>
      <w:r w:rsidRPr="00967063">
        <w:rPr>
          <w:rStyle w:val="FootnoteReference"/>
          <w:rFonts w:ascii="Times New Roman" w:hAnsi="Times New Roman" w:cs="Times New Roman"/>
          <w:sz w:val="24"/>
          <w:szCs w:val="24"/>
        </w:rPr>
        <w:footnoteReference w:id="13"/>
      </w:r>
      <w:r w:rsidRPr="00967063">
        <w:rPr>
          <w:rFonts w:ascii="Times New Roman" w:hAnsi="Times New Roman" w:cs="Times New Roman"/>
          <w:sz w:val="24"/>
          <w:szCs w:val="24"/>
        </w:rPr>
        <w:t xml:space="preserve"> du contexte de travail de la CVR au Burundi : (1) des mémoires rivales et une sorte de lutte à mort entre deux groupes, (2) un accord de paix et des accords de cessez-le-feu signés sous le poids de la région, (3) une CVR mise en place difficilement et sans pouvoir judiciaire et (4) enfin, une commission dont le premier bilan de travail est jugé purement préparatoire.  </w:t>
      </w:r>
    </w:p>
    <w:p w14:paraId="30108CED" w14:textId="77777777" w:rsidR="001905B0" w:rsidRPr="00967063" w:rsidRDefault="001905B0" w:rsidP="001905B0">
      <w:pPr>
        <w:pStyle w:val="Heading2"/>
        <w:numPr>
          <w:ilvl w:val="0"/>
          <w:numId w:val="15"/>
        </w:numPr>
        <w:rPr>
          <w:rFonts w:ascii="Times New Roman" w:hAnsi="Times New Roman" w:cs="Times New Roman"/>
          <w:b w:val="0"/>
          <w:color w:val="auto"/>
          <w:sz w:val="24"/>
          <w:szCs w:val="24"/>
        </w:rPr>
      </w:pPr>
      <w:bookmarkStart w:id="11" w:name="_Toc536771109"/>
      <w:bookmarkStart w:id="12" w:name="_Toc3637608"/>
      <w:bookmarkStart w:id="13" w:name="_Toc6239806"/>
      <w:r w:rsidRPr="00967063">
        <w:rPr>
          <w:rFonts w:ascii="Times New Roman" w:hAnsi="Times New Roman" w:cs="Times New Roman"/>
          <w:color w:val="auto"/>
          <w:sz w:val="24"/>
          <w:szCs w:val="24"/>
        </w:rPr>
        <w:t>Une histoire de mémoires rivales et d’hostilité entre deux groupes</w:t>
      </w:r>
      <w:bookmarkEnd w:id="11"/>
      <w:bookmarkEnd w:id="12"/>
      <w:bookmarkEnd w:id="13"/>
    </w:p>
    <w:p w14:paraId="05FB32D3" w14:textId="77777777" w:rsidR="001905B0" w:rsidRPr="00967063" w:rsidRDefault="001905B0" w:rsidP="001905B0">
      <w:pPr>
        <w:rPr>
          <w:rFonts w:ascii="Times New Roman" w:hAnsi="Times New Roman" w:cs="Times New Roman"/>
          <w:sz w:val="24"/>
          <w:szCs w:val="24"/>
        </w:rPr>
      </w:pPr>
    </w:p>
    <w:p w14:paraId="10D96A26" w14:textId="77777777" w:rsidR="001905B0" w:rsidRPr="00967063" w:rsidRDefault="001905B0" w:rsidP="001905B0">
      <w:pPr>
        <w:spacing w:line="480" w:lineRule="auto"/>
        <w:ind w:firstLine="360"/>
        <w:jc w:val="both"/>
        <w:rPr>
          <w:rFonts w:ascii="Times New Roman" w:hAnsi="Times New Roman" w:cs="Times New Roman"/>
          <w:sz w:val="24"/>
          <w:szCs w:val="24"/>
        </w:rPr>
      </w:pPr>
      <w:r w:rsidRPr="00967063">
        <w:rPr>
          <w:rFonts w:ascii="Times New Roman" w:hAnsi="Times New Roman" w:cs="Times New Roman"/>
          <w:sz w:val="24"/>
          <w:szCs w:val="24"/>
        </w:rPr>
        <w:t xml:space="preserve">De 1903 à 1916, le royaume du Burundi est colonisé par l’Allemagne.  À parti de 1916 jusqu’à l’indépendance en 1962, le royaume passe sous mandat belge. Moins d’une année avant l’indépendance (1961), c’est le coup de théâtre : le Prince Louis Rwagasore, premier ministre et président de l’Union pour le progrès national (Uprona) - parti qui a gagné les élections de l’indépendance - est assassiné. </w:t>
      </w:r>
    </w:p>
    <w:p w14:paraId="7FC9EEB2" w14:textId="6D85213A" w:rsidR="001905B0" w:rsidRPr="00967063" w:rsidRDefault="001905B0" w:rsidP="001905B0">
      <w:pPr>
        <w:spacing w:line="480" w:lineRule="auto"/>
        <w:ind w:firstLine="360"/>
        <w:jc w:val="both"/>
        <w:rPr>
          <w:rFonts w:ascii="Times New Roman" w:hAnsi="Times New Roman" w:cs="Times New Roman"/>
          <w:sz w:val="24"/>
          <w:szCs w:val="24"/>
        </w:rPr>
      </w:pPr>
      <w:r w:rsidRPr="00967063">
        <w:rPr>
          <w:rFonts w:ascii="Times New Roman" w:hAnsi="Times New Roman" w:cs="Times New Roman"/>
          <w:sz w:val="24"/>
          <w:szCs w:val="24"/>
        </w:rPr>
        <w:t>Commence alors une histoire d’hostilité et de déchirure dans les relations entre les deux groupes. En effet, dès les premières années de l’indépendance, l’Uprona se divise en deux camps : d’un côté des Hutus (dit démographiquement majoritaires</w:t>
      </w:r>
      <w:r w:rsidRPr="00967063">
        <w:rPr>
          <w:rStyle w:val="FootnoteReference"/>
          <w:rFonts w:ascii="Times New Roman" w:hAnsi="Times New Roman" w:cs="Times New Roman"/>
          <w:sz w:val="24"/>
          <w:szCs w:val="24"/>
        </w:rPr>
        <w:footnoteReference w:id="14"/>
      </w:r>
      <w:r w:rsidRPr="00967063">
        <w:rPr>
          <w:rFonts w:ascii="Times New Roman" w:hAnsi="Times New Roman" w:cs="Times New Roman"/>
          <w:sz w:val="24"/>
          <w:szCs w:val="24"/>
        </w:rPr>
        <w:t>) et de l’autre, des Tutsis (dit démographiquement minoritaires)</w:t>
      </w:r>
      <w:r w:rsidRPr="00967063">
        <w:rPr>
          <w:rStyle w:val="FootnoteReference"/>
          <w:rFonts w:ascii="Times New Roman" w:hAnsi="Times New Roman" w:cs="Times New Roman"/>
          <w:sz w:val="24"/>
          <w:szCs w:val="24"/>
        </w:rPr>
        <w:footnoteReference w:id="15"/>
      </w:r>
      <w:r w:rsidRPr="00967063">
        <w:rPr>
          <w:rFonts w:ascii="Times New Roman" w:hAnsi="Times New Roman" w:cs="Times New Roman"/>
          <w:sz w:val="24"/>
          <w:szCs w:val="24"/>
        </w:rPr>
        <w:t>. Trois ans plus tard, en 1965, des gendarmes et militaires hutus tentent un coup d’État. La tentative s’accompagne de massacres de Tutsi</w:t>
      </w:r>
      <w:r w:rsidR="002808E2">
        <w:rPr>
          <w:rFonts w:ascii="Times New Roman" w:hAnsi="Times New Roman" w:cs="Times New Roman"/>
          <w:sz w:val="24"/>
          <w:szCs w:val="24"/>
        </w:rPr>
        <w:t>s</w:t>
      </w:r>
      <w:r w:rsidRPr="00967063">
        <w:rPr>
          <w:rFonts w:ascii="Times New Roman" w:hAnsi="Times New Roman" w:cs="Times New Roman"/>
          <w:sz w:val="24"/>
          <w:szCs w:val="24"/>
        </w:rPr>
        <w:t xml:space="preserve"> au centre du pays, en province Muramvya. En réaction, une répression est organisée.  Elle est menée contre l’élite politique et civile hutu</w:t>
      </w:r>
      <w:r w:rsidR="002808E2">
        <w:rPr>
          <w:rFonts w:ascii="Times New Roman" w:hAnsi="Times New Roman" w:cs="Times New Roman"/>
          <w:sz w:val="24"/>
          <w:szCs w:val="24"/>
        </w:rPr>
        <w:t>e</w:t>
      </w:r>
      <w:r w:rsidRPr="00967063">
        <w:rPr>
          <w:rFonts w:ascii="Times New Roman" w:hAnsi="Times New Roman" w:cs="Times New Roman"/>
          <w:sz w:val="24"/>
          <w:szCs w:val="24"/>
        </w:rPr>
        <w:t xml:space="preserve"> accusée de soutenir le putsch. </w:t>
      </w:r>
    </w:p>
    <w:p w14:paraId="00D71A07" w14:textId="77777777" w:rsidR="001905B0" w:rsidRPr="00967063" w:rsidRDefault="001905B0" w:rsidP="001905B0">
      <w:pPr>
        <w:spacing w:line="480" w:lineRule="auto"/>
        <w:ind w:firstLine="360"/>
        <w:jc w:val="both"/>
        <w:rPr>
          <w:rFonts w:ascii="Times New Roman" w:hAnsi="Times New Roman" w:cs="Times New Roman"/>
          <w:sz w:val="24"/>
          <w:szCs w:val="24"/>
        </w:rPr>
      </w:pPr>
      <w:r w:rsidRPr="00967063">
        <w:rPr>
          <w:rFonts w:ascii="Times New Roman" w:hAnsi="Times New Roman" w:cs="Times New Roman"/>
          <w:sz w:val="24"/>
          <w:szCs w:val="24"/>
        </w:rPr>
        <w:t xml:space="preserve">En 1966, le roi est destitué par un militaire tutsi, Michel Micombero. Ce dernier abolit la monarchie et instaure la république. À partir de ce moment jusqu’en 1993, le pays est géré sous un régime à parti unique. Certains diront que le pouvoir (politique et économique) est aux mains d’une élite tutsie provenant du sud du pays. Ils soulignent également le fait que deux militaires tutsis, de la même région et de la même commune, Jean-Baptiste Bagaza et Pierre Buyoya, accèdent au pouvoir à travers un coup d’État, respectivement en 1976 et 1987. </w:t>
      </w:r>
    </w:p>
    <w:p w14:paraId="570E3FA8" w14:textId="77777777" w:rsidR="001905B0" w:rsidRPr="00967063" w:rsidRDefault="001905B0" w:rsidP="001905B0">
      <w:pPr>
        <w:spacing w:line="480" w:lineRule="auto"/>
        <w:ind w:firstLine="360"/>
        <w:jc w:val="both"/>
        <w:rPr>
          <w:rFonts w:ascii="Times New Roman" w:hAnsi="Times New Roman" w:cs="Times New Roman"/>
          <w:sz w:val="24"/>
          <w:szCs w:val="24"/>
        </w:rPr>
      </w:pPr>
      <w:r w:rsidRPr="00967063">
        <w:rPr>
          <w:rFonts w:ascii="Times New Roman" w:hAnsi="Times New Roman" w:cs="Times New Roman"/>
          <w:sz w:val="24"/>
          <w:szCs w:val="24"/>
        </w:rPr>
        <w:t>En tous les cas, il semble admis que le conflit durant cette période prenne la forme d’un conflit</w:t>
      </w:r>
      <w:r w:rsidRPr="00967063">
        <w:rPr>
          <w:rFonts w:ascii="Times New Roman" w:hAnsi="Times New Roman" w:cs="Times New Roman"/>
          <w:i/>
          <w:sz w:val="24"/>
          <w:szCs w:val="24"/>
        </w:rPr>
        <w:t xml:space="preserve"> profondément enraciné</w:t>
      </w:r>
      <w:r w:rsidRPr="00967063">
        <w:rPr>
          <w:rStyle w:val="FootnoteReference"/>
          <w:rFonts w:ascii="Times New Roman" w:hAnsi="Times New Roman" w:cs="Times New Roman"/>
          <w:sz w:val="24"/>
          <w:szCs w:val="24"/>
        </w:rPr>
        <w:footnoteReference w:id="16"/>
      </w:r>
      <w:r w:rsidRPr="00967063">
        <w:rPr>
          <w:rFonts w:ascii="Times New Roman" w:hAnsi="Times New Roman" w:cs="Times New Roman"/>
          <w:sz w:val="24"/>
          <w:szCs w:val="24"/>
        </w:rPr>
        <w:t>. Autant dire que 1972 est la date de l’éruption la plus violente. Selon Stef Vandeginste, tout commence avec l’insurrection de rebelles hutus, le 29 avril. Ils massacrent plusieurs Tutsis dans le sud du pays, notamment dans la petite ville de Rumonge. En réaction, le régime en place de Micombero organise une répression féroce. Elle est menée contre des civils hutus et plusieurs d’entre eux partent en exil : dans les camps en Tanzanie et dans d’autres pays du monde. Le souvenir des évènements de 1972 alimente, aujourd’hui encore, l’antipathie mutuelle et le ressentiment.  D’un côté comme de l’autre en effet, nous y reviendrons.</w:t>
      </w:r>
    </w:p>
    <w:p w14:paraId="58ACE3F3" w14:textId="77777777" w:rsidR="001905B0" w:rsidRPr="00967063" w:rsidRDefault="001905B0" w:rsidP="001905B0">
      <w:pPr>
        <w:spacing w:line="480" w:lineRule="auto"/>
        <w:ind w:firstLine="360"/>
        <w:jc w:val="both"/>
        <w:rPr>
          <w:rFonts w:ascii="Times New Roman" w:hAnsi="Times New Roman" w:cs="Times New Roman"/>
          <w:sz w:val="24"/>
          <w:szCs w:val="24"/>
        </w:rPr>
      </w:pPr>
      <w:r w:rsidRPr="00967063">
        <w:rPr>
          <w:rFonts w:ascii="Times New Roman" w:hAnsi="Times New Roman" w:cs="Times New Roman"/>
          <w:sz w:val="24"/>
          <w:szCs w:val="24"/>
        </w:rPr>
        <w:t xml:space="preserve">En 1988, une année après la prise du pouvoir par le Président Pierre Buyoya, la même scène est rejouée. Des massacres de Tutsis au nord du pays (communes Ntega et Marangara) sont suivis par une répression par l’armée. Cette fois-ci, souligne Stef Vandeginste, la réaction internationale (médias, organisations des droits de l’homme et bailleurs de fonds) limite les dégâts et force la marche vers la libéralisation politique et la démocratisation des institutions politiques. </w:t>
      </w:r>
    </w:p>
    <w:p w14:paraId="7BB1D75C" w14:textId="16255FD5" w:rsidR="001905B0" w:rsidRPr="00967063" w:rsidRDefault="001905B0" w:rsidP="001905B0">
      <w:pPr>
        <w:spacing w:line="480" w:lineRule="auto"/>
        <w:ind w:firstLine="360"/>
        <w:jc w:val="both"/>
        <w:rPr>
          <w:rFonts w:ascii="Times New Roman" w:hAnsi="Times New Roman" w:cs="Times New Roman"/>
          <w:sz w:val="24"/>
          <w:szCs w:val="24"/>
        </w:rPr>
      </w:pPr>
      <w:r w:rsidRPr="00967063">
        <w:rPr>
          <w:rFonts w:ascii="Times New Roman" w:hAnsi="Times New Roman" w:cs="Times New Roman"/>
          <w:sz w:val="24"/>
          <w:szCs w:val="24"/>
        </w:rPr>
        <w:t>La nouvelle dynamique mène, malgré de nouveaux massacres de Tutsis (1991) et une répression de Hutus, à l’adoption d’une Charte de l’unité nationale (en février 1991). Une nouvelle constitution est adoptée en mars 1992 qui introduit un système de multipartisme. Elle ouvre le terrain pour les élections de juin 1993. Celles-ci sont gagnées par le Front pour la démocratie au Burundi (Frodebu), parti de Hutu</w:t>
      </w:r>
      <w:r w:rsidR="00D557C0">
        <w:rPr>
          <w:rFonts w:ascii="Times New Roman" w:hAnsi="Times New Roman" w:cs="Times New Roman"/>
          <w:sz w:val="24"/>
          <w:szCs w:val="24"/>
        </w:rPr>
        <w:t>s</w:t>
      </w:r>
      <w:r w:rsidRPr="00967063">
        <w:rPr>
          <w:rFonts w:ascii="Times New Roman" w:hAnsi="Times New Roman" w:cs="Times New Roman"/>
          <w:sz w:val="24"/>
          <w:szCs w:val="24"/>
        </w:rPr>
        <w:t xml:space="preserve"> essentiellement, mais pas exclusivement. Melchior Ndadaye, Hutu ayant évolué au Rwanda, est élu président de la République. </w:t>
      </w:r>
    </w:p>
    <w:p w14:paraId="709FEED0" w14:textId="77777777" w:rsidR="001905B0" w:rsidRPr="00967063" w:rsidRDefault="001905B0" w:rsidP="001905B0">
      <w:pPr>
        <w:spacing w:line="480" w:lineRule="auto"/>
        <w:ind w:firstLine="360"/>
        <w:jc w:val="both"/>
        <w:rPr>
          <w:rFonts w:ascii="Times New Roman" w:hAnsi="Times New Roman" w:cs="Times New Roman"/>
          <w:sz w:val="24"/>
          <w:szCs w:val="24"/>
        </w:rPr>
      </w:pPr>
      <w:r w:rsidRPr="00967063">
        <w:rPr>
          <w:rFonts w:ascii="Times New Roman" w:hAnsi="Times New Roman" w:cs="Times New Roman"/>
          <w:sz w:val="24"/>
          <w:szCs w:val="24"/>
        </w:rPr>
        <w:t xml:space="preserve">Trois mois plus tard, Ndadaye est tué, avec d’autres dignitaires hutus, par des putschistes tutsis. S’en suivent une longue période d’instabilité politique et institutionnelle et plusieurs mois de massacres : d’abord contre la population tutsie (avec l’appui d’administrateurs locaux), puis contre la population hutue (avec l’appui d’unités militaires).  À partir de juin 1994, une rébellion hutue, CNDD-FDD, nait. Elle est créée par des anciens dirigeants du Frodebu. La guerre civile durera jusqu’en 2008, date officielle de fin de la belligérance.  </w:t>
      </w:r>
    </w:p>
    <w:p w14:paraId="42998E49" w14:textId="6A2531B6" w:rsidR="001905B0" w:rsidRPr="00967063" w:rsidRDefault="001905B0" w:rsidP="001905B0">
      <w:pPr>
        <w:spacing w:line="480" w:lineRule="auto"/>
        <w:ind w:firstLine="360"/>
        <w:jc w:val="both"/>
        <w:rPr>
          <w:rFonts w:ascii="Times New Roman" w:hAnsi="Times New Roman" w:cs="Times New Roman"/>
          <w:sz w:val="24"/>
          <w:szCs w:val="24"/>
        </w:rPr>
      </w:pPr>
      <w:r w:rsidRPr="00967063">
        <w:rPr>
          <w:rFonts w:ascii="Times New Roman" w:hAnsi="Times New Roman" w:cs="Times New Roman"/>
          <w:sz w:val="24"/>
          <w:szCs w:val="24"/>
        </w:rPr>
        <w:t>Sans nul doute, un premier élément important du contexte de la CVR est cette histoire de relations déchirées entre deux groupes et de mémoires collectives rivales qui se transmettent au ﬁl des générations</w:t>
      </w:r>
      <w:r w:rsidRPr="00967063">
        <w:rPr>
          <w:rStyle w:val="FootnoteReference"/>
          <w:rFonts w:ascii="Times New Roman" w:hAnsi="Times New Roman" w:cs="Times New Roman"/>
          <w:sz w:val="24"/>
          <w:szCs w:val="24"/>
        </w:rPr>
        <w:footnoteReference w:id="17"/>
      </w:r>
      <w:r w:rsidRPr="00967063">
        <w:rPr>
          <w:rFonts w:ascii="Times New Roman" w:hAnsi="Times New Roman" w:cs="Times New Roman"/>
          <w:sz w:val="24"/>
          <w:szCs w:val="24"/>
        </w:rPr>
        <w:t xml:space="preserve">.  Pour les Tutsis par exemple, 1972 est le fait d’une insurrection de rebelles Hutus. La même date dans la mémoire des Hutus doit être commémorée comme année de leur génocide.  Un rapport présenté à la </w:t>
      </w:r>
      <w:r w:rsidR="00D557C0">
        <w:rPr>
          <w:rFonts w:ascii="Times New Roman" w:hAnsi="Times New Roman" w:cs="Times New Roman"/>
          <w:sz w:val="24"/>
          <w:szCs w:val="24"/>
        </w:rPr>
        <w:t>C</w:t>
      </w:r>
      <w:r w:rsidRPr="00967063">
        <w:rPr>
          <w:rFonts w:ascii="Times New Roman" w:hAnsi="Times New Roman" w:cs="Times New Roman"/>
          <w:sz w:val="24"/>
          <w:szCs w:val="24"/>
        </w:rPr>
        <w:t>ommission des droits de l’homme de l’ONU, en 1985, se réfère aux massacres de Hutus en 1972 comme étant un génocide.  Plus récemment en 2006, une organisation de Hutus, AVIB 1972, a adressé une lettre au président du Sénat burundais. Elle appelle à la reconnaissance du génocide de 1972 contre les Hutus</w:t>
      </w:r>
      <w:r w:rsidRPr="00967063">
        <w:rPr>
          <w:rStyle w:val="FootnoteReference"/>
          <w:rFonts w:ascii="Times New Roman" w:hAnsi="Times New Roman" w:cs="Times New Roman"/>
          <w:sz w:val="24"/>
          <w:szCs w:val="24"/>
        </w:rPr>
        <w:footnoteReference w:id="18"/>
      </w:r>
      <w:r w:rsidRPr="00967063">
        <w:rPr>
          <w:rFonts w:ascii="Times New Roman" w:hAnsi="Times New Roman" w:cs="Times New Roman"/>
          <w:sz w:val="24"/>
          <w:szCs w:val="24"/>
        </w:rPr>
        <w:t xml:space="preserve">. </w:t>
      </w:r>
    </w:p>
    <w:p w14:paraId="17F44F94" w14:textId="2FF0F80C" w:rsidR="001905B0" w:rsidRPr="00967063" w:rsidRDefault="001905B0" w:rsidP="001905B0">
      <w:pPr>
        <w:spacing w:line="480" w:lineRule="auto"/>
        <w:ind w:firstLine="360"/>
        <w:jc w:val="both"/>
        <w:rPr>
          <w:rFonts w:ascii="Times New Roman" w:hAnsi="Times New Roman" w:cs="Times New Roman"/>
          <w:sz w:val="24"/>
          <w:szCs w:val="24"/>
        </w:rPr>
      </w:pPr>
      <w:r w:rsidRPr="00967063">
        <w:rPr>
          <w:rFonts w:ascii="Times New Roman" w:hAnsi="Times New Roman" w:cs="Times New Roman"/>
          <w:sz w:val="24"/>
          <w:szCs w:val="24"/>
        </w:rPr>
        <w:t>De même 1993, pour les Tutsis, en dépit qu’il soit d’abord le fait d’un putsch de militaires tutsis, doit être surtout commémoré comme année du génocide organisé et mis en œuvre par le Frodebu (Front pour la démocratie du Burundi). Un rapport de l’ONU (1996) atteste sans ambages que le régime du Frodebu a perpétré des « actes de génocide contre la minorité tutsie au Burundi, en octobre 1993 ». Il donne son avis qu’une «</w:t>
      </w:r>
      <w:r w:rsidR="00D557C0">
        <w:rPr>
          <w:rFonts w:ascii="Times New Roman" w:hAnsi="Times New Roman" w:cs="Times New Roman"/>
          <w:sz w:val="24"/>
          <w:szCs w:val="24"/>
        </w:rPr>
        <w:t> </w:t>
      </w:r>
      <w:r w:rsidRPr="00967063">
        <w:rPr>
          <w:rFonts w:ascii="Times New Roman" w:hAnsi="Times New Roman" w:cs="Times New Roman"/>
          <w:sz w:val="24"/>
          <w:szCs w:val="24"/>
        </w:rPr>
        <w:t>compétence internationale doit s'exercer à l'égard de ces actes »</w:t>
      </w:r>
      <w:r w:rsidRPr="00967063">
        <w:rPr>
          <w:rStyle w:val="FootnoteReference"/>
          <w:rFonts w:ascii="Times New Roman" w:hAnsi="Times New Roman" w:cs="Times New Roman"/>
          <w:sz w:val="24"/>
          <w:szCs w:val="24"/>
        </w:rPr>
        <w:footnoteReference w:id="19"/>
      </w:r>
      <w:r w:rsidRPr="00967063">
        <w:rPr>
          <w:rFonts w:ascii="Times New Roman" w:hAnsi="Times New Roman" w:cs="Times New Roman"/>
          <w:sz w:val="24"/>
          <w:szCs w:val="24"/>
        </w:rPr>
        <w:t xml:space="preserve">. Voilà donc l’histoire d’une lutte à mort pour la reconnaissance.  Elle est très présente tout au long du processus de paix. </w:t>
      </w:r>
    </w:p>
    <w:p w14:paraId="129D9811" w14:textId="77777777" w:rsidR="001905B0" w:rsidRPr="00967063" w:rsidRDefault="001905B0" w:rsidP="001905B0">
      <w:pPr>
        <w:pStyle w:val="Heading2"/>
        <w:numPr>
          <w:ilvl w:val="0"/>
          <w:numId w:val="15"/>
        </w:numPr>
        <w:rPr>
          <w:rFonts w:ascii="Times New Roman" w:hAnsi="Times New Roman" w:cs="Times New Roman"/>
          <w:b w:val="0"/>
          <w:color w:val="auto"/>
          <w:sz w:val="24"/>
          <w:szCs w:val="24"/>
        </w:rPr>
      </w:pPr>
      <w:bookmarkStart w:id="14" w:name="_Toc536771110"/>
      <w:bookmarkStart w:id="15" w:name="_Toc3637609"/>
      <w:bookmarkStart w:id="16" w:name="_Toc6239807"/>
      <w:r w:rsidRPr="00967063">
        <w:rPr>
          <w:rFonts w:ascii="Times New Roman" w:hAnsi="Times New Roman" w:cs="Times New Roman"/>
          <w:color w:val="auto"/>
          <w:sz w:val="24"/>
          <w:szCs w:val="24"/>
        </w:rPr>
        <w:t>Un accord de paix et des accords de cessez-le-feu signés sous le poids de la région</w:t>
      </w:r>
      <w:bookmarkEnd w:id="14"/>
      <w:bookmarkEnd w:id="15"/>
      <w:bookmarkEnd w:id="16"/>
      <w:r w:rsidRPr="00967063">
        <w:rPr>
          <w:rFonts w:ascii="Times New Roman" w:hAnsi="Times New Roman" w:cs="Times New Roman"/>
          <w:color w:val="auto"/>
          <w:sz w:val="24"/>
          <w:szCs w:val="24"/>
        </w:rPr>
        <w:t xml:space="preserve"> </w:t>
      </w:r>
    </w:p>
    <w:p w14:paraId="42DF799A" w14:textId="77777777" w:rsidR="001905B0" w:rsidRPr="00967063" w:rsidRDefault="001905B0" w:rsidP="001905B0">
      <w:pPr>
        <w:rPr>
          <w:rFonts w:ascii="Times New Roman" w:hAnsi="Times New Roman" w:cs="Times New Roman"/>
          <w:sz w:val="24"/>
          <w:szCs w:val="24"/>
        </w:rPr>
      </w:pPr>
    </w:p>
    <w:p w14:paraId="1248CFFB" w14:textId="77777777" w:rsidR="001905B0" w:rsidRPr="00967063" w:rsidRDefault="001905B0" w:rsidP="001905B0">
      <w:pPr>
        <w:spacing w:line="480" w:lineRule="auto"/>
        <w:ind w:firstLine="360"/>
        <w:jc w:val="both"/>
        <w:rPr>
          <w:rFonts w:ascii="Times New Roman" w:hAnsi="Times New Roman" w:cs="Times New Roman"/>
          <w:sz w:val="24"/>
          <w:szCs w:val="24"/>
        </w:rPr>
      </w:pPr>
      <w:r w:rsidRPr="00967063">
        <w:rPr>
          <w:rFonts w:ascii="Times New Roman" w:hAnsi="Times New Roman" w:cs="Times New Roman"/>
          <w:sz w:val="24"/>
          <w:szCs w:val="24"/>
        </w:rPr>
        <w:t>En juillet 1996, l’ancien président Buyoya revient au pouvoir par un coup d’État. En réaction, les pays de la région décrètent un embargo. S’ensuit un processus de négociations de paix : d’abord sous la médiation de l’ancien président tanzanien Julius Nyerere; ensuite, quand ce dernier meurt, en 1999, sous la médiation de Nelson Mandela, ancien président sud-africain</w:t>
      </w:r>
      <w:r w:rsidRPr="00967063">
        <w:rPr>
          <w:rStyle w:val="FootnoteReference"/>
          <w:rFonts w:ascii="Times New Roman" w:hAnsi="Times New Roman" w:cs="Times New Roman"/>
          <w:sz w:val="24"/>
          <w:szCs w:val="24"/>
        </w:rPr>
        <w:footnoteReference w:id="20"/>
      </w:r>
      <w:r w:rsidRPr="00967063">
        <w:rPr>
          <w:rFonts w:ascii="Times New Roman" w:hAnsi="Times New Roman" w:cs="Times New Roman"/>
          <w:sz w:val="24"/>
          <w:szCs w:val="24"/>
        </w:rPr>
        <w:t xml:space="preserve">.  L’Accord d’Arusha pour la paix et la réconciliation est signé en aout 2000, sous les auspices de l’Initiative régionale pour la paix au Burundi. </w:t>
      </w:r>
    </w:p>
    <w:p w14:paraId="0E5F8B28" w14:textId="2D6FB20F" w:rsidR="001905B0" w:rsidRPr="00967063" w:rsidRDefault="001905B0" w:rsidP="001905B0">
      <w:pPr>
        <w:spacing w:line="480" w:lineRule="auto"/>
        <w:ind w:firstLine="360"/>
        <w:jc w:val="both"/>
        <w:rPr>
          <w:rFonts w:ascii="Times New Roman" w:hAnsi="Times New Roman" w:cs="Times New Roman"/>
          <w:sz w:val="24"/>
          <w:szCs w:val="24"/>
        </w:rPr>
      </w:pPr>
      <w:r w:rsidRPr="00967063">
        <w:rPr>
          <w:rFonts w:ascii="Times New Roman" w:hAnsi="Times New Roman" w:cs="Times New Roman"/>
          <w:sz w:val="24"/>
          <w:szCs w:val="24"/>
        </w:rPr>
        <w:t>Selon l’historien Jean-Pierre Chrétien, deux observations sont à noter. La première concerne la qualification du problème burundais. Quand on demande aux négociateurs des pourparlers de paix de qualifier la nature du conflit, ils disent : « conflit fondamentalement politique avec des dimensions ethniques extrêmement importantes</w:t>
      </w:r>
      <w:r w:rsidR="00D557C0">
        <w:rPr>
          <w:rFonts w:ascii="Times New Roman" w:hAnsi="Times New Roman" w:cs="Times New Roman"/>
          <w:sz w:val="24"/>
          <w:szCs w:val="24"/>
        </w:rPr>
        <w:t> </w:t>
      </w:r>
      <w:r w:rsidRPr="00967063">
        <w:rPr>
          <w:rFonts w:ascii="Times New Roman" w:hAnsi="Times New Roman" w:cs="Times New Roman"/>
          <w:sz w:val="24"/>
          <w:szCs w:val="24"/>
        </w:rPr>
        <w:t>»</w:t>
      </w:r>
      <w:r w:rsidRPr="00967063">
        <w:rPr>
          <w:rStyle w:val="FootnoteReference"/>
          <w:rFonts w:ascii="Times New Roman" w:hAnsi="Times New Roman" w:cs="Times New Roman"/>
          <w:sz w:val="24"/>
          <w:szCs w:val="24"/>
        </w:rPr>
        <w:footnoteReference w:id="21"/>
      </w:r>
      <w:r w:rsidR="00D557C0">
        <w:rPr>
          <w:rFonts w:ascii="Times New Roman" w:hAnsi="Times New Roman" w:cs="Times New Roman"/>
          <w:sz w:val="24"/>
          <w:szCs w:val="24"/>
        </w:rPr>
        <w:t>.</w:t>
      </w:r>
      <w:r w:rsidRPr="00967063">
        <w:rPr>
          <w:rFonts w:ascii="Times New Roman" w:hAnsi="Times New Roman" w:cs="Times New Roman"/>
          <w:sz w:val="24"/>
          <w:szCs w:val="24"/>
        </w:rPr>
        <w:t xml:space="preserve"> La seconde observation concerne les circonstances au moment de la signature. Selon Jean-Pierre Chrétien, l’accord de paix est signé au forceps.</w:t>
      </w:r>
      <w:r w:rsidRPr="00967063">
        <w:rPr>
          <w:rStyle w:val="FootnoteReference"/>
          <w:rFonts w:ascii="Times New Roman" w:hAnsi="Times New Roman" w:cs="Times New Roman"/>
          <w:sz w:val="24"/>
          <w:szCs w:val="24"/>
        </w:rPr>
        <w:footnoteReference w:id="22"/>
      </w:r>
      <w:r w:rsidRPr="00967063">
        <w:rPr>
          <w:rFonts w:ascii="Times New Roman" w:hAnsi="Times New Roman" w:cs="Times New Roman"/>
          <w:sz w:val="24"/>
          <w:szCs w:val="24"/>
        </w:rPr>
        <w:t xml:space="preserve"> De plus, la médiation a favorisé la cristallisation des « groupes » à base ethnique</w:t>
      </w:r>
      <w:r w:rsidRPr="00967063">
        <w:rPr>
          <w:rStyle w:val="FootnoteReference"/>
          <w:rFonts w:ascii="Times New Roman" w:hAnsi="Times New Roman" w:cs="Times New Roman"/>
          <w:sz w:val="24"/>
          <w:szCs w:val="24"/>
        </w:rPr>
        <w:footnoteReference w:id="23"/>
      </w:r>
      <w:r w:rsidR="00D557C0">
        <w:rPr>
          <w:rFonts w:ascii="Times New Roman" w:hAnsi="Times New Roman" w:cs="Times New Roman"/>
          <w:sz w:val="24"/>
          <w:szCs w:val="24"/>
        </w:rPr>
        <w:t> :</w:t>
      </w:r>
    </w:p>
    <w:p w14:paraId="026A2F23" w14:textId="77777777" w:rsidR="001905B0" w:rsidRPr="00967063" w:rsidRDefault="001905B0" w:rsidP="001905B0">
      <w:pPr>
        <w:spacing w:before="100" w:beforeAutospacing="1" w:after="100" w:afterAutospacing="1" w:line="240" w:lineRule="auto"/>
        <w:ind w:left="283"/>
        <w:jc w:val="both"/>
        <w:rPr>
          <w:rFonts w:ascii="Times New Roman" w:hAnsi="Times New Roman" w:cs="Times New Roman"/>
          <w:sz w:val="24"/>
          <w:szCs w:val="24"/>
        </w:rPr>
      </w:pPr>
      <w:r w:rsidRPr="00967063">
        <w:rPr>
          <w:rFonts w:ascii="Times New Roman" w:hAnsi="Times New Roman" w:cs="Times New Roman"/>
          <w:sz w:val="24"/>
          <w:szCs w:val="24"/>
        </w:rPr>
        <w:t>Parallèlement aux violences sélectives qui sèment périodiquement la mort dans le pays, les négociations elles-mêmes ont contribué à mettre en scène le duel interethnique, notamment à partir de mai 1999 quand Julius Nyerere favorisa la cristallisation des groupes à base ethnique, le G7 hutu, auquel répondit le G8 (puis le G10) tutsi. Le discours musclé de Mandela a apparemment suivi la même logique et, lors de la signature de l’accord du 28 aout 2000, on voit les formations à dominante tutsi (l’Uprona de Buyoya, de petits partis et le Parena de Bagaza) se mettre d’accord avec des réserves.</w:t>
      </w:r>
      <w:r w:rsidRPr="00967063">
        <w:rPr>
          <w:rStyle w:val="FootnoteReference"/>
          <w:rFonts w:ascii="Times New Roman" w:hAnsi="Times New Roman" w:cs="Times New Roman"/>
          <w:sz w:val="24"/>
          <w:szCs w:val="24"/>
        </w:rPr>
        <w:footnoteReference w:id="24"/>
      </w:r>
      <w:r w:rsidRPr="00967063">
        <w:rPr>
          <w:rFonts w:ascii="Times New Roman" w:hAnsi="Times New Roman" w:cs="Times New Roman"/>
          <w:sz w:val="24"/>
          <w:szCs w:val="24"/>
        </w:rPr>
        <w:t xml:space="preserve"> </w:t>
      </w:r>
    </w:p>
    <w:p w14:paraId="3E9F0EA2" w14:textId="310EA265" w:rsidR="001905B0" w:rsidRPr="00967063" w:rsidRDefault="001905B0" w:rsidP="001905B0">
      <w:pPr>
        <w:spacing w:before="100" w:beforeAutospacing="1" w:after="100" w:afterAutospacing="1" w:line="480" w:lineRule="auto"/>
        <w:ind w:firstLine="360"/>
        <w:jc w:val="both"/>
        <w:rPr>
          <w:rFonts w:ascii="Times New Roman" w:hAnsi="Times New Roman" w:cs="Times New Roman"/>
          <w:sz w:val="24"/>
          <w:szCs w:val="24"/>
        </w:rPr>
      </w:pPr>
      <w:r w:rsidRPr="00967063">
        <w:rPr>
          <w:rFonts w:ascii="Times New Roman" w:hAnsi="Times New Roman" w:cs="Times New Roman"/>
          <w:sz w:val="24"/>
          <w:szCs w:val="24"/>
        </w:rPr>
        <w:t>D’un point de vue éthique</w:t>
      </w:r>
      <w:r w:rsidR="00B636DD">
        <w:rPr>
          <w:rFonts w:ascii="Times New Roman" w:hAnsi="Times New Roman" w:cs="Times New Roman"/>
          <w:sz w:val="24"/>
          <w:szCs w:val="24"/>
        </w:rPr>
        <w:t>,</w:t>
      </w:r>
      <w:r w:rsidRPr="00967063">
        <w:rPr>
          <w:rFonts w:ascii="Times New Roman" w:hAnsi="Times New Roman" w:cs="Times New Roman"/>
          <w:sz w:val="24"/>
          <w:szCs w:val="24"/>
        </w:rPr>
        <w:t xml:space="preserve"> les deux observations de Jean Pierre Chrétien signifient que la médiation suggère aux négociateurs de trouver les principes de justice non pas à partir de </w:t>
      </w:r>
      <w:r w:rsidRPr="00967063">
        <w:rPr>
          <w:rFonts w:ascii="Times New Roman" w:eastAsia="Times New Roman" w:hAnsi="Times New Roman" w:cs="Times New Roman"/>
          <w:sz w:val="24"/>
          <w:szCs w:val="24"/>
          <w:lang w:eastAsia="fr-CA"/>
        </w:rPr>
        <w:t>la « position originelle »</w:t>
      </w:r>
      <w:r w:rsidRPr="00967063">
        <w:rPr>
          <w:rStyle w:val="FootnoteReference"/>
          <w:rFonts w:ascii="Times New Roman" w:hAnsi="Times New Roman" w:cs="Times New Roman"/>
          <w:sz w:val="24"/>
          <w:szCs w:val="24"/>
        </w:rPr>
        <w:footnoteReference w:id="25"/>
      </w:r>
      <w:r w:rsidRPr="00967063">
        <w:rPr>
          <w:rFonts w:ascii="Times New Roman" w:eastAsia="Times New Roman" w:hAnsi="Times New Roman" w:cs="Times New Roman"/>
          <w:sz w:val="24"/>
          <w:szCs w:val="24"/>
          <w:lang w:eastAsia="fr-CA"/>
        </w:rPr>
        <w:t xml:space="preserve"> et sous le </w:t>
      </w:r>
      <w:r w:rsidR="00B636DD">
        <w:rPr>
          <w:rFonts w:ascii="Times New Roman" w:eastAsia="Times New Roman" w:hAnsi="Times New Roman" w:cs="Times New Roman"/>
          <w:sz w:val="24"/>
          <w:szCs w:val="24"/>
          <w:lang w:eastAsia="fr-CA"/>
        </w:rPr>
        <w:t>« </w:t>
      </w:r>
      <w:r w:rsidRPr="00967063">
        <w:rPr>
          <w:rFonts w:ascii="Times New Roman" w:eastAsia="Times New Roman" w:hAnsi="Times New Roman" w:cs="Times New Roman"/>
          <w:sz w:val="24"/>
          <w:szCs w:val="24"/>
          <w:lang w:eastAsia="fr-CA"/>
        </w:rPr>
        <w:t>voile d’ignorance »</w:t>
      </w:r>
      <w:r w:rsidRPr="00967063">
        <w:rPr>
          <w:rStyle w:val="FootnoteReference"/>
          <w:rFonts w:ascii="Times New Roman" w:hAnsi="Times New Roman" w:cs="Times New Roman"/>
          <w:sz w:val="24"/>
          <w:szCs w:val="24"/>
        </w:rPr>
        <w:footnoteReference w:id="26"/>
      </w:r>
      <w:r w:rsidR="00B636DD">
        <w:rPr>
          <w:rFonts w:ascii="Times New Roman" w:eastAsia="Times New Roman" w:hAnsi="Times New Roman" w:cs="Times New Roman"/>
          <w:sz w:val="24"/>
          <w:szCs w:val="24"/>
          <w:lang w:eastAsia="fr-CA"/>
        </w:rPr>
        <w:t>,</w:t>
      </w:r>
      <w:r w:rsidRPr="00967063">
        <w:rPr>
          <w:rFonts w:ascii="Times New Roman" w:eastAsia="Times New Roman" w:hAnsi="Times New Roman" w:cs="Times New Roman"/>
          <w:sz w:val="24"/>
          <w:szCs w:val="24"/>
          <w:lang w:eastAsia="fr-CA"/>
        </w:rPr>
        <w:t xml:space="preserve"> selon une perspective rawlsienne, mais à partir du contexte de crise spécifique au pays. </w:t>
      </w:r>
      <w:r w:rsidRPr="00967063">
        <w:rPr>
          <w:rFonts w:ascii="Times New Roman" w:hAnsi="Times New Roman" w:cs="Times New Roman"/>
          <w:sz w:val="24"/>
          <w:szCs w:val="24"/>
        </w:rPr>
        <w:t>De fait, l’Accord de paix, signé le 28 aout 2000, institue le partage des pouvoirs au travers des quotas ethniques et autres équilibres. Nul doute que le but, à l’époque, était d’apaiser les antagonismes et de réduire le potentiel violent de l’exploitation politique des clivages segmentaires. A propos de ce partage, voici ce que Stef Vendeginste écrit</w:t>
      </w:r>
      <w:r w:rsidR="00B636DD">
        <w:rPr>
          <w:rFonts w:ascii="Times New Roman" w:hAnsi="Times New Roman" w:cs="Times New Roman"/>
          <w:sz w:val="24"/>
          <w:szCs w:val="24"/>
        </w:rPr>
        <w:t> :</w:t>
      </w:r>
      <w:r w:rsidRPr="00967063">
        <w:rPr>
          <w:rFonts w:ascii="Times New Roman" w:hAnsi="Times New Roman" w:cs="Times New Roman"/>
          <w:sz w:val="24"/>
          <w:szCs w:val="24"/>
        </w:rPr>
        <w:t xml:space="preserve"> </w:t>
      </w:r>
    </w:p>
    <w:p w14:paraId="77012A2D" w14:textId="77777777" w:rsidR="001905B0" w:rsidRPr="00967063" w:rsidRDefault="001905B0" w:rsidP="001905B0">
      <w:pPr>
        <w:spacing w:before="100" w:beforeAutospacing="1" w:after="100" w:afterAutospacing="1" w:line="240" w:lineRule="auto"/>
        <w:ind w:left="283"/>
        <w:jc w:val="both"/>
        <w:rPr>
          <w:rFonts w:ascii="Times New Roman" w:hAnsi="Times New Roman" w:cs="Times New Roman"/>
          <w:sz w:val="24"/>
          <w:szCs w:val="24"/>
        </w:rPr>
      </w:pPr>
      <w:r w:rsidRPr="00967063">
        <w:rPr>
          <w:rFonts w:ascii="Times New Roman" w:hAnsi="Times New Roman" w:cs="Times New Roman"/>
          <w:sz w:val="24"/>
          <w:szCs w:val="24"/>
        </w:rPr>
        <w:t>Le Burundi a mis fin à une transition politique par la voie négociée et en se servant de mécanismes et de stratégies typiquement consociatifs. Un partage de pouvoir est organisé à travers des quotas ethniques et autres équilibres contenus dans l’Accord de Paix et la Constitution. La coopération entre élites segmentaires a permis la mise en œuvre de cette ingénierie institutionnelle avant et après les élections de 2005. Le nouveau contexte politique et institutionnel reflète la pluralité de la société. L’objectif final n’est pas d’éterniser les divisions segmentaires, mais plutôt d’apaiser les antagonismes et de réduire le potentiel violent de l’exploitation politique des clivages segmentaires</w:t>
      </w:r>
      <w:r w:rsidRPr="00967063">
        <w:rPr>
          <w:rStyle w:val="FootnoteReference"/>
          <w:rFonts w:ascii="Times New Roman" w:hAnsi="Times New Roman" w:cs="Times New Roman"/>
          <w:sz w:val="24"/>
          <w:szCs w:val="24"/>
        </w:rPr>
        <w:footnoteReference w:id="27"/>
      </w:r>
      <w:r w:rsidRPr="00967063">
        <w:rPr>
          <w:rFonts w:ascii="Times New Roman" w:hAnsi="Times New Roman" w:cs="Times New Roman"/>
          <w:sz w:val="24"/>
          <w:szCs w:val="24"/>
        </w:rPr>
        <w:t>.</w:t>
      </w:r>
    </w:p>
    <w:p w14:paraId="02BC0294" w14:textId="77777777" w:rsidR="001905B0" w:rsidRPr="00967063" w:rsidRDefault="001905B0" w:rsidP="001905B0">
      <w:pPr>
        <w:spacing w:line="480" w:lineRule="auto"/>
        <w:jc w:val="both"/>
        <w:rPr>
          <w:rFonts w:ascii="Times New Roman" w:hAnsi="Times New Roman" w:cs="Times New Roman"/>
          <w:sz w:val="24"/>
          <w:szCs w:val="24"/>
        </w:rPr>
      </w:pPr>
      <w:r w:rsidRPr="00967063">
        <w:rPr>
          <w:rFonts w:ascii="Times New Roman" w:hAnsi="Times New Roman" w:cs="Times New Roman"/>
          <w:sz w:val="24"/>
          <w:szCs w:val="24"/>
        </w:rPr>
        <w:t>S’ensuivent après des « accords globaux de cessez-le-feu » avec les mouvements armés qui n’ont pas signé cet Accord : le CNDD-FDD et le Palipehutu-Fnl. Le premier est signé en novembre 2003 entre le gouvernement de transition, à l’époque présidé par Domitien Ndayizeye, Hutu du Frodebu, et le CNDD-FDD, représenté par Pierre Nkurunziza, un Hutu également. Il fait penser à un accord - sans enjeu puisqu’on parle de problème à ramifications ethniques - signé entre un père et son enfant. Le second est signé en septembre 2006, entre le nouveau président élu, Pierre Nkurunziza, et Rwasa Agathon, hutu représentant la seule rébellion encore active, le Palipehutu-FNL</w:t>
      </w:r>
      <w:r w:rsidRPr="00967063">
        <w:rPr>
          <w:rStyle w:val="FootnoteReference"/>
          <w:rFonts w:ascii="Times New Roman" w:hAnsi="Times New Roman" w:cs="Times New Roman"/>
          <w:sz w:val="24"/>
          <w:szCs w:val="24"/>
        </w:rPr>
        <w:footnoteReference w:id="28"/>
      </w:r>
      <w:r w:rsidRPr="00967063">
        <w:rPr>
          <w:rFonts w:ascii="Times New Roman" w:hAnsi="Times New Roman" w:cs="Times New Roman"/>
          <w:sz w:val="24"/>
          <w:szCs w:val="24"/>
        </w:rPr>
        <w:t xml:space="preserve">. Est-il besoin de noter qu’au moment des accords de cessez-le-feu (2003 et 2006), le groupe G8 (puis le G10) des Tutsis au moment de l’Accord de paix a disparu de la scène? </w:t>
      </w:r>
    </w:p>
    <w:p w14:paraId="01BB8F8F" w14:textId="77777777" w:rsidR="001905B0" w:rsidRPr="00967063" w:rsidRDefault="001905B0" w:rsidP="001905B0">
      <w:pPr>
        <w:pStyle w:val="Heading2"/>
        <w:numPr>
          <w:ilvl w:val="0"/>
          <w:numId w:val="15"/>
        </w:numPr>
        <w:rPr>
          <w:rFonts w:ascii="Times New Roman" w:hAnsi="Times New Roman" w:cs="Times New Roman"/>
          <w:b w:val="0"/>
          <w:sz w:val="24"/>
          <w:szCs w:val="24"/>
        </w:rPr>
      </w:pPr>
      <w:bookmarkStart w:id="17" w:name="_Toc536771111"/>
      <w:bookmarkStart w:id="18" w:name="_Toc3637610"/>
      <w:bookmarkStart w:id="19" w:name="_Toc6239808"/>
      <w:r w:rsidRPr="00967063">
        <w:rPr>
          <w:rFonts w:ascii="Times New Roman" w:hAnsi="Times New Roman" w:cs="Times New Roman"/>
          <w:color w:val="auto"/>
          <w:sz w:val="24"/>
          <w:szCs w:val="24"/>
        </w:rPr>
        <w:t>Une CVR mise en place difficilement et sans pouvoir judiciaire</w:t>
      </w:r>
      <w:r w:rsidRPr="00967063">
        <w:rPr>
          <w:rStyle w:val="FootnoteReference"/>
          <w:rFonts w:ascii="Times New Roman" w:hAnsi="Times New Roman" w:cs="Times New Roman"/>
          <w:sz w:val="24"/>
          <w:szCs w:val="24"/>
        </w:rPr>
        <w:footnoteReference w:id="29"/>
      </w:r>
      <w:bookmarkEnd w:id="17"/>
      <w:bookmarkEnd w:id="18"/>
      <w:bookmarkEnd w:id="19"/>
      <w:r w:rsidRPr="00967063">
        <w:rPr>
          <w:rFonts w:ascii="Times New Roman" w:hAnsi="Times New Roman" w:cs="Times New Roman"/>
          <w:color w:val="auto"/>
          <w:sz w:val="24"/>
          <w:szCs w:val="24"/>
        </w:rPr>
        <w:t xml:space="preserve"> </w:t>
      </w:r>
    </w:p>
    <w:p w14:paraId="137EFF60" w14:textId="77777777" w:rsidR="001905B0" w:rsidRPr="00967063" w:rsidRDefault="001905B0" w:rsidP="001905B0">
      <w:pPr>
        <w:rPr>
          <w:rFonts w:ascii="Times New Roman" w:hAnsi="Times New Roman" w:cs="Times New Roman"/>
          <w:sz w:val="24"/>
          <w:szCs w:val="24"/>
        </w:rPr>
      </w:pPr>
    </w:p>
    <w:p w14:paraId="0A17C69D" w14:textId="1978D855" w:rsidR="001905B0" w:rsidRPr="00967063" w:rsidRDefault="001905B0" w:rsidP="001905B0">
      <w:pPr>
        <w:spacing w:line="480" w:lineRule="auto"/>
        <w:ind w:firstLine="360"/>
        <w:jc w:val="both"/>
        <w:rPr>
          <w:rFonts w:ascii="Times New Roman" w:hAnsi="Times New Roman" w:cs="Times New Roman"/>
          <w:sz w:val="24"/>
          <w:szCs w:val="24"/>
        </w:rPr>
      </w:pPr>
      <w:r w:rsidRPr="00967063">
        <w:rPr>
          <w:rFonts w:ascii="Times New Roman" w:hAnsi="Times New Roman" w:cs="Times New Roman"/>
          <w:sz w:val="24"/>
          <w:szCs w:val="24"/>
        </w:rPr>
        <w:t xml:space="preserve">Avant son départ en juillet 2002 (fin de la première phase de transition), Pierre Buyoya adresse, conformément à l’Accord de paix, une lettre au conseil de sécurité de l’ONU. Dans </w:t>
      </w:r>
      <w:r w:rsidR="001372E8">
        <w:rPr>
          <w:rFonts w:ascii="Times New Roman" w:hAnsi="Times New Roman" w:cs="Times New Roman"/>
          <w:sz w:val="24"/>
          <w:szCs w:val="24"/>
        </w:rPr>
        <w:t>cette</w:t>
      </w:r>
      <w:r w:rsidRPr="00967063">
        <w:rPr>
          <w:rFonts w:ascii="Times New Roman" w:hAnsi="Times New Roman" w:cs="Times New Roman"/>
          <w:sz w:val="24"/>
          <w:szCs w:val="24"/>
        </w:rPr>
        <w:t xml:space="preserve"> lettre, il demande la mise en place d’une commission d’enquête judiciaire internationale sur le génocide, les crimes de guerre et autres crimes contre l’humanité au Burundi. Selon l’Accord d’Arusha, la période concernée commence à partir de 1962, date de l’indépendance, et se termine le 28 aout 2000, date de signature de l’Accord de paix. Au cas où le rapport de la commission établirait les faits, il s’ensuivrait la mise en place d’un tribunal pénal international.</w:t>
      </w:r>
      <w:r w:rsidRPr="00967063">
        <w:rPr>
          <w:rStyle w:val="FootnoteReference"/>
          <w:rFonts w:ascii="Times New Roman" w:hAnsi="Times New Roman" w:cs="Times New Roman"/>
          <w:sz w:val="24"/>
          <w:szCs w:val="24"/>
        </w:rPr>
        <w:footnoteReference w:id="30"/>
      </w:r>
      <w:r w:rsidRPr="00967063">
        <w:rPr>
          <w:rFonts w:ascii="Times New Roman" w:hAnsi="Times New Roman" w:cs="Times New Roman"/>
          <w:sz w:val="24"/>
          <w:szCs w:val="24"/>
        </w:rPr>
        <w:t xml:space="preserve"> </w:t>
      </w:r>
    </w:p>
    <w:p w14:paraId="4D2B1E7D" w14:textId="77777777" w:rsidR="001905B0" w:rsidRPr="00967063" w:rsidRDefault="001905B0" w:rsidP="001905B0">
      <w:pPr>
        <w:spacing w:line="480" w:lineRule="auto"/>
        <w:ind w:firstLine="360"/>
        <w:jc w:val="both"/>
        <w:rPr>
          <w:rFonts w:ascii="Times New Roman" w:hAnsi="Times New Roman" w:cs="Times New Roman"/>
          <w:sz w:val="24"/>
          <w:szCs w:val="24"/>
        </w:rPr>
      </w:pPr>
      <w:r w:rsidRPr="00967063">
        <w:rPr>
          <w:rFonts w:ascii="Times New Roman" w:hAnsi="Times New Roman" w:cs="Times New Roman"/>
          <w:sz w:val="24"/>
          <w:szCs w:val="24"/>
        </w:rPr>
        <w:t>Or, c’est seulement en janvier 2004, durant la seconde phase de transition dirigée par Ndayizeye Domitien, un Hutu du Frodebu, qu’une réponse provisoire est donnée.  Dans celle-ci, l’ONU offre « une mission ayant pour objectif d’examiner l’opportunité et la faisabilité de la création d’une commission d’enquête judiciaire internationale sur le Burundi »</w:t>
      </w:r>
      <w:r w:rsidRPr="00967063">
        <w:rPr>
          <w:rStyle w:val="FootnoteReference"/>
          <w:rFonts w:ascii="Times New Roman" w:hAnsi="Times New Roman" w:cs="Times New Roman"/>
          <w:sz w:val="24"/>
          <w:szCs w:val="24"/>
        </w:rPr>
        <w:footnoteReference w:id="31"/>
      </w:r>
      <w:r w:rsidRPr="00967063">
        <w:rPr>
          <w:rFonts w:ascii="Times New Roman" w:hAnsi="Times New Roman" w:cs="Times New Roman"/>
          <w:sz w:val="24"/>
          <w:szCs w:val="24"/>
        </w:rPr>
        <w:t xml:space="preserve">. Que peut-on comprendre de cette approche lente de l’ONU : lourdeur bureaucratique ou difficulté à penser la norme de relation avec un régime de transition? </w:t>
      </w:r>
    </w:p>
    <w:p w14:paraId="0A3D8490" w14:textId="77777777" w:rsidR="001905B0" w:rsidRPr="00967063" w:rsidRDefault="001905B0" w:rsidP="001905B0">
      <w:pPr>
        <w:spacing w:line="480" w:lineRule="auto"/>
        <w:ind w:firstLine="360"/>
        <w:jc w:val="both"/>
        <w:rPr>
          <w:rFonts w:ascii="Times New Roman" w:hAnsi="Times New Roman" w:cs="Times New Roman"/>
          <w:sz w:val="24"/>
          <w:szCs w:val="24"/>
        </w:rPr>
      </w:pPr>
      <w:r w:rsidRPr="00967063">
        <w:rPr>
          <w:rFonts w:ascii="Times New Roman" w:hAnsi="Times New Roman" w:cs="Times New Roman"/>
          <w:sz w:val="24"/>
          <w:szCs w:val="24"/>
        </w:rPr>
        <w:t>Finalement, c’est en juin 2005, période de nouvelles élections (fin de la période du gouvernement de transition), que le Conseil de sécurité de l’ONU adopte une résolution. Dans celle-ci, il demande au secrétaire général d’entamer les négociations avec le gouvernement burundais. L’objet de ces négociations est « la mise en œuvre des recommandations d’un rapport Kolomoh »</w:t>
      </w:r>
      <w:r w:rsidRPr="00967063">
        <w:rPr>
          <w:rStyle w:val="FootnoteReference"/>
          <w:rFonts w:ascii="Times New Roman" w:hAnsi="Times New Roman" w:cs="Times New Roman"/>
          <w:sz w:val="24"/>
          <w:szCs w:val="24"/>
        </w:rPr>
        <w:footnoteReference w:id="32"/>
      </w:r>
      <w:r w:rsidRPr="00967063">
        <w:rPr>
          <w:rFonts w:ascii="Times New Roman" w:hAnsi="Times New Roman" w:cs="Times New Roman"/>
          <w:sz w:val="24"/>
          <w:szCs w:val="24"/>
        </w:rPr>
        <w:t>. Soutenu fortement par la société civile burundaise, ce rapport propose un double mécanisme : une commission-vérité et une chambre spéciale, intégrée au sein de l’appareil judiciaire burundais</w:t>
      </w:r>
      <w:r w:rsidRPr="00967063">
        <w:rPr>
          <w:rStyle w:val="FootnoteReference"/>
          <w:rFonts w:ascii="Times New Roman" w:hAnsi="Times New Roman" w:cs="Times New Roman"/>
          <w:sz w:val="24"/>
          <w:szCs w:val="24"/>
        </w:rPr>
        <w:footnoteReference w:id="33"/>
      </w:r>
      <w:r w:rsidRPr="00967063">
        <w:rPr>
          <w:rFonts w:ascii="Times New Roman" w:hAnsi="Times New Roman" w:cs="Times New Roman"/>
          <w:sz w:val="24"/>
          <w:szCs w:val="24"/>
        </w:rPr>
        <w:t>.  Les négociations n’aboutiront jamais.</w:t>
      </w:r>
      <w:r w:rsidRPr="00967063">
        <w:rPr>
          <w:rStyle w:val="FootnoteReference"/>
          <w:rFonts w:ascii="Times New Roman" w:hAnsi="Times New Roman" w:cs="Times New Roman"/>
          <w:sz w:val="24"/>
          <w:szCs w:val="24"/>
        </w:rPr>
        <w:footnoteReference w:id="34"/>
      </w:r>
      <w:r w:rsidRPr="00967063">
        <w:rPr>
          <w:rFonts w:ascii="Times New Roman" w:hAnsi="Times New Roman" w:cs="Times New Roman"/>
          <w:sz w:val="24"/>
          <w:szCs w:val="24"/>
        </w:rPr>
        <w:t xml:space="preserve"> </w:t>
      </w:r>
    </w:p>
    <w:p w14:paraId="75133FD5" w14:textId="77777777" w:rsidR="001905B0" w:rsidRPr="00967063" w:rsidRDefault="001905B0" w:rsidP="001905B0">
      <w:pPr>
        <w:spacing w:before="100" w:beforeAutospacing="1" w:after="100" w:afterAutospacing="1" w:line="480" w:lineRule="auto"/>
        <w:ind w:firstLine="360"/>
        <w:jc w:val="both"/>
        <w:rPr>
          <w:rFonts w:ascii="Times New Roman" w:hAnsi="Times New Roman" w:cs="Times New Roman"/>
          <w:sz w:val="24"/>
          <w:szCs w:val="24"/>
        </w:rPr>
      </w:pPr>
      <w:r w:rsidRPr="00967063">
        <w:rPr>
          <w:rFonts w:ascii="Times New Roman" w:hAnsi="Times New Roman" w:cs="Times New Roman"/>
          <w:sz w:val="24"/>
          <w:szCs w:val="24"/>
        </w:rPr>
        <w:t>À la place, se basant sur les résultats des consultations nationales organisées, le régime du CNDD-FDD, réélu en 2010, propose, en 2014, une CVR sans volet judiciaire. L’argument du parti au pouvoir est le suivant et il est double. D’une part, si l’auteur du forfait reconnait le mal et demande pardon et si la victime lui pardonne sans réserve, alors il ne sert à rien de poursuivre l’auteur :</w:t>
      </w:r>
    </w:p>
    <w:p w14:paraId="7E84BF11" w14:textId="77777777" w:rsidR="001905B0" w:rsidRPr="00967063" w:rsidRDefault="001905B0" w:rsidP="001905B0">
      <w:pPr>
        <w:spacing w:before="100" w:beforeAutospacing="1" w:after="100" w:afterAutospacing="1" w:line="240" w:lineRule="auto"/>
        <w:ind w:left="283"/>
        <w:jc w:val="both"/>
        <w:rPr>
          <w:rFonts w:ascii="Times New Roman" w:hAnsi="Times New Roman" w:cs="Times New Roman"/>
          <w:sz w:val="24"/>
          <w:szCs w:val="24"/>
        </w:rPr>
      </w:pPr>
      <w:r w:rsidRPr="00967063">
        <w:rPr>
          <w:rFonts w:ascii="Times New Roman" w:hAnsi="Times New Roman" w:cs="Times New Roman"/>
          <w:sz w:val="24"/>
          <w:szCs w:val="24"/>
        </w:rPr>
        <w:t>L’octroi de l’amnistie aux auteurs des violations des droits de l’homme qui se sont confessés est un élément de base de la réconciliation nationale. Lorsque l’auteur du forfait aura reconnu le mal causé à sa victime et demandé pardon à celle-ci, et que cette dernière lui aura pardonné sans réserve, le parti CNDD-FDD estime qu’il ne servira à rien de poursuivre l’auteur du forfait, car il n’y aura pas plus idéal que cette forme de réconciliation et de pardon.</w:t>
      </w:r>
      <w:r w:rsidRPr="00967063">
        <w:rPr>
          <w:rStyle w:val="FootnoteReference"/>
          <w:rFonts w:ascii="Times New Roman" w:hAnsi="Times New Roman" w:cs="Times New Roman"/>
          <w:sz w:val="24"/>
          <w:szCs w:val="24"/>
        </w:rPr>
        <w:footnoteReference w:id="35"/>
      </w:r>
      <w:r w:rsidRPr="00967063">
        <w:rPr>
          <w:rFonts w:ascii="Times New Roman" w:hAnsi="Times New Roman" w:cs="Times New Roman"/>
          <w:sz w:val="24"/>
          <w:szCs w:val="24"/>
        </w:rPr>
        <w:t xml:space="preserve"> </w:t>
      </w:r>
    </w:p>
    <w:p w14:paraId="45A2F692" w14:textId="4C0FEDF9" w:rsidR="001905B0" w:rsidRPr="00967063" w:rsidRDefault="001905B0" w:rsidP="001905B0">
      <w:pPr>
        <w:spacing w:line="480" w:lineRule="auto"/>
        <w:ind w:firstLine="283"/>
        <w:jc w:val="both"/>
        <w:rPr>
          <w:rFonts w:ascii="Times New Roman" w:hAnsi="Times New Roman" w:cs="Times New Roman"/>
          <w:sz w:val="24"/>
          <w:szCs w:val="24"/>
        </w:rPr>
      </w:pPr>
      <w:r w:rsidRPr="00967063">
        <w:rPr>
          <w:rFonts w:ascii="Times New Roman" w:hAnsi="Times New Roman" w:cs="Times New Roman"/>
          <w:sz w:val="24"/>
          <w:szCs w:val="24"/>
        </w:rPr>
        <w:t>D’autre part, si un tribunal était nécessaire, seule la CVR devrait avoir la qualité de le saisir et de déterminer les crimes à soumettre à sa compétence.</w:t>
      </w:r>
      <w:r w:rsidRPr="00967063">
        <w:rPr>
          <w:rStyle w:val="FootnoteReference"/>
          <w:rFonts w:ascii="Times New Roman" w:hAnsi="Times New Roman" w:cs="Times New Roman"/>
          <w:sz w:val="24"/>
          <w:szCs w:val="24"/>
        </w:rPr>
        <w:footnoteReference w:id="36"/>
      </w:r>
      <w:r w:rsidRPr="00967063">
        <w:rPr>
          <w:rFonts w:ascii="Times New Roman" w:hAnsi="Times New Roman" w:cs="Times New Roman"/>
          <w:sz w:val="24"/>
          <w:szCs w:val="24"/>
        </w:rPr>
        <w:t xml:space="preserve"> </w:t>
      </w:r>
    </w:p>
    <w:p w14:paraId="17DA2193" w14:textId="0CA7B87D" w:rsidR="001905B0" w:rsidRPr="00967063" w:rsidRDefault="001905B0" w:rsidP="001905B0">
      <w:pPr>
        <w:spacing w:line="480" w:lineRule="auto"/>
        <w:ind w:firstLine="283"/>
        <w:jc w:val="both"/>
        <w:rPr>
          <w:rFonts w:ascii="Times New Roman" w:hAnsi="Times New Roman" w:cs="Times New Roman"/>
          <w:sz w:val="24"/>
          <w:szCs w:val="24"/>
        </w:rPr>
      </w:pPr>
      <w:r w:rsidRPr="00967063">
        <w:rPr>
          <w:rFonts w:ascii="Times New Roman" w:hAnsi="Times New Roman" w:cs="Times New Roman"/>
          <w:sz w:val="24"/>
          <w:szCs w:val="24"/>
        </w:rPr>
        <w:t>Un dernier point qui n’est pas sans lien avec une CVR sans pouvoir judiciaire concerne les amnisties. Beaucoup de Burundais gardent en mémoire ce geste posé par les régimes Frodebu (sous transition) et CNDD-FDD (nouvellement élu) : 6500 « prisonniers politiques » se sont vu</w:t>
      </w:r>
      <w:r w:rsidR="002F2304">
        <w:rPr>
          <w:rFonts w:ascii="Times New Roman" w:hAnsi="Times New Roman" w:cs="Times New Roman"/>
          <w:sz w:val="24"/>
          <w:szCs w:val="24"/>
        </w:rPr>
        <w:t>s</w:t>
      </w:r>
      <w:r w:rsidRPr="00967063">
        <w:rPr>
          <w:rFonts w:ascii="Times New Roman" w:hAnsi="Times New Roman" w:cs="Times New Roman"/>
          <w:sz w:val="24"/>
          <w:szCs w:val="24"/>
        </w:rPr>
        <w:t xml:space="preserve"> accorder une liberté provisoire et une libération conditionnelle entre 2004 et 2006</w:t>
      </w:r>
      <w:r w:rsidRPr="00967063">
        <w:rPr>
          <w:rStyle w:val="FootnoteReference"/>
          <w:rFonts w:ascii="Times New Roman" w:hAnsi="Times New Roman" w:cs="Times New Roman"/>
          <w:sz w:val="24"/>
          <w:szCs w:val="24"/>
        </w:rPr>
        <w:footnoteReference w:id="37"/>
      </w:r>
      <w:r w:rsidRPr="00967063">
        <w:rPr>
          <w:rStyle w:val="FootnoteReference"/>
          <w:rFonts w:ascii="Times New Roman" w:hAnsi="Times New Roman" w:cs="Times New Roman"/>
          <w:sz w:val="24"/>
          <w:szCs w:val="24"/>
        </w:rPr>
        <w:t>.</w:t>
      </w:r>
      <w:r w:rsidRPr="00967063">
        <w:rPr>
          <w:rFonts w:ascii="Times New Roman" w:hAnsi="Times New Roman" w:cs="Times New Roman"/>
          <w:sz w:val="24"/>
          <w:szCs w:val="24"/>
        </w:rPr>
        <w:t>.</w:t>
      </w:r>
      <w:r w:rsidRPr="00967063">
        <w:rPr>
          <w:rStyle w:val="FootnoteReference"/>
          <w:rFonts w:ascii="Times New Roman" w:hAnsi="Times New Roman" w:cs="Times New Roman"/>
          <w:sz w:val="24"/>
          <w:szCs w:val="24"/>
        </w:rPr>
        <w:t xml:space="preserve"> </w:t>
      </w:r>
      <w:r w:rsidRPr="00967063">
        <w:rPr>
          <w:rFonts w:ascii="Times New Roman" w:hAnsi="Times New Roman" w:cs="Times New Roman"/>
          <w:sz w:val="24"/>
          <w:szCs w:val="24"/>
        </w:rPr>
        <w:t>Peu avant, en novembre 2003 (sous la transition du Frodebu), un accord avait été signé à Prétoria en Afrique du Sud. Selon cet accord, une « immunité provisoire de poursuites judiciaires est accordée en faveur des leaders politiques rentrant de l’exil »</w:t>
      </w:r>
      <w:r w:rsidRPr="00967063">
        <w:rPr>
          <w:rStyle w:val="FootnoteReference"/>
          <w:rFonts w:ascii="Times New Roman" w:hAnsi="Times New Roman" w:cs="Times New Roman"/>
          <w:sz w:val="24"/>
          <w:szCs w:val="24"/>
        </w:rPr>
        <w:footnoteReference w:id="38"/>
      </w:r>
      <w:r w:rsidRPr="00967063">
        <w:rPr>
          <w:rFonts w:ascii="Times New Roman" w:hAnsi="Times New Roman" w:cs="Times New Roman"/>
          <w:sz w:val="24"/>
          <w:szCs w:val="24"/>
        </w:rPr>
        <w:t xml:space="preserve">. Beaucoup, et notamment la société civile, y voient une déresponsabilisation des auteurs des crimes commis pendant la guerre civile (1993-2003). Or, est-il qu’un certain nombre de militaires, politiciens et responsables politiques actuels ont pu bénéficier de ce geste.  </w:t>
      </w:r>
    </w:p>
    <w:p w14:paraId="01372DDB" w14:textId="1A295309" w:rsidR="001905B0" w:rsidRPr="00967063" w:rsidRDefault="001905B0" w:rsidP="001905B0">
      <w:pPr>
        <w:spacing w:line="480" w:lineRule="auto"/>
        <w:jc w:val="both"/>
        <w:rPr>
          <w:rFonts w:ascii="Times New Roman" w:hAnsi="Times New Roman" w:cs="Times New Roman"/>
          <w:sz w:val="24"/>
          <w:szCs w:val="24"/>
        </w:rPr>
      </w:pPr>
      <w:r w:rsidRPr="00967063">
        <w:rPr>
          <w:rFonts w:ascii="Times New Roman" w:hAnsi="Times New Roman" w:cs="Times New Roman"/>
          <w:sz w:val="24"/>
          <w:szCs w:val="24"/>
        </w:rPr>
        <w:t>Finalement, on peut retenir que la société qui se dote d’une CVR est encore traversée par un antagonisme quant aux préférences normatives et aux finalités de la commission. À cela s’ajoute le problème d’efficacité puisque le bilan de la première phase de son mandat, selon le parlement burundais, est encore à la phase préparatoire.</w:t>
      </w:r>
      <w:r w:rsidRPr="00967063">
        <w:rPr>
          <w:rStyle w:val="FootnoteReference"/>
          <w:rFonts w:ascii="Times New Roman" w:hAnsi="Times New Roman" w:cs="Times New Roman"/>
          <w:sz w:val="24"/>
          <w:szCs w:val="24"/>
        </w:rPr>
        <w:footnoteReference w:id="39"/>
      </w:r>
      <w:r w:rsidRPr="00967063">
        <w:rPr>
          <w:rFonts w:ascii="Times New Roman" w:hAnsi="Times New Roman" w:cs="Times New Roman"/>
          <w:sz w:val="24"/>
          <w:szCs w:val="24"/>
        </w:rPr>
        <w:t xml:space="preserve">  </w:t>
      </w:r>
    </w:p>
    <w:p w14:paraId="3CE6D784" w14:textId="77777777" w:rsidR="001905B0" w:rsidRPr="00967063" w:rsidRDefault="001905B0" w:rsidP="001905B0">
      <w:pPr>
        <w:pStyle w:val="Heading2"/>
        <w:numPr>
          <w:ilvl w:val="0"/>
          <w:numId w:val="15"/>
        </w:numPr>
        <w:rPr>
          <w:rFonts w:ascii="Times New Roman" w:hAnsi="Times New Roman" w:cs="Times New Roman"/>
          <w:b w:val="0"/>
          <w:color w:val="auto"/>
          <w:sz w:val="24"/>
          <w:szCs w:val="24"/>
        </w:rPr>
      </w:pPr>
      <w:bookmarkStart w:id="20" w:name="_Toc536771112"/>
      <w:bookmarkStart w:id="21" w:name="_Toc3637611"/>
      <w:bookmarkStart w:id="22" w:name="_Toc6239809"/>
      <w:r w:rsidRPr="00967063">
        <w:rPr>
          <w:rFonts w:ascii="Times New Roman" w:hAnsi="Times New Roman" w:cs="Times New Roman"/>
          <w:color w:val="auto"/>
          <w:sz w:val="24"/>
          <w:szCs w:val="24"/>
        </w:rPr>
        <w:t>Une CVR dont tout le bilan se résume à un travail purement préparatoire</w:t>
      </w:r>
      <w:bookmarkEnd w:id="20"/>
      <w:bookmarkEnd w:id="21"/>
      <w:bookmarkEnd w:id="22"/>
    </w:p>
    <w:p w14:paraId="7EE6BC31" w14:textId="77777777" w:rsidR="001905B0" w:rsidRPr="00967063" w:rsidRDefault="001905B0" w:rsidP="001905B0">
      <w:pPr>
        <w:rPr>
          <w:rFonts w:ascii="Times New Roman" w:hAnsi="Times New Roman" w:cs="Times New Roman"/>
          <w:sz w:val="24"/>
          <w:szCs w:val="24"/>
        </w:rPr>
      </w:pPr>
    </w:p>
    <w:p w14:paraId="74CE95EA" w14:textId="77777777" w:rsidR="001905B0" w:rsidRPr="00967063" w:rsidRDefault="001905B0" w:rsidP="001905B0">
      <w:pPr>
        <w:spacing w:line="480" w:lineRule="auto"/>
        <w:ind w:firstLine="708"/>
        <w:jc w:val="both"/>
        <w:rPr>
          <w:rFonts w:ascii="Times New Roman" w:hAnsi="Times New Roman" w:cs="Times New Roman"/>
          <w:sz w:val="24"/>
          <w:szCs w:val="24"/>
        </w:rPr>
      </w:pPr>
      <w:r w:rsidRPr="00967063">
        <w:rPr>
          <w:rFonts w:ascii="Times New Roman" w:hAnsi="Times New Roman" w:cs="Times New Roman"/>
          <w:sz w:val="24"/>
          <w:szCs w:val="24"/>
        </w:rPr>
        <w:t>Malgré le fait qu’elle soit mise en place par un régime qui appréhende le pôle de la justice</w:t>
      </w:r>
      <w:r w:rsidRPr="00967063">
        <w:rPr>
          <w:rStyle w:val="FootnoteReference"/>
          <w:rFonts w:ascii="Times New Roman" w:hAnsi="Times New Roman" w:cs="Times New Roman"/>
          <w:sz w:val="24"/>
          <w:szCs w:val="24"/>
        </w:rPr>
        <w:footnoteReference w:id="40"/>
      </w:r>
      <w:r w:rsidRPr="00967063">
        <w:rPr>
          <w:rFonts w:ascii="Times New Roman" w:hAnsi="Times New Roman" w:cs="Times New Roman"/>
          <w:sz w:val="24"/>
          <w:szCs w:val="24"/>
        </w:rPr>
        <w:t xml:space="preserve"> au profit de la réparation et de la réconciliation, la CVR commence néanmoins son travail. Sa mission, lit-on dans l’article 6 du décret, consiste à « enquêter et établir la vérité sur les violations (…) commises durant la période allant de la date de l’indépendance le 1er juillet 1962 au 4 décembre 2008, date de la fin de la belligérance »</w:t>
      </w:r>
      <w:r w:rsidRPr="00967063">
        <w:rPr>
          <w:rStyle w:val="FootnoteReference"/>
          <w:rFonts w:ascii="Times New Roman" w:hAnsi="Times New Roman" w:cs="Times New Roman"/>
          <w:sz w:val="24"/>
          <w:szCs w:val="24"/>
        </w:rPr>
        <w:footnoteReference w:id="41"/>
      </w:r>
      <w:r w:rsidRPr="00967063">
        <w:rPr>
          <w:rFonts w:ascii="Times New Roman" w:hAnsi="Times New Roman" w:cs="Times New Roman"/>
          <w:sz w:val="24"/>
          <w:szCs w:val="24"/>
        </w:rPr>
        <w:t xml:space="preserve">. Cette enquête vise cinq grands objectifs. </w:t>
      </w:r>
    </w:p>
    <w:p w14:paraId="345A246D" w14:textId="77777777" w:rsidR="001905B0" w:rsidRPr="00967063" w:rsidRDefault="001905B0" w:rsidP="001905B0">
      <w:pPr>
        <w:spacing w:line="480" w:lineRule="auto"/>
        <w:ind w:firstLine="708"/>
        <w:jc w:val="both"/>
        <w:rPr>
          <w:rFonts w:ascii="Times New Roman" w:hAnsi="Times New Roman" w:cs="Times New Roman"/>
          <w:sz w:val="24"/>
          <w:szCs w:val="24"/>
        </w:rPr>
      </w:pPr>
      <w:bookmarkStart w:id="23" w:name="_Hlk2198100"/>
      <w:r w:rsidRPr="00967063">
        <w:rPr>
          <w:rFonts w:ascii="Times New Roman" w:hAnsi="Times New Roman" w:cs="Times New Roman"/>
          <w:sz w:val="24"/>
          <w:szCs w:val="24"/>
        </w:rPr>
        <w:t>Premièrement, elle aura à élucider les violations, à établir les responsabilités, à déterminer la nature et l’étendue des violations, à identifier et à cartographier les fosses communes et tout autre lieu d’enterrement non reconnu par la loi en vue d’un enterrement digne. Deuxièmement, elle aura à qualifier ces violations. Troisièmement, elle aura à publier un certain nombre de listes de personnes (disparues, victimes, témoins ayant renoncé à l’anonymat, celles qui se sont distinguées dans la protection des autres, les victimes ayant accordé le pardon et les auteurs de crimes ayant été pardonnés)</w:t>
      </w:r>
      <w:r w:rsidRPr="00967063">
        <w:rPr>
          <w:rStyle w:val="FootnoteReference"/>
          <w:rFonts w:ascii="Times New Roman" w:hAnsi="Times New Roman" w:cs="Times New Roman"/>
          <w:sz w:val="24"/>
          <w:szCs w:val="24"/>
        </w:rPr>
        <w:footnoteReference w:id="42"/>
      </w:r>
      <w:r w:rsidRPr="00967063">
        <w:rPr>
          <w:rFonts w:ascii="Times New Roman" w:hAnsi="Times New Roman" w:cs="Times New Roman"/>
          <w:sz w:val="24"/>
          <w:szCs w:val="24"/>
        </w:rPr>
        <w:t xml:space="preserve">. Quatrièmement, elle aura à proposer un certain nombre d’actions : les réparations individuelles et collectives, matérielles et symboliques, la promotion du pardon et de la réconciliation, une journée de commémoration des victimes, des monuments de la réconciliation et de la mémoire, la réforme des institutions et la réécriture de l’histoire. Enfin, elle aura à contribuer à la recherche documentaire afin d’avoir une version partagée des évènements. </w:t>
      </w:r>
    </w:p>
    <w:bookmarkEnd w:id="23"/>
    <w:p w14:paraId="01342B2A" w14:textId="77777777" w:rsidR="001905B0" w:rsidRPr="00967063" w:rsidRDefault="001905B0" w:rsidP="001905B0">
      <w:pPr>
        <w:spacing w:line="480" w:lineRule="auto"/>
        <w:ind w:firstLine="283"/>
        <w:jc w:val="both"/>
        <w:rPr>
          <w:rFonts w:ascii="Times New Roman" w:hAnsi="Times New Roman" w:cs="Times New Roman"/>
          <w:sz w:val="24"/>
          <w:szCs w:val="24"/>
        </w:rPr>
      </w:pPr>
      <w:r w:rsidRPr="00967063">
        <w:rPr>
          <w:rFonts w:ascii="Times New Roman" w:hAnsi="Times New Roman" w:cs="Times New Roman"/>
          <w:sz w:val="24"/>
          <w:szCs w:val="24"/>
        </w:rPr>
        <w:t>À l’issue de son premier mandat, voici le constat du parlement réuni en congrès dans sa déclaration du 10 octobre 2018 : « les activités restantes à réaliser par la CVR après le mandat de 4 ans sont à la phase préparatoire dans l’accomplissement de ses missions puisque les enquêtes proprement dites n’ont pas encore commencé »</w:t>
      </w:r>
      <w:r w:rsidRPr="00967063">
        <w:rPr>
          <w:rStyle w:val="FootnoteReference"/>
          <w:rFonts w:ascii="Times New Roman" w:hAnsi="Times New Roman" w:cs="Times New Roman"/>
          <w:sz w:val="24"/>
          <w:szCs w:val="24"/>
        </w:rPr>
        <w:footnoteReference w:id="43"/>
      </w:r>
      <w:r w:rsidRPr="00967063">
        <w:rPr>
          <w:rFonts w:ascii="Times New Roman" w:hAnsi="Times New Roman" w:cs="Times New Roman"/>
          <w:sz w:val="24"/>
          <w:szCs w:val="24"/>
        </w:rPr>
        <w:t>. Pourtant le président de cette commission, lui, parle de bilan positif. En effet, la population, selon lui, a très bien répondu. Aussi la commission a-t-elle pu collecter des informations précieuses sur les personnes assassinées et disparues (100 000), les présumés auteurs des assassinats et enlèvements, les lieux des fosses communes, des témoins prêts à donner leur version des faits à visage découvert. Il note bien un point qui nous intéresse ici et sur lequel nous aurons l’occasion de revenir : il existe des Burundais qui n’ont pas attendu la mise sur pied de la CVR pour accorder ou demander le pardon. Puis il ajoute qu’il avoue que ceux qui acceptent de demander pardon sont très peu nombreux. Voici une partie du discours de clôture des travaux de la première phase (2014-2018):</w:t>
      </w:r>
    </w:p>
    <w:p w14:paraId="49689B43" w14:textId="77777777" w:rsidR="001905B0" w:rsidRPr="00967063" w:rsidRDefault="001905B0" w:rsidP="001905B0">
      <w:pPr>
        <w:spacing w:after="0" w:line="240" w:lineRule="auto"/>
        <w:ind w:left="283"/>
        <w:jc w:val="both"/>
        <w:rPr>
          <w:rFonts w:ascii="Times New Roman" w:hAnsi="Times New Roman" w:cs="Times New Roman"/>
          <w:sz w:val="24"/>
          <w:szCs w:val="24"/>
        </w:rPr>
      </w:pPr>
      <w:r w:rsidRPr="00967063">
        <w:rPr>
          <w:rFonts w:ascii="Times New Roman" w:hAnsi="Times New Roman" w:cs="Times New Roman"/>
          <w:sz w:val="24"/>
          <w:szCs w:val="24"/>
        </w:rPr>
        <w:t>L’ensemble, les citoyens burundais ont répondu à notre invitation. Dans certaines provinces, ils ont été même très nombreux, comme dans les provinces de Gitega et Ngozi où plus de dix-mille personnes sont venues faire leurs dépositions auprès de nos cadres et agents. Dans d’autres, comme Mwaro, Muramvya, Ruyigi et Cankuzo, l’affluence n’a pas été à la hauteur de nos attentes dans les premiers jours. Mais aux derniers jours, ils ont été tellement nombreux que nous n’avons pas pu les accueillir tous. Nous avons ainsi obtenu des informations très précieuses sur plus de cent-mille personnes assassinées ou disparues ainsi que sur les présumés auteurs d'assassinats ou d'enlèvements. Nous disposons de ces données dans toutes les communes, toutes les zones et toutes les collines et tous les quartiers du Burundi. Ce qui nous rend heureux à la fin de cette phase, c’est que nous avons découvert qu’il existe des Burundais qui acceptent de témoigner à visage découvert sur les atrocités commises au Burundi. Nous pourrons compter sur eux lors de la prochaine phase : celle des audiences publiques. Nous pouvons aussi vous assurer qu’il existe des Burundais qui n’ont pas attendu la mise sur pied de la CVR pour accorder ou demander le pardon. Mais pour être honnête, ceux qui acceptent de demander pardon sont très peu nombreux. Il est aussi bon de signaler qu’il existe des milliers de Burundais qui ont été cités pour s’être distingués dans la protection des vies humaines lors des crises des années passées. Ils méritent une reconnaissance nationale. Enfin, la CVR a pu apprendre l’existence au Burundi de plus de quatre-mille fosses communes et autres endroits d’enterrement non reconnu par la loi. Plusieurs de ces fosses communes ont pu être vérifiées par nos équipes de terrain. Avec l’appui de la Croix rouge et du Département de la protection civile au sein de la Police nationale, un travail d’exhumation des restes humains a été fait dans deux endroits, dans les provinces de Mwaro et Makamba, aux fins d’un enterrement digne</w:t>
      </w:r>
      <w:r w:rsidRPr="00967063">
        <w:rPr>
          <w:rStyle w:val="FootnoteReference"/>
          <w:rFonts w:ascii="Times New Roman" w:hAnsi="Times New Roman" w:cs="Times New Roman"/>
          <w:sz w:val="24"/>
          <w:szCs w:val="24"/>
        </w:rPr>
        <w:footnoteReference w:id="44"/>
      </w:r>
      <w:r w:rsidRPr="00967063">
        <w:rPr>
          <w:rFonts w:ascii="Times New Roman" w:hAnsi="Times New Roman" w:cs="Times New Roman"/>
          <w:sz w:val="24"/>
          <w:szCs w:val="24"/>
        </w:rPr>
        <w:t xml:space="preserve">. </w:t>
      </w:r>
    </w:p>
    <w:p w14:paraId="4D192B3D" w14:textId="77777777" w:rsidR="001905B0" w:rsidRPr="00967063" w:rsidRDefault="001905B0" w:rsidP="001905B0">
      <w:pPr>
        <w:spacing w:line="240" w:lineRule="auto"/>
        <w:ind w:left="283"/>
        <w:jc w:val="both"/>
        <w:rPr>
          <w:rFonts w:ascii="Times New Roman" w:hAnsi="Times New Roman" w:cs="Times New Roman"/>
          <w:sz w:val="24"/>
          <w:szCs w:val="24"/>
        </w:rPr>
      </w:pPr>
    </w:p>
    <w:p w14:paraId="599C968E" w14:textId="77777777" w:rsidR="001905B0" w:rsidRPr="00967063" w:rsidRDefault="001905B0" w:rsidP="001905B0">
      <w:pPr>
        <w:spacing w:line="480" w:lineRule="auto"/>
        <w:jc w:val="both"/>
        <w:rPr>
          <w:rFonts w:ascii="Times New Roman" w:hAnsi="Times New Roman" w:cs="Times New Roman"/>
          <w:sz w:val="24"/>
          <w:szCs w:val="24"/>
        </w:rPr>
      </w:pPr>
      <w:r w:rsidRPr="00967063">
        <w:rPr>
          <w:rFonts w:ascii="Times New Roman" w:hAnsi="Times New Roman" w:cs="Times New Roman"/>
          <w:sz w:val="24"/>
          <w:szCs w:val="24"/>
        </w:rPr>
        <w:t xml:space="preserve">Il juge que la CVR a bien travaillé malgré le manque de moyens : </w:t>
      </w:r>
    </w:p>
    <w:p w14:paraId="6748A5CB" w14:textId="77777777" w:rsidR="001905B0" w:rsidRPr="00967063" w:rsidRDefault="001905B0" w:rsidP="001905B0">
      <w:pPr>
        <w:spacing w:line="240" w:lineRule="auto"/>
        <w:ind w:left="283"/>
        <w:jc w:val="both"/>
        <w:rPr>
          <w:rFonts w:ascii="Times New Roman" w:hAnsi="Times New Roman" w:cs="Times New Roman"/>
          <w:sz w:val="24"/>
          <w:szCs w:val="24"/>
        </w:rPr>
      </w:pPr>
      <w:r w:rsidRPr="00967063">
        <w:rPr>
          <w:rFonts w:ascii="Times New Roman" w:hAnsi="Times New Roman" w:cs="Times New Roman"/>
          <w:sz w:val="24"/>
          <w:szCs w:val="24"/>
        </w:rPr>
        <w:t>De 1962 à 2008, c’est 46 années sur lesquelles elle doit investiguer, alors qu’elle n’a pas reçu à ce jour les moyens dont les autres commissions-Vérité et Réconciliation ont bénéficié dans le monde. Mais nous avançons, malgré tout</w:t>
      </w:r>
      <w:r w:rsidRPr="00967063">
        <w:rPr>
          <w:rStyle w:val="FootnoteReference"/>
          <w:rFonts w:ascii="Times New Roman" w:hAnsi="Times New Roman" w:cs="Times New Roman"/>
          <w:sz w:val="24"/>
          <w:szCs w:val="24"/>
        </w:rPr>
        <w:footnoteReference w:id="45"/>
      </w:r>
      <w:r w:rsidRPr="00967063">
        <w:rPr>
          <w:rFonts w:ascii="Times New Roman" w:hAnsi="Times New Roman" w:cs="Times New Roman"/>
          <w:sz w:val="24"/>
          <w:szCs w:val="24"/>
        </w:rPr>
        <w:t>.</w:t>
      </w:r>
    </w:p>
    <w:p w14:paraId="690D3F46" w14:textId="77777777" w:rsidR="001905B0" w:rsidRPr="00967063" w:rsidRDefault="001905B0" w:rsidP="001905B0">
      <w:pPr>
        <w:spacing w:after="0" w:line="240" w:lineRule="auto"/>
        <w:jc w:val="both"/>
        <w:rPr>
          <w:rFonts w:ascii="Times New Roman" w:hAnsi="Times New Roman" w:cs="Times New Roman"/>
          <w:sz w:val="24"/>
          <w:szCs w:val="24"/>
        </w:rPr>
      </w:pPr>
    </w:p>
    <w:p w14:paraId="3C415B2A" w14:textId="77777777" w:rsidR="001905B0" w:rsidRPr="00967063" w:rsidRDefault="001905B0" w:rsidP="001905B0">
      <w:pPr>
        <w:spacing w:after="0" w:line="480" w:lineRule="auto"/>
        <w:ind w:firstLine="283"/>
        <w:jc w:val="both"/>
        <w:rPr>
          <w:rFonts w:ascii="Times New Roman" w:hAnsi="Times New Roman" w:cs="Times New Roman"/>
          <w:sz w:val="24"/>
          <w:szCs w:val="24"/>
        </w:rPr>
      </w:pPr>
      <w:r w:rsidRPr="00967063">
        <w:rPr>
          <w:rFonts w:ascii="Times New Roman" w:hAnsi="Times New Roman" w:cs="Times New Roman"/>
          <w:sz w:val="24"/>
          <w:szCs w:val="24"/>
        </w:rPr>
        <w:t xml:space="preserve">Bref selon lui, la commission est capable d’exposer les données sur les victimes, les assassins et les témoins. Elle a reçu beaucoup de dépositions. Mais il lui reste tellement de choses à faire. C’est la raison pour laquelle Monseigneur Jean-Louis souhaite voir sa mission prolongée :  </w:t>
      </w:r>
    </w:p>
    <w:p w14:paraId="325321F7" w14:textId="77777777" w:rsidR="001905B0" w:rsidRPr="00967063" w:rsidRDefault="001905B0" w:rsidP="001905B0">
      <w:pPr>
        <w:spacing w:after="0" w:line="240" w:lineRule="auto"/>
        <w:ind w:left="283"/>
        <w:jc w:val="both"/>
        <w:rPr>
          <w:rFonts w:ascii="Times New Roman" w:hAnsi="Times New Roman" w:cs="Times New Roman"/>
          <w:sz w:val="24"/>
          <w:szCs w:val="24"/>
        </w:rPr>
      </w:pPr>
      <w:r w:rsidRPr="00967063">
        <w:rPr>
          <w:rFonts w:ascii="Times New Roman" w:hAnsi="Times New Roman" w:cs="Times New Roman"/>
          <w:sz w:val="24"/>
          <w:szCs w:val="24"/>
        </w:rPr>
        <w:t>Nous avons recueilli des milliers et des milliers de témoignages, nous avons identifié des témoins et des acteurs clés de nos crises ; nous sommes capables aujourd’hui de faire la cartographie des fosses communes. Nous avons appris quels étaient les signes avant-coureurs des massacres, les mobiles ayant poussé les gens à s’entretuer, les déroulements des massacres, les groupes cibles, certains auteurs planificateurs, instructeurs et exécuteurs, nous savons où ont été jetés les cadavres; nous avons en notre possession des dépositions qui nous montrent les citoyens qui ont sauvé d’autres personnes en danger de mort, les motivations des sauveteurs, le rôle des administratifs, les attitudes des populations, des procès engagés à la suite de certaines crises, les régions qui ont été les plus sinistrées par rapport à d’autres. Mais le chemin est encore long vers la rédaction du rapport final. Car il reste tellement de choses à faire. Dans tous les cas, une prolongation du mandat de notre Commission Vérité et Réconciliation est déjà souhaitée</w:t>
      </w:r>
      <w:r w:rsidRPr="00967063">
        <w:rPr>
          <w:rStyle w:val="FootnoteReference"/>
          <w:rFonts w:ascii="Times New Roman" w:hAnsi="Times New Roman" w:cs="Times New Roman"/>
          <w:sz w:val="24"/>
          <w:szCs w:val="24"/>
        </w:rPr>
        <w:footnoteReference w:id="46"/>
      </w:r>
      <w:r w:rsidRPr="00967063">
        <w:rPr>
          <w:rFonts w:ascii="Times New Roman" w:hAnsi="Times New Roman" w:cs="Times New Roman"/>
          <w:sz w:val="24"/>
          <w:szCs w:val="24"/>
        </w:rPr>
        <w:t>.</w:t>
      </w:r>
    </w:p>
    <w:p w14:paraId="3A4AD40D" w14:textId="77777777" w:rsidR="001905B0" w:rsidRPr="00967063" w:rsidRDefault="001905B0" w:rsidP="001905B0">
      <w:pPr>
        <w:spacing w:after="0" w:line="240" w:lineRule="auto"/>
        <w:rPr>
          <w:rFonts w:ascii="Times New Roman" w:hAnsi="Times New Roman" w:cs="Times New Roman"/>
          <w:sz w:val="24"/>
          <w:szCs w:val="24"/>
        </w:rPr>
      </w:pPr>
    </w:p>
    <w:p w14:paraId="63B5CFF6" w14:textId="77777777" w:rsidR="001905B0" w:rsidRPr="00967063" w:rsidRDefault="001905B0" w:rsidP="001905B0">
      <w:pPr>
        <w:spacing w:line="480" w:lineRule="auto"/>
        <w:ind w:firstLine="283"/>
        <w:jc w:val="both"/>
        <w:rPr>
          <w:rFonts w:ascii="Times New Roman" w:hAnsi="Times New Roman" w:cs="Times New Roman"/>
          <w:sz w:val="24"/>
          <w:szCs w:val="24"/>
        </w:rPr>
      </w:pPr>
      <w:r w:rsidRPr="00967063">
        <w:rPr>
          <w:rFonts w:ascii="Times New Roman" w:hAnsi="Times New Roman" w:cs="Times New Roman"/>
          <w:sz w:val="24"/>
          <w:szCs w:val="24"/>
        </w:rPr>
        <w:t xml:space="preserve">A l'opposé de ce que dit le président de la CVR, les organisations de la société civile non gouvernementale, elles, parlent plutôt de travail dans l’illégalité, d’inefficience et du risque d’instrumentalisation par le pouvoir. Selon l’organisation Forum pour le renforcement de la société civile (FORSC), la CVR travaille dans l’illégalité puisqu’elle ne collabore pas avec le conseil consultatif international, organe pourtant obligatoire:  </w:t>
      </w:r>
    </w:p>
    <w:p w14:paraId="50F7F705" w14:textId="77777777" w:rsidR="001905B0" w:rsidRPr="00967063" w:rsidRDefault="001905B0" w:rsidP="001905B0">
      <w:pPr>
        <w:spacing w:after="0" w:line="240" w:lineRule="auto"/>
        <w:ind w:left="283"/>
        <w:jc w:val="both"/>
        <w:rPr>
          <w:rFonts w:ascii="Times New Roman" w:hAnsi="Times New Roman" w:cs="Times New Roman"/>
          <w:sz w:val="24"/>
          <w:szCs w:val="24"/>
        </w:rPr>
      </w:pPr>
      <w:r w:rsidRPr="00967063">
        <w:rPr>
          <w:rFonts w:ascii="Times New Roman" w:hAnsi="Times New Roman" w:cs="Times New Roman"/>
          <w:sz w:val="24"/>
          <w:szCs w:val="24"/>
        </w:rPr>
        <w:t xml:space="preserve">La CVR continue son travail comme si rien n’était alors qu’une portion importante de la population est continuellement persécutée et se trouve soit en exil ou déplacée à l’intérieur du pays. La CVR travaille dans un contexte qui est loin d’être conforme à la loi qui la régit en ce sens que le conseil consultatif international pourtant obligatoire n’a jamais été créé. </w:t>
      </w:r>
    </w:p>
    <w:p w14:paraId="53CC4ECF" w14:textId="77777777" w:rsidR="001905B0" w:rsidRPr="00967063" w:rsidRDefault="001905B0" w:rsidP="001905B0">
      <w:pPr>
        <w:spacing w:after="0" w:line="240" w:lineRule="auto"/>
        <w:ind w:left="2832"/>
        <w:jc w:val="both"/>
        <w:rPr>
          <w:rFonts w:ascii="Times New Roman" w:hAnsi="Times New Roman" w:cs="Times New Roman"/>
          <w:sz w:val="24"/>
          <w:szCs w:val="24"/>
        </w:rPr>
      </w:pPr>
    </w:p>
    <w:p w14:paraId="5FF84CCA" w14:textId="51CCB6AA" w:rsidR="001905B0" w:rsidRPr="00967063" w:rsidRDefault="001905B0" w:rsidP="001905B0">
      <w:pPr>
        <w:spacing w:after="0" w:line="480" w:lineRule="auto"/>
        <w:jc w:val="both"/>
        <w:rPr>
          <w:rFonts w:ascii="Times New Roman" w:hAnsi="Times New Roman" w:cs="Times New Roman"/>
          <w:sz w:val="24"/>
          <w:szCs w:val="24"/>
        </w:rPr>
      </w:pPr>
      <w:r w:rsidRPr="00967063">
        <w:rPr>
          <w:rFonts w:ascii="Times New Roman" w:hAnsi="Times New Roman" w:cs="Times New Roman"/>
          <w:sz w:val="24"/>
          <w:szCs w:val="24"/>
        </w:rPr>
        <w:t>De plus elle est confrontée à une vacance de poste prolongée des commissaires</w:t>
      </w:r>
      <w:r w:rsidR="00C02206">
        <w:rPr>
          <w:rFonts w:ascii="Times New Roman" w:hAnsi="Times New Roman" w:cs="Times New Roman"/>
          <w:sz w:val="24"/>
          <w:szCs w:val="24"/>
        </w:rPr>
        <w:t>, ce qui a nécessairement un impact négatif</w:t>
      </w:r>
      <w:r w:rsidRPr="00967063">
        <w:rPr>
          <w:rFonts w:ascii="Times New Roman" w:hAnsi="Times New Roman" w:cs="Times New Roman"/>
          <w:sz w:val="24"/>
          <w:szCs w:val="24"/>
        </w:rPr>
        <w:t xml:space="preserve"> </w:t>
      </w:r>
      <w:r w:rsidR="00C02206">
        <w:rPr>
          <w:rFonts w:ascii="Times New Roman" w:hAnsi="Times New Roman" w:cs="Times New Roman"/>
          <w:sz w:val="24"/>
          <w:szCs w:val="24"/>
        </w:rPr>
        <w:t>sur</w:t>
      </w:r>
      <w:r w:rsidRPr="00967063">
        <w:rPr>
          <w:rFonts w:ascii="Times New Roman" w:hAnsi="Times New Roman" w:cs="Times New Roman"/>
          <w:sz w:val="24"/>
          <w:szCs w:val="24"/>
        </w:rPr>
        <w:t xml:space="preserve"> ses prestations. Plus grave encore, elle ne tient pas compte de la situation de crise en cours depuis 2015</w:t>
      </w:r>
      <w:r w:rsidR="00C02206">
        <w:rPr>
          <w:rFonts w:ascii="Times New Roman" w:hAnsi="Times New Roman" w:cs="Times New Roman"/>
          <w:sz w:val="24"/>
          <w:szCs w:val="24"/>
        </w:rPr>
        <w:t> :</w:t>
      </w:r>
    </w:p>
    <w:p w14:paraId="53A6C94F" w14:textId="77777777" w:rsidR="001905B0" w:rsidRPr="00967063" w:rsidRDefault="001905B0" w:rsidP="001905B0">
      <w:pPr>
        <w:spacing w:after="0" w:line="240" w:lineRule="auto"/>
        <w:ind w:left="283"/>
        <w:jc w:val="both"/>
        <w:rPr>
          <w:rFonts w:ascii="Times New Roman" w:hAnsi="Times New Roman" w:cs="Times New Roman"/>
          <w:sz w:val="24"/>
          <w:szCs w:val="24"/>
        </w:rPr>
      </w:pPr>
      <w:r w:rsidRPr="00967063">
        <w:rPr>
          <w:rFonts w:ascii="Times New Roman" w:hAnsi="Times New Roman" w:cs="Times New Roman"/>
          <w:sz w:val="24"/>
          <w:szCs w:val="24"/>
        </w:rPr>
        <w:t>La vacance</w:t>
      </w:r>
      <w:r w:rsidRPr="00967063">
        <w:rPr>
          <w:rFonts w:ascii="Times New Roman" w:eastAsia="Times New Roman" w:hAnsi="Times New Roman" w:cs="Times New Roman"/>
          <w:sz w:val="24"/>
          <w:szCs w:val="24"/>
          <w:lang w:eastAsia="fr-CA"/>
        </w:rPr>
        <w:t xml:space="preserve"> </w:t>
      </w:r>
      <w:r w:rsidRPr="00967063">
        <w:rPr>
          <w:rFonts w:ascii="Times New Roman" w:hAnsi="Times New Roman" w:cs="Times New Roman"/>
          <w:sz w:val="24"/>
          <w:szCs w:val="24"/>
        </w:rPr>
        <w:t>de poste des commissaires durant une période prolongée impacte négativement les prestations de la CVR. La CVR devrait tenir compte de la crise en cours au Burundi pour ne pas faire un travail biaisé, contestable pour une partie de Burundais qui continuent à croire légitimement que le moment n’est pas propice pour la recherche de la vérité et la réconciliation des Burundais.</w:t>
      </w:r>
      <w:r w:rsidRPr="00967063">
        <w:rPr>
          <w:rStyle w:val="FootnoteReference"/>
          <w:rFonts w:ascii="Times New Roman" w:hAnsi="Times New Roman" w:cs="Times New Roman"/>
          <w:sz w:val="24"/>
          <w:szCs w:val="24"/>
        </w:rPr>
        <w:footnoteReference w:id="47"/>
      </w:r>
      <w:r w:rsidRPr="00967063">
        <w:rPr>
          <w:rFonts w:ascii="Times New Roman" w:hAnsi="Times New Roman" w:cs="Times New Roman"/>
          <w:sz w:val="24"/>
          <w:szCs w:val="24"/>
        </w:rPr>
        <w:t xml:space="preserve"> </w:t>
      </w:r>
    </w:p>
    <w:p w14:paraId="4085B311" w14:textId="77777777" w:rsidR="001905B0" w:rsidRPr="00967063" w:rsidRDefault="001905B0" w:rsidP="001905B0">
      <w:pPr>
        <w:spacing w:line="240" w:lineRule="auto"/>
        <w:jc w:val="both"/>
        <w:rPr>
          <w:rFonts w:ascii="Times New Roman" w:hAnsi="Times New Roman" w:cs="Times New Roman"/>
          <w:sz w:val="24"/>
          <w:szCs w:val="24"/>
        </w:rPr>
      </w:pPr>
    </w:p>
    <w:p w14:paraId="64336512" w14:textId="77777777" w:rsidR="001905B0" w:rsidRPr="00967063" w:rsidRDefault="001905B0" w:rsidP="001905B0">
      <w:pPr>
        <w:spacing w:line="480" w:lineRule="auto"/>
        <w:jc w:val="both"/>
        <w:rPr>
          <w:rFonts w:ascii="Times New Roman" w:hAnsi="Times New Roman" w:cs="Times New Roman"/>
          <w:sz w:val="24"/>
          <w:szCs w:val="24"/>
        </w:rPr>
      </w:pPr>
      <w:r w:rsidRPr="00967063">
        <w:rPr>
          <w:rFonts w:ascii="Times New Roman" w:hAnsi="Times New Roman" w:cs="Times New Roman"/>
          <w:sz w:val="24"/>
          <w:szCs w:val="24"/>
        </w:rPr>
        <w:t>Une autre organisation internationale, Human Right Watch (HRW), voit un danger réel que la justice transitionnelle soit instrumentalisée :</w:t>
      </w:r>
    </w:p>
    <w:p w14:paraId="22B951D6" w14:textId="77777777" w:rsidR="001905B0" w:rsidRPr="00967063" w:rsidRDefault="001905B0" w:rsidP="001905B0">
      <w:pPr>
        <w:ind w:left="283"/>
        <w:jc w:val="both"/>
        <w:rPr>
          <w:rFonts w:ascii="Times New Roman" w:eastAsia="Times New Roman" w:hAnsi="Times New Roman" w:cs="Times New Roman"/>
          <w:sz w:val="24"/>
          <w:szCs w:val="24"/>
          <w:lang w:val="en-CA" w:eastAsia="fr-CA"/>
        </w:rPr>
      </w:pPr>
      <w:r w:rsidRPr="00967063">
        <w:rPr>
          <w:rFonts w:ascii="Times New Roman" w:hAnsi="Times New Roman" w:cs="Times New Roman"/>
          <w:sz w:val="24"/>
          <w:szCs w:val="24"/>
          <w:lang w:val="en-CA"/>
        </w:rPr>
        <w:t xml:space="preserve">The establishment of national TJ mechanisms and their accompaniment by localized processes of TJ would present a real opportunity for Burundi to take the necessary steps to deal with its violent past, characterized by alleged war crimes, crimes against humanity and genocide. Yet in the current socio-political context –where the CNDD-FDD of incumbent President Pierre Nkurunziza maintains a tight grip of power, where opposition political parties are weak and divided, and where civil society organizations working on TJ have been largely ineffective in holding the government to account –there is a very real danger that TJ will be </w:t>
      </w:r>
      <w:r w:rsidRPr="00967063">
        <w:rPr>
          <w:rFonts w:ascii="Times New Roman" w:eastAsia="Times New Roman" w:hAnsi="Times New Roman" w:cs="Times New Roman"/>
          <w:sz w:val="24"/>
          <w:szCs w:val="24"/>
          <w:lang w:val="en-CA" w:eastAsia="fr-CA"/>
        </w:rPr>
        <w:t>–instrumentalized for the good of a few, rather than for the benefit of the masses</w:t>
      </w:r>
      <w:r w:rsidRPr="00967063">
        <w:rPr>
          <w:rStyle w:val="FootnoteReference"/>
          <w:rFonts w:ascii="Times New Roman" w:hAnsi="Times New Roman" w:cs="Times New Roman"/>
          <w:sz w:val="24"/>
          <w:szCs w:val="24"/>
        </w:rPr>
        <w:footnoteReference w:id="48"/>
      </w:r>
      <w:r w:rsidRPr="00967063">
        <w:rPr>
          <w:rFonts w:ascii="Times New Roman" w:eastAsia="Times New Roman" w:hAnsi="Times New Roman" w:cs="Times New Roman"/>
          <w:sz w:val="24"/>
          <w:szCs w:val="24"/>
          <w:lang w:val="en-CA" w:eastAsia="fr-CA"/>
        </w:rPr>
        <w:t>.</w:t>
      </w:r>
    </w:p>
    <w:p w14:paraId="3A85409B" w14:textId="77777777" w:rsidR="001905B0" w:rsidRPr="00967063" w:rsidRDefault="001905B0" w:rsidP="001905B0">
      <w:pPr>
        <w:spacing w:line="480" w:lineRule="auto"/>
        <w:ind w:firstLine="283"/>
        <w:jc w:val="both"/>
        <w:rPr>
          <w:rFonts w:ascii="Times New Roman" w:hAnsi="Times New Roman" w:cs="Times New Roman"/>
          <w:sz w:val="24"/>
          <w:szCs w:val="24"/>
        </w:rPr>
      </w:pPr>
      <w:r w:rsidRPr="00967063">
        <w:rPr>
          <w:rFonts w:ascii="Times New Roman" w:eastAsia="Times New Roman" w:hAnsi="Times New Roman" w:cs="Times New Roman"/>
          <w:sz w:val="24"/>
          <w:szCs w:val="24"/>
          <w:lang w:eastAsia="fr-CA"/>
        </w:rPr>
        <w:t>Autant dire, à notre avis, que la CVR, affrontent trois problèmes de fond d’une action supposée collective</w:t>
      </w:r>
      <w:r w:rsidRPr="00967063">
        <w:rPr>
          <w:rStyle w:val="FootnoteReference"/>
          <w:rFonts w:ascii="Times New Roman" w:hAnsi="Times New Roman" w:cs="Times New Roman"/>
          <w:sz w:val="24"/>
          <w:szCs w:val="24"/>
        </w:rPr>
        <w:footnoteReference w:id="49"/>
      </w:r>
      <w:r w:rsidRPr="00967063">
        <w:rPr>
          <w:rFonts w:ascii="Times New Roman" w:eastAsia="Times New Roman" w:hAnsi="Times New Roman" w:cs="Times New Roman"/>
          <w:sz w:val="24"/>
          <w:szCs w:val="24"/>
          <w:lang w:eastAsia="fr-CA"/>
        </w:rPr>
        <w:t xml:space="preserve"> : des interprétations rivales en rapport avec son opportunité eu égard à la crise en cours depuis 2015, une incertitude sur la conduite des protagonistes (le gouvernement, la société civile, la cour pénale internationale, le </w:t>
      </w:r>
      <w:r w:rsidRPr="00967063">
        <w:rPr>
          <w:rFonts w:ascii="Times New Roman" w:hAnsi="Times New Roman" w:cs="Times New Roman"/>
          <w:sz w:val="24"/>
          <w:szCs w:val="24"/>
        </w:rPr>
        <w:t>conseil consultatif international, etc.) ainsi que le problème d’efficacité. De là vient notre désir d’analyser la nature du problème posé à la CVR compte tenu de ses circonstances de travail.</w:t>
      </w:r>
    </w:p>
    <w:p w14:paraId="250C4730" w14:textId="77777777" w:rsidR="001905B0" w:rsidRPr="00967063" w:rsidRDefault="001905B0" w:rsidP="001905B0">
      <w:pPr>
        <w:rPr>
          <w:rFonts w:ascii="Times New Roman" w:hAnsi="Times New Roman" w:cs="Times New Roman"/>
          <w:sz w:val="24"/>
          <w:szCs w:val="24"/>
        </w:rPr>
      </w:pPr>
    </w:p>
    <w:p w14:paraId="6313BDD9" w14:textId="77777777" w:rsidR="001905B0" w:rsidRPr="00967063" w:rsidRDefault="001905B0" w:rsidP="001905B0">
      <w:pPr>
        <w:rPr>
          <w:rFonts w:ascii="Times New Roman" w:eastAsia="Times New Roman" w:hAnsi="Times New Roman" w:cs="Times New Roman"/>
          <w:b/>
          <w:bCs/>
          <w:kern w:val="36"/>
          <w:sz w:val="24"/>
          <w:szCs w:val="24"/>
          <w:lang w:eastAsia="fr-CA"/>
        </w:rPr>
      </w:pPr>
      <w:bookmarkStart w:id="24" w:name="_Toc536771113"/>
      <w:r w:rsidRPr="00967063">
        <w:rPr>
          <w:rFonts w:ascii="Times New Roman" w:hAnsi="Times New Roman" w:cs="Times New Roman"/>
          <w:sz w:val="24"/>
          <w:szCs w:val="24"/>
        </w:rPr>
        <w:br w:type="page"/>
      </w:r>
    </w:p>
    <w:p w14:paraId="07671DA1" w14:textId="77777777" w:rsidR="001905B0" w:rsidRPr="00967063" w:rsidRDefault="001905B0" w:rsidP="001905B0">
      <w:pPr>
        <w:pStyle w:val="Heading1"/>
        <w:rPr>
          <w:sz w:val="24"/>
          <w:szCs w:val="24"/>
        </w:rPr>
      </w:pPr>
      <w:bookmarkStart w:id="25" w:name="_Toc3637612"/>
      <w:bookmarkStart w:id="26" w:name="_Toc6239810"/>
      <w:r w:rsidRPr="00967063">
        <w:rPr>
          <w:sz w:val="24"/>
          <w:szCs w:val="24"/>
        </w:rPr>
        <w:t>Chapitre II : Nature du problème de la CVR selon l’éthique reconstructive</w:t>
      </w:r>
      <w:bookmarkEnd w:id="24"/>
      <w:bookmarkEnd w:id="25"/>
      <w:bookmarkEnd w:id="26"/>
      <w:r w:rsidRPr="00967063">
        <w:rPr>
          <w:sz w:val="24"/>
          <w:szCs w:val="24"/>
        </w:rPr>
        <w:t xml:space="preserve"> </w:t>
      </w:r>
    </w:p>
    <w:p w14:paraId="19E85D44" w14:textId="77777777" w:rsidR="001905B0" w:rsidRPr="00967063" w:rsidRDefault="001905B0" w:rsidP="001905B0">
      <w:pPr>
        <w:spacing w:line="480" w:lineRule="auto"/>
        <w:ind w:firstLine="708"/>
        <w:jc w:val="both"/>
        <w:rPr>
          <w:rFonts w:ascii="Times New Roman" w:hAnsi="Times New Roman" w:cs="Times New Roman"/>
          <w:sz w:val="24"/>
          <w:szCs w:val="24"/>
        </w:rPr>
      </w:pPr>
      <w:r w:rsidRPr="00967063">
        <w:rPr>
          <w:rFonts w:ascii="Times New Roman" w:hAnsi="Times New Roman" w:cs="Times New Roman"/>
          <w:sz w:val="24"/>
          <w:szCs w:val="24"/>
        </w:rPr>
        <w:t xml:space="preserve">Dans ce deuxième chapitre, nous voudrions croiser notre réflexion sur les circonstances de la CVR et l’éthique reconstructive de Ferry afin de cerner la nature du problème. C’est pourquoi nous voulons mettre en lumière trois éléments : notre grille de lecture qu’est le cadre éthique de Ferry, sa pertinence eu égard au travail de la CVR ainsi que le problème de la CVR vu sous cet angle.  </w:t>
      </w:r>
    </w:p>
    <w:p w14:paraId="024EC0E4" w14:textId="77777777" w:rsidR="001905B0" w:rsidRPr="00967063" w:rsidRDefault="001905B0" w:rsidP="001905B0">
      <w:pPr>
        <w:pStyle w:val="Heading2"/>
        <w:numPr>
          <w:ilvl w:val="0"/>
          <w:numId w:val="16"/>
        </w:numPr>
        <w:rPr>
          <w:rFonts w:ascii="Times New Roman" w:hAnsi="Times New Roman" w:cs="Times New Roman"/>
          <w:b w:val="0"/>
          <w:color w:val="auto"/>
          <w:sz w:val="24"/>
          <w:szCs w:val="24"/>
        </w:rPr>
      </w:pPr>
      <w:bookmarkStart w:id="27" w:name="_Toc536771114"/>
      <w:bookmarkStart w:id="28" w:name="_Toc3637613"/>
      <w:bookmarkStart w:id="29" w:name="_Toc6239811"/>
      <w:r w:rsidRPr="00967063">
        <w:rPr>
          <w:rFonts w:ascii="Times New Roman" w:hAnsi="Times New Roman" w:cs="Times New Roman"/>
          <w:color w:val="auto"/>
          <w:sz w:val="24"/>
          <w:szCs w:val="24"/>
        </w:rPr>
        <w:t>L’éthique reconstructive et sa pertinence pour le travail de la commission</w:t>
      </w:r>
      <w:bookmarkEnd w:id="27"/>
      <w:bookmarkEnd w:id="28"/>
      <w:bookmarkEnd w:id="29"/>
    </w:p>
    <w:p w14:paraId="224A8D5F" w14:textId="77777777" w:rsidR="001905B0" w:rsidRPr="00967063" w:rsidRDefault="001905B0" w:rsidP="001905B0">
      <w:pPr>
        <w:rPr>
          <w:rFonts w:ascii="Times New Roman" w:hAnsi="Times New Roman" w:cs="Times New Roman"/>
          <w:sz w:val="24"/>
          <w:szCs w:val="24"/>
        </w:rPr>
      </w:pPr>
    </w:p>
    <w:p w14:paraId="211E453D" w14:textId="52DC0D55" w:rsidR="001905B0" w:rsidRPr="00967063" w:rsidRDefault="001905B0" w:rsidP="001905B0">
      <w:pPr>
        <w:spacing w:line="480" w:lineRule="auto"/>
        <w:jc w:val="both"/>
        <w:rPr>
          <w:rFonts w:ascii="Times New Roman" w:hAnsi="Times New Roman" w:cs="Times New Roman"/>
          <w:sz w:val="24"/>
          <w:szCs w:val="24"/>
        </w:rPr>
      </w:pPr>
      <w:r w:rsidRPr="00967063">
        <w:rPr>
          <w:rFonts w:ascii="Times New Roman" w:hAnsi="Times New Roman" w:cs="Times New Roman"/>
          <w:sz w:val="24"/>
          <w:szCs w:val="24"/>
        </w:rPr>
        <w:t xml:space="preserve">A notre avis, l’éthique reconstructive s’impose comme paradigme philosophique pertinent pour penser le processus de vérité </w:t>
      </w:r>
      <w:r w:rsidR="00C02206">
        <w:rPr>
          <w:rFonts w:ascii="Times New Roman" w:hAnsi="Times New Roman" w:cs="Times New Roman"/>
          <w:sz w:val="24"/>
          <w:szCs w:val="24"/>
        </w:rPr>
        <w:t xml:space="preserve">et </w:t>
      </w:r>
      <w:r w:rsidRPr="00967063">
        <w:rPr>
          <w:rFonts w:ascii="Times New Roman" w:hAnsi="Times New Roman" w:cs="Times New Roman"/>
          <w:sz w:val="24"/>
          <w:szCs w:val="24"/>
        </w:rPr>
        <w:t>réconciliation au Burundi. Pour le comprendre, nous voulons d’abord présenter ce cadre</w:t>
      </w:r>
    </w:p>
    <w:p w14:paraId="215309D5" w14:textId="77777777" w:rsidR="001905B0" w:rsidRPr="00967063" w:rsidRDefault="001905B0" w:rsidP="001905B0">
      <w:pPr>
        <w:pStyle w:val="Heading3"/>
        <w:rPr>
          <w:rFonts w:ascii="Times New Roman" w:hAnsi="Times New Roman" w:cs="Times New Roman"/>
          <w:b w:val="0"/>
        </w:rPr>
      </w:pPr>
      <w:bookmarkStart w:id="30" w:name="_Toc536771115"/>
      <w:bookmarkStart w:id="31" w:name="_Toc3637614"/>
      <w:bookmarkStart w:id="32" w:name="_Toc6239812"/>
      <w:r w:rsidRPr="00967063">
        <w:rPr>
          <w:rFonts w:ascii="Times New Roman" w:hAnsi="Times New Roman" w:cs="Times New Roman"/>
          <w:color w:val="auto"/>
        </w:rPr>
        <w:t>1.1 L’éthique reconstructive selon Jean Marc Ferry</w:t>
      </w:r>
      <w:bookmarkEnd w:id="30"/>
      <w:r w:rsidRPr="00967063">
        <w:rPr>
          <w:rFonts w:ascii="Times New Roman" w:hAnsi="Times New Roman" w:cs="Times New Roman"/>
          <w:color w:val="auto"/>
        </w:rPr>
        <w:t>.</w:t>
      </w:r>
      <w:bookmarkEnd w:id="31"/>
      <w:bookmarkEnd w:id="32"/>
    </w:p>
    <w:p w14:paraId="09ACED99" w14:textId="77777777" w:rsidR="001905B0" w:rsidRPr="00967063" w:rsidRDefault="001905B0" w:rsidP="001905B0">
      <w:pPr>
        <w:rPr>
          <w:rFonts w:ascii="Times New Roman" w:hAnsi="Times New Roman" w:cs="Times New Roman"/>
          <w:sz w:val="24"/>
          <w:szCs w:val="24"/>
        </w:rPr>
      </w:pPr>
    </w:p>
    <w:p w14:paraId="4A23C96B" w14:textId="77777777" w:rsidR="001905B0" w:rsidRPr="00967063" w:rsidRDefault="001905B0" w:rsidP="001905B0">
      <w:pPr>
        <w:spacing w:line="480" w:lineRule="auto"/>
        <w:ind w:firstLine="708"/>
        <w:jc w:val="both"/>
        <w:rPr>
          <w:rFonts w:ascii="Times New Roman" w:hAnsi="Times New Roman" w:cs="Times New Roman"/>
          <w:sz w:val="24"/>
          <w:szCs w:val="24"/>
          <w:lang w:val="fr"/>
        </w:rPr>
      </w:pPr>
      <w:r w:rsidRPr="00967063">
        <w:rPr>
          <w:rFonts w:ascii="Times New Roman" w:hAnsi="Times New Roman" w:cs="Times New Roman"/>
          <w:sz w:val="24"/>
          <w:szCs w:val="24"/>
        </w:rPr>
        <w:t xml:space="preserve">Quand nous parlons de l’éthique reconstructive selon Jean-Marc Ferry, nous pensons à </w:t>
      </w:r>
      <w:r w:rsidRPr="00967063">
        <w:rPr>
          <w:rFonts w:ascii="Times New Roman" w:hAnsi="Times New Roman" w:cs="Times New Roman"/>
          <w:sz w:val="24"/>
          <w:szCs w:val="24"/>
          <w:lang w:val="fr"/>
        </w:rPr>
        <w:t xml:space="preserve">quatre grandes idées : son idée centrale de la reconstruction, le contexte d’application, l’utopie visée ainsi que le processus reconstructif, lui-même. </w:t>
      </w:r>
    </w:p>
    <w:p w14:paraId="59F2E89C" w14:textId="6A403B46" w:rsidR="001905B0" w:rsidRPr="00967063" w:rsidRDefault="001905B0" w:rsidP="001905B0">
      <w:pPr>
        <w:spacing w:line="480" w:lineRule="auto"/>
        <w:ind w:firstLine="708"/>
        <w:jc w:val="both"/>
        <w:rPr>
          <w:rFonts w:ascii="Times New Roman" w:eastAsia="Times New Roman" w:hAnsi="Times New Roman" w:cs="Times New Roman"/>
          <w:iCs/>
          <w:sz w:val="24"/>
          <w:szCs w:val="24"/>
          <w:lang w:val="fr" w:eastAsia="fr-CA"/>
        </w:rPr>
      </w:pPr>
      <w:r w:rsidRPr="00967063">
        <w:rPr>
          <w:rFonts w:ascii="Times New Roman" w:hAnsi="Times New Roman" w:cs="Times New Roman"/>
          <w:sz w:val="24"/>
          <w:szCs w:val="24"/>
          <w:lang w:val="fr"/>
        </w:rPr>
        <w:t xml:space="preserve">Quelle est donc l’idée centrale de la </w:t>
      </w:r>
      <w:r w:rsidR="00171618" w:rsidRPr="00967063">
        <w:rPr>
          <w:rFonts w:ascii="Times New Roman" w:hAnsi="Times New Roman" w:cs="Times New Roman"/>
          <w:sz w:val="24"/>
          <w:szCs w:val="24"/>
          <w:lang w:val="fr"/>
        </w:rPr>
        <w:t>reconstruction ?</w:t>
      </w:r>
      <w:r w:rsidRPr="00967063">
        <w:rPr>
          <w:rFonts w:ascii="Times New Roman" w:hAnsi="Times New Roman" w:cs="Times New Roman"/>
          <w:sz w:val="24"/>
          <w:szCs w:val="24"/>
          <w:lang w:val="fr"/>
        </w:rPr>
        <w:t xml:space="preserve"> Selon </w:t>
      </w:r>
      <w:r w:rsidRPr="00967063">
        <w:rPr>
          <w:rFonts w:ascii="Times New Roman" w:hAnsi="Times New Roman" w:cs="Times New Roman"/>
          <w:sz w:val="24"/>
          <w:szCs w:val="24"/>
        </w:rPr>
        <w:t xml:space="preserve">Ferry, </w:t>
      </w:r>
      <w:r w:rsidRPr="00967063">
        <w:rPr>
          <w:rFonts w:ascii="Times New Roman" w:hAnsi="Times New Roman" w:cs="Times New Roman"/>
          <w:sz w:val="24"/>
          <w:szCs w:val="24"/>
          <w:lang w:val="fr"/>
        </w:rPr>
        <w:t xml:space="preserve">l’éthique </w:t>
      </w:r>
      <w:r w:rsidRPr="00967063">
        <w:rPr>
          <w:rFonts w:ascii="Times New Roman" w:eastAsia="Times New Roman" w:hAnsi="Times New Roman" w:cs="Times New Roman"/>
          <w:iCs/>
          <w:sz w:val="24"/>
          <w:szCs w:val="24"/>
          <w:lang w:val="fr" w:eastAsia="fr-CA"/>
        </w:rPr>
        <w:t>reconstructive cherche à « partir d’une structure</w:t>
      </w:r>
      <w:r w:rsidRPr="00967063">
        <w:rPr>
          <w:rStyle w:val="FootnoteReference"/>
          <w:rFonts w:ascii="Times New Roman" w:hAnsi="Times New Roman" w:cs="Times New Roman"/>
          <w:sz w:val="24"/>
          <w:szCs w:val="24"/>
        </w:rPr>
        <w:footnoteReference w:id="50"/>
      </w:r>
      <w:r w:rsidRPr="00967063">
        <w:rPr>
          <w:rFonts w:ascii="Times New Roman" w:eastAsia="Times New Roman" w:hAnsi="Times New Roman" w:cs="Times New Roman"/>
          <w:iCs/>
          <w:sz w:val="24"/>
          <w:szCs w:val="24"/>
          <w:lang w:val="fr" w:eastAsia="fr-CA"/>
        </w:rPr>
        <w:t xml:space="preserve"> pour reconstituer le processus dont cette structure est le résultat, de sorte que l’on accède à une compréhension proprement historique de la situation donnée dans la présence »</w:t>
      </w:r>
      <w:r w:rsidRPr="00967063">
        <w:rPr>
          <w:rStyle w:val="FootnoteReference"/>
          <w:rFonts w:ascii="Times New Roman" w:hAnsi="Times New Roman" w:cs="Times New Roman"/>
          <w:sz w:val="24"/>
          <w:szCs w:val="24"/>
        </w:rPr>
        <w:footnoteReference w:id="51"/>
      </w:r>
      <w:r w:rsidRPr="00967063">
        <w:rPr>
          <w:rFonts w:ascii="Times New Roman" w:eastAsia="Times New Roman" w:hAnsi="Times New Roman" w:cs="Times New Roman"/>
          <w:iCs/>
          <w:sz w:val="24"/>
          <w:szCs w:val="24"/>
          <w:lang w:val="fr" w:eastAsia="fr-CA"/>
        </w:rPr>
        <w:t xml:space="preserve">. La thématisation du malentendu se fait, selon Ferry, à la fois </w:t>
      </w:r>
      <w:r w:rsidRPr="00967063">
        <w:rPr>
          <w:rFonts w:ascii="Times New Roman" w:hAnsi="Times New Roman" w:cs="Times New Roman"/>
          <w:bCs/>
          <w:sz w:val="24"/>
          <w:szCs w:val="24"/>
        </w:rPr>
        <w:t>du point de vue « subjectif des acteurs immergés dans le drame, et du point objectif du système de contraintes logiques ou normatives qui soumettent les acteurs aux déterminations dont ils sont éventuellement porteurs, ou qu’ils ont eux-mêmes déclenchées »</w:t>
      </w:r>
      <w:r w:rsidRPr="00967063">
        <w:rPr>
          <w:rStyle w:val="FootnoteReference"/>
          <w:rFonts w:ascii="Times New Roman" w:hAnsi="Times New Roman" w:cs="Times New Roman"/>
          <w:sz w:val="24"/>
          <w:szCs w:val="24"/>
        </w:rPr>
        <w:footnoteReference w:id="52"/>
      </w:r>
      <w:r w:rsidR="00C02206">
        <w:rPr>
          <w:rFonts w:ascii="Times New Roman" w:hAnsi="Times New Roman" w:cs="Times New Roman"/>
          <w:bCs/>
          <w:sz w:val="24"/>
          <w:szCs w:val="24"/>
        </w:rPr>
        <w:t>.</w:t>
      </w:r>
      <w:r w:rsidRPr="00967063">
        <w:rPr>
          <w:rFonts w:ascii="Times New Roman" w:hAnsi="Times New Roman" w:cs="Times New Roman"/>
          <w:bCs/>
          <w:sz w:val="24"/>
          <w:szCs w:val="24"/>
        </w:rPr>
        <w:t xml:space="preserve"> Ainsi, les participants au processus de vérité et réconciliation au Burundi devraient être amenés à exposer leur vécu personnel, les jeux d’acteurs et le système institutionnel (notamment les contraintes normatives) qui entourent le processus. </w:t>
      </w:r>
    </w:p>
    <w:p w14:paraId="56D2813C" w14:textId="6D5D5680" w:rsidR="001905B0" w:rsidRPr="00967063" w:rsidRDefault="001905B0" w:rsidP="001905B0">
      <w:pPr>
        <w:spacing w:line="480" w:lineRule="auto"/>
        <w:ind w:firstLine="708"/>
        <w:jc w:val="both"/>
        <w:rPr>
          <w:rFonts w:ascii="Times New Roman" w:hAnsi="Times New Roman" w:cs="Times New Roman"/>
          <w:sz w:val="24"/>
          <w:szCs w:val="24"/>
        </w:rPr>
      </w:pPr>
      <w:r w:rsidRPr="00967063">
        <w:rPr>
          <w:rFonts w:ascii="Times New Roman" w:hAnsi="Times New Roman" w:cs="Times New Roman"/>
          <w:bCs/>
          <w:sz w:val="24"/>
          <w:szCs w:val="24"/>
        </w:rPr>
        <w:t xml:space="preserve">Ferry décrit ensuite </w:t>
      </w:r>
      <w:r w:rsidRPr="00967063">
        <w:rPr>
          <w:rFonts w:ascii="Times New Roman" w:hAnsi="Times New Roman" w:cs="Times New Roman"/>
          <w:sz w:val="24"/>
          <w:szCs w:val="24"/>
          <w:lang w:val="fr"/>
        </w:rPr>
        <w:t>le</w:t>
      </w:r>
      <w:r w:rsidRPr="00967063">
        <w:rPr>
          <w:rFonts w:ascii="Times New Roman" w:hAnsi="Times New Roman" w:cs="Times New Roman"/>
          <w:sz w:val="24"/>
          <w:szCs w:val="24"/>
        </w:rPr>
        <w:t xml:space="preserve"> contexte d’application de l’éthique reconstructive. Il s’agit d’un contexte de crise. </w:t>
      </w:r>
      <w:r w:rsidRPr="00967063">
        <w:rPr>
          <w:rFonts w:ascii="Times New Roman" w:eastAsia="Times New Roman" w:hAnsi="Times New Roman" w:cs="Times New Roman"/>
          <w:iCs/>
          <w:sz w:val="24"/>
          <w:szCs w:val="24"/>
          <w:lang w:val="fr" w:eastAsia="fr-CA"/>
        </w:rPr>
        <w:t xml:space="preserve">Par elle, il entend deux points de vue. </w:t>
      </w:r>
      <w:r w:rsidRPr="00967063">
        <w:rPr>
          <w:rFonts w:ascii="Times New Roman" w:hAnsi="Times New Roman" w:cs="Times New Roman"/>
          <w:sz w:val="24"/>
          <w:szCs w:val="24"/>
        </w:rPr>
        <w:t xml:space="preserve">D’abord </w:t>
      </w:r>
      <w:r w:rsidRPr="008E5751">
        <w:rPr>
          <w:rFonts w:ascii="Times New Roman" w:hAnsi="Times New Roman" w:cs="Times New Roman"/>
          <w:i/>
          <w:sz w:val="24"/>
          <w:szCs w:val="24"/>
        </w:rPr>
        <w:t>objectivement</w:t>
      </w:r>
      <w:r w:rsidR="00672C8E" w:rsidRPr="008E5751">
        <w:rPr>
          <w:rFonts w:ascii="Times New Roman" w:hAnsi="Times New Roman" w:cs="Times New Roman"/>
          <w:i/>
          <w:sz w:val="24"/>
          <w:szCs w:val="24"/>
        </w:rPr>
        <w:t xml:space="preserve"> </w:t>
      </w:r>
      <w:r w:rsidR="006D5CD4">
        <w:rPr>
          <w:rFonts w:ascii="Times New Roman" w:hAnsi="Times New Roman" w:cs="Times New Roman"/>
          <w:sz w:val="24"/>
          <w:szCs w:val="24"/>
        </w:rPr>
        <w:t xml:space="preserve">comme </w:t>
      </w:r>
      <w:r w:rsidR="006D5CD4" w:rsidRPr="00967063">
        <w:rPr>
          <w:rFonts w:ascii="Times New Roman" w:hAnsi="Times New Roman" w:cs="Times New Roman"/>
          <w:sz w:val="24"/>
          <w:szCs w:val="24"/>
        </w:rPr>
        <w:t>un</w:t>
      </w:r>
      <w:r w:rsidRPr="00967063">
        <w:rPr>
          <w:rFonts w:ascii="Times New Roman" w:hAnsi="Times New Roman" w:cs="Times New Roman"/>
          <w:sz w:val="24"/>
          <w:szCs w:val="24"/>
        </w:rPr>
        <w:t xml:space="preserve"> «</w:t>
      </w:r>
      <w:r w:rsidR="00C02206">
        <w:rPr>
          <w:rFonts w:ascii="Times New Roman" w:hAnsi="Times New Roman" w:cs="Times New Roman"/>
          <w:sz w:val="24"/>
          <w:szCs w:val="24"/>
        </w:rPr>
        <w:t> </w:t>
      </w:r>
      <w:r w:rsidRPr="00967063">
        <w:rPr>
          <w:rFonts w:ascii="Times New Roman" w:hAnsi="Times New Roman" w:cs="Times New Roman"/>
          <w:sz w:val="24"/>
          <w:szCs w:val="24"/>
        </w:rPr>
        <w:t>système de relations déchirées, mettant en péril une forme de vie »</w:t>
      </w:r>
      <w:r w:rsidRPr="00967063">
        <w:rPr>
          <w:rStyle w:val="FootnoteReference"/>
          <w:rFonts w:ascii="Times New Roman" w:hAnsi="Times New Roman" w:cs="Times New Roman"/>
          <w:sz w:val="24"/>
          <w:szCs w:val="24"/>
        </w:rPr>
        <w:footnoteReference w:id="53"/>
      </w:r>
      <w:r w:rsidRPr="00967063">
        <w:rPr>
          <w:rFonts w:ascii="Times New Roman" w:hAnsi="Times New Roman" w:cs="Times New Roman"/>
          <w:sz w:val="24"/>
          <w:szCs w:val="24"/>
        </w:rPr>
        <w:t xml:space="preserve">. A titre d’exemple pour souligner la réalité d’un système de relations déchirées, ce sont ces mémoires collectives rivales et hostiles et cette lutte à mort pour le pouvoir et la reconnaissance entre Hutus et Tutsis. Ensuite, </w:t>
      </w:r>
      <w:r w:rsidRPr="008E5751">
        <w:rPr>
          <w:rFonts w:ascii="Times New Roman" w:hAnsi="Times New Roman" w:cs="Times New Roman"/>
          <w:i/>
          <w:sz w:val="24"/>
          <w:szCs w:val="24"/>
        </w:rPr>
        <w:t>subjectivement</w:t>
      </w:r>
      <w:r w:rsidRPr="00967063">
        <w:rPr>
          <w:rFonts w:ascii="Times New Roman" w:hAnsi="Times New Roman" w:cs="Times New Roman"/>
          <w:sz w:val="24"/>
          <w:szCs w:val="24"/>
        </w:rPr>
        <w:t xml:space="preserve"> </w:t>
      </w:r>
      <w:r w:rsidR="006D5CD4">
        <w:rPr>
          <w:rFonts w:ascii="Times New Roman" w:hAnsi="Times New Roman" w:cs="Times New Roman"/>
          <w:sz w:val="24"/>
          <w:szCs w:val="24"/>
        </w:rPr>
        <w:t>comme</w:t>
      </w:r>
      <w:r w:rsidRPr="00967063">
        <w:rPr>
          <w:rFonts w:ascii="Times New Roman" w:hAnsi="Times New Roman" w:cs="Times New Roman"/>
          <w:sz w:val="24"/>
          <w:szCs w:val="24"/>
        </w:rPr>
        <w:t xml:space="preserve"> « vécu de crise chez les sujets appelés à subir dans leur chair, et avec toutes leurs passions, la causalité du destin »</w:t>
      </w:r>
      <w:r w:rsidRPr="00967063">
        <w:rPr>
          <w:rStyle w:val="FootnoteReference"/>
          <w:rFonts w:ascii="Times New Roman" w:hAnsi="Times New Roman" w:cs="Times New Roman"/>
          <w:sz w:val="24"/>
          <w:szCs w:val="24"/>
        </w:rPr>
        <w:footnoteReference w:id="54"/>
      </w:r>
      <w:r w:rsidRPr="00967063">
        <w:rPr>
          <w:rFonts w:ascii="Times New Roman" w:hAnsi="Times New Roman" w:cs="Times New Roman"/>
          <w:sz w:val="24"/>
          <w:szCs w:val="24"/>
        </w:rPr>
        <w:t xml:space="preserve">. Nous voudrions comprendre un peu ces deux notions de </w:t>
      </w:r>
      <w:r w:rsidRPr="00967063">
        <w:rPr>
          <w:rFonts w:ascii="Times New Roman" w:hAnsi="Times New Roman" w:cs="Times New Roman"/>
          <w:i/>
          <w:sz w:val="24"/>
          <w:szCs w:val="24"/>
        </w:rPr>
        <w:t>destin</w:t>
      </w:r>
      <w:r w:rsidRPr="00967063">
        <w:rPr>
          <w:rFonts w:ascii="Times New Roman" w:hAnsi="Times New Roman" w:cs="Times New Roman"/>
          <w:sz w:val="24"/>
          <w:szCs w:val="24"/>
        </w:rPr>
        <w:t xml:space="preserve"> et de </w:t>
      </w:r>
      <w:r w:rsidRPr="00967063">
        <w:rPr>
          <w:rFonts w:ascii="Times New Roman" w:hAnsi="Times New Roman" w:cs="Times New Roman"/>
          <w:i/>
          <w:sz w:val="24"/>
          <w:szCs w:val="24"/>
        </w:rPr>
        <w:t>causalité du destin</w:t>
      </w:r>
      <w:r w:rsidRPr="00967063">
        <w:rPr>
          <w:rFonts w:ascii="Times New Roman" w:hAnsi="Times New Roman" w:cs="Times New Roman"/>
          <w:sz w:val="24"/>
          <w:szCs w:val="24"/>
        </w:rPr>
        <w:t xml:space="preserve"> pour saisir l’importance du tragique au Burundi.</w:t>
      </w:r>
    </w:p>
    <w:p w14:paraId="64B4CF75" w14:textId="5C110C6C" w:rsidR="001905B0" w:rsidRPr="00967063" w:rsidRDefault="001905B0" w:rsidP="001905B0">
      <w:pPr>
        <w:spacing w:line="480" w:lineRule="auto"/>
        <w:ind w:firstLine="283"/>
        <w:jc w:val="both"/>
        <w:rPr>
          <w:rFonts w:ascii="Times New Roman" w:hAnsi="Times New Roman" w:cs="Times New Roman"/>
          <w:sz w:val="24"/>
          <w:szCs w:val="24"/>
        </w:rPr>
      </w:pPr>
      <w:r w:rsidRPr="00967063">
        <w:rPr>
          <w:rFonts w:ascii="Times New Roman" w:hAnsi="Times New Roman" w:cs="Times New Roman"/>
          <w:sz w:val="24"/>
          <w:szCs w:val="24"/>
        </w:rPr>
        <w:t>Par destin, Ferry entend le sens qu’en donne Hegel. Voici comment il le reprend : « A travers la catégorie du destin</w:t>
      </w:r>
      <w:r w:rsidR="006F28E3">
        <w:rPr>
          <w:rFonts w:ascii="Times New Roman" w:hAnsi="Times New Roman" w:cs="Times New Roman"/>
          <w:sz w:val="24"/>
          <w:szCs w:val="24"/>
        </w:rPr>
        <w:t>, [Hegel]</w:t>
      </w:r>
      <w:r w:rsidR="003F72A3">
        <w:rPr>
          <w:rFonts w:ascii="Times New Roman" w:hAnsi="Times New Roman" w:cs="Times New Roman"/>
          <w:sz w:val="24"/>
          <w:szCs w:val="24"/>
        </w:rPr>
        <w:t xml:space="preserve"> </w:t>
      </w:r>
      <w:r w:rsidRPr="00967063">
        <w:rPr>
          <w:rFonts w:ascii="Times New Roman" w:hAnsi="Times New Roman" w:cs="Times New Roman"/>
          <w:sz w:val="24"/>
          <w:szCs w:val="24"/>
        </w:rPr>
        <w:t>visait l’idée d’une puissance déclenchée par le déchirement de la vie, une puissance hostile qui déchaine ses Euménides, mais qui fait signe vers une forme de résolution inaccessible au droit »</w:t>
      </w:r>
      <w:r w:rsidRPr="00967063">
        <w:rPr>
          <w:rStyle w:val="FootnoteReference"/>
          <w:rFonts w:ascii="Times New Roman" w:hAnsi="Times New Roman" w:cs="Times New Roman"/>
          <w:sz w:val="24"/>
          <w:szCs w:val="24"/>
        </w:rPr>
        <w:footnoteReference w:id="55"/>
      </w:r>
      <w:r w:rsidRPr="00967063">
        <w:rPr>
          <w:rFonts w:ascii="Times New Roman" w:hAnsi="Times New Roman" w:cs="Times New Roman"/>
          <w:sz w:val="24"/>
          <w:szCs w:val="24"/>
        </w:rPr>
        <w:t xml:space="preserve">. Le destin serait donc cette puissance déclenchée par le déchirement de la vie. Il s’agit d’une puissance hostile mais qui fait signe vers une délivrance, une réconciliation. </w:t>
      </w:r>
      <w:r w:rsidR="00AF4C5E">
        <w:rPr>
          <w:rFonts w:ascii="Times New Roman" w:hAnsi="Times New Roman" w:cs="Times New Roman"/>
          <w:sz w:val="24"/>
          <w:szCs w:val="24"/>
        </w:rPr>
        <w:t>Étant donné</w:t>
      </w:r>
      <w:r w:rsidRPr="00967063">
        <w:rPr>
          <w:rFonts w:ascii="Times New Roman" w:hAnsi="Times New Roman" w:cs="Times New Roman"/>
          <w:sz w:val="24"/>
          <w:szCs w:val="24"/>
        </w:rPr>
        <w:t xml:space="preserve"> les circonstances de travail de la CVR</w:t>
      </w:r>
      <w:r w:rsidR="00AF4C5E">
        <w:rPr>
          <w:rFonts w:ascii="Times New Roman" w:hAnsi="Times New Roman" w:cs="Times New Roman"/>
          <w:sz w:val="24"/>
          <w:szCs w:val="24"/>
        </w:rPr>
        <w:t>,</w:t>
      </w:r>
      <w:r w:rsidRPr="00967063">
        <w:rPr>
          <w:rFonts w:ascii="Times New Roman" w:hAnsi="Times New Roman" w:cs="Times New Roman"/>
          <w:sz w:val="24"/>
          <w:szCs w:val="24"/>
        </w:rPr>
        <w:t xml:space="preserve"> est-il absurde d’affirmer la réalité d’une telle puissance et des appels de résolution?   </w:t>
      </w:r>
    </w:p>
    <w:p w14:paraId="0787B497" w14:textId="77777777" w:rsidR="001905B0" w:rsidRPr="00967063" w:rsidRDefault="001905B0" w:rsidP="001905B0">
      <w:pPr>
        <w:spacing w:line="480" w:lineRule="auto"/>
        <w:ind w:firstLine="283"/>
        <w:jc w:val="both"/>
        <w:rPr>
          <w:rFonts w:ascii="Times New Roman" w:hAnsi="Times New Roman" w:cs="Times New Roman"/>
          <w:sz w:val="24"/>
          <w:szCs w:val="24"/>
        </w:rPr>
      </w:pPr>
      <w:r w:rsidRPr="00967063">
        <w:rPr>
          <w:rFonts w:ascii="Times New Roman" w:hAnsi="Times New Roman" w:cs="Times New Roman"/>
          <w:sz w:val="24"/>
          <w:szCs w:val="24"/>
        </w:rPr>
        <w:t>L’autre notion, la causalité du destin, elle, se noue dans cette succession fatale de l’offense et de la vengeance :</w:t>
      </w:r>
    </w:p>
    <w:p w14:paraId="27DEF09D" w14:textId="3897926F" w:rsidR="00AF4C5E" w:rsidRPr="00967063" w:rsidRDefault="001905B0" w:rsidP="001905B0">
      <w:pPr>
        <w:spacing w:line="240" w:lineRule="auto"/>
        <w:ind w:left="283"/>
        <w:jc w:val="both"/>
        <w:rPr>
          <w:rFonts w:ascii="Times New Roman" w:hAnsi="Times New Roman" w:cs="Times New Roman"/>
          <w:sz w:val="24"/>
          <w:szCs w:val="24"/>
        </w:rPr>
      </w:pPr>
      <w:r w:rsidRPr="00967063">
        <w:rPr>
          <w:rFonts w:ascii="Times New Roman" w:hAnsi="Times New Roman" w:cs="Times New Roman"/>
          <w:sz w:val="24"/>
          <w:szCs w:val="24"/>
        </w:rPr>
        <w:t>La causalité du destin se noue dans cette succession fatale : possession, exclusion, lésion, offense, vengeance, qui conduisent à la guerre entre les familles. Là, le droit de chacun n’est encore que seulement visé à travers des pratiques de vendetta. Il n’est pas pour autant réalisé. Ce n’est pas encore le droit lui-même, car la vengeance n’est pas la justice, même si la vengeance peut être juste</w:t>
      </w:r>
      <w:r w:rsidRPr="00967063">
        <w:rPr>
          <w:rStyle w:val="FootnoteReference"/>
          <w:rFonts w:ascii="Times New Roman" w:hAnsi="Times New Roman" w:cs="Times New Roman"/>
          <w:sz w:val="24"/>
          <w:szCs w:val="24"/>
        </w:rPr>
        <w:footnoteReference w:id="56"/>
      </w:r>
      <w:r w:rsidR="00AF4C5E">
        <w:rPr>
          <w:rFonts w:ascii="Times New Roman" w:hAnsi="Times New Roman" w:cs="Times New Roman"/>
          <w:sz w:val="24"/>
          <w:szCs w:val="24"/>
        </w:rPr>
        <w:t>.</w:t>
      </w:r>
    </w:p>
    <w:p w14:paraId="1DE54360" w14:textId="77777777" w:rsidR="001905B0" w:rsidRPr="00967063" w:rsidRDefault="001905B0" w:rsidP="00F62281">
      <w:pPr>
        <w:spacing w:line="240" w:lineRule="auto"/>
        <w:ind w:left="283"/>
        <w:jc w:val="both"/>
        <w:rPr>
          <w:rFonts w:ascii="Times New Roman" w:hAnsi="Times New Roman" w:cs="Times New Roman"/>
          <w:sz w:val="24"/>
          <w:szCs w:val="24"/>
        </w:rPr>
      </w:pPr>
    </w:p>
    <w:p w14:paraId="7F568B05" w14:textId="07216A2A" w:rsidR="001905B0" w:rsidRPr="00967063" w:rsidRDefault="001905B0" w:rsidP="001905B0">
      <w:pPr>
        <w:spacing w:line="480" w:lineRule="auto"/>
        <w:ind w:firstLine="283"/>
        <w:jc w:val="both"/>
        <w:rPr>
          <w:rFonts w:ascii="Times New Roman" w:hAnsi="Times New Roman" w:cs="Times New Roman"/>
          <w:sz w:val="24"/>
          <w:szCs w:val="24"/>
        </w:rPr>
      </w:pPr>
      <w:r w:rsidRPr="00967063">
        <w:rPr>
          <w:rFonts w:ascii="Times New Roman" w:hAnsi="Times New Roman" w:cs="Times New Roman"/>
          <w:sz w:val="24"/>
          <w:szCs w:val="24"/>
        </w:rPr>
        <w:t>Le fait que la plupart des analystes de la situation au Burundi parlent, aujourd’hui</w:t>
      </w:r>
      <w:r w:rsidR="00583A3E">
        <w:rPr>
          <w:rFonts w:ascii="Times New Roman" w:hAnsi="Times New Roman" w:cs="Times New Roman"/>
          <w:sz w:val="24"/>
          <w:szCs w:val="24"/>
        </w:rPr>
        <w:t>,</w:t>
      </w:r>
      <w:r w:rsidRPr="00967063">
        <w:rPr>
          <w:rFonts w:ascii="Times New Roman" w:hAnsi="Times New Roman" w:cs="Times New Roman"/>
          <w:sz w:val="24"/>
          <w:szCs w:val="24"/>
        </w:rPr>
        <w:t xml:space="preserve"> d’échec de la transition n’est</w:t>
      </w:r>
      <w:r w:rsidR="00D157E4">
        <w:rPr>
          <w:rFonts w:ascii="Times New Roman" w:hAnsi="Times New Roman" w:cs="Times New Roman"/>
          <w:sz w:val="24"/>
          <w:szCs w:val="24"/>
        </w:rPr>
        <w:t xml:space="preserve"> pas</w:t>
      </w:r>
      <w:r w:rsidRPr="00967063">
        <w:rPr>
          <w:rFonts w:ascii="Times New Roman" w:hAnsi="Times New Roman" w:cs="Times New Roman"/>
          <w:sz w:val="24"/>
          <w:szCs w:val="24"/>
        </w:rPr>
        <w:t>, à notre avis,</w:t>
      </w:r>
      <w:r w:rsidR="00D157E4">
        <w:rPr>
          <w:rFonts w:ascii="Times New Roman" w:hAnsi="Times New Roman" w:cs="Times New Roman"/>
          <w:sz w:val="24"/>
          <w:szCs w:val="24"/>
        </w:rPr>
        <w:t xml:space="preserve"> </w:t>
      </w:r>
      <w:r w:rsidRPr="00967063">
        <w:rPr>
          <w:rFonts w:ascii="Times New Roman" w:hAnsi="Times New Roman" w:cs="Times New Roman"/>
          <w:sz w:val="24"/>
          <w:szCs w:val="24"/>
        </w:rPr>
        <w:t xml:space="preserve">sans lien avec la réalité d’une causalité du destin </w:t>
      </w:r>
      <w:r w:rsidR="00296DB0">
        <w:rPr>
          <w:rFonts w:ascii="Times New Roman" w:hAnsi="Times New Roman" w:cs="Times New Roman"/>
          <w:sz w:val="24"/>
          <w:szCs w:val="24"/>
        </w:rPr>
        <w:t xml:space="preserve">encore </w:t>
      </w:r>
      <w:r w:rsidRPr="00967063">
        <w:rPr>
          <w:rFonts w:ascii="Times New Roman" w:hAnsi="Times New Roman" w:cs="Times New Roman"/>
          <w:sz w:val="24"/>
          <w:szCs w:val="24"/>
        </w:rPr>
        <w:t>à l’œuvre. Ferry ajoute une précision importante concernant cette causalité du destin : elle n’est pas une causalité de la nature</w:t>
      </w:r>
      <w:r w:rsidRPr="00967063">
        <w:rPr>
          <w:rStyle w:val="FootnoteReference"/>
          <w:rFonts w:ascii="Times New Roman" w:hAnsi="Times New Roman" w:cs="Times New Roman"/>
          <w:sz w:val="24"/>
          <w:szCs w:val="24"/>
        </w:rPr>
        <w:footnoteReference w:id="57"/>
      </w:r>
      <w:r w:rsidRPr="00967063">
        <w:rPr>
          <w:rFonts w:ascii="Times New Roman" w:hAnsi="Times New Roman" w:cs="Times New Roman"/>
          <w:sz w:val="24"/>
          <w:szCs w:val="24"/>
        </w:rPr>
        <w:t>, mais une causalité de l’esprit. Raison pour laquelle, nous dit-il, « il n’est pas absurde de supposer que la raison comme autoréflexion soit capable, dans son exercice reconstructif, de lever les déterminismes caractérisant une situation de violence structurelle »</w:t>
      </w:r>
      <w:r w:rsidRPr="00967063">
        <w:rPr>
          <w:rStyle w:val="FootnoteReference"/>
          <w:rFonts w:ascii="Times New Roman" w:hAnsi="Times New Roman" w:cs="Times New Roman"/>
          <w:sz w:val="24"/>
          <w:szCs w:val="24"/>
        </w:rPr>
        <w:footnoteReference w:id="58"/>
      </w:r>
      <w:r w:rsidRPr="00967063">
        <w:rPr>
          <w:rFonts w:ascii="Times New Roman" w:hAnsi="Times New Roman" w:cs="Times New Roman"/>
          <w:sz w:val="24"/>
          <w:szCs w:val="24"/>
        </w:rPr>
        <w:t>. C’est que la causalité « affecte aussi bien la logique ordinaire des rapports de communication »</w:t>
      </w:r>
      <w:r w:rsidRPr="00967063">
        <w:rPr>
          <w:rStyle w:val="FootnoteReference"/>
          <w:rFonts w:ascii="Times New Roman" w:hAnsi="Times New Roman" w:cs="Times New Roman"/>
          <w:sz w:val="24"/>
          <w:szCs w:val="24"/>
        </w:rPr>
        <w:t xml:space="preserve"> </w:t>
      </w:r>
      <w:r w:rsidRPr="00967063">
        <w:rPr>
          <w:rStyle w:val="FootnoteReference"/>
          <w:rFonts w:ascii="Times New Roman" w:hAnsi="Times New Roman" w:cs="Times New Roman"/>
          <w:sz w:val="24"/>
          <w:szCs w:val="24"/>
        </w:rPr>
        <w:footnoteReference w:id="59"/>
      </w:r>
      <w:r w:rsidRPr="00967063">
        <w:rPr>
          <w:rFonts w:ascii="Times New Roman" w:hAnsi="Times New Roman" w:cs="Times New Roman"/>
          <w:sz w:val="24"/>
          <w:szCs w:val="24"/>
        </w:rPr>
        <w:t>. Il s’agit d’une « causalité fatale des symboles dissociés, des significations objectivées »</w:t>
      </w:r>
      <w:r w:rsidRPr="00967063">
        <w:rPr>
          <w:rStyle w:val="FootnoteReference"/>
          <w:rFonts w:ascii="Times New Roman" w:hAnsi="Times New Roman" w:cs="Times New Roman"/>
          <w:sz w:val="24"/>
          <w:szCs w:val="24"/>
        </w:rPr>
        <w:footnoteReference w:id="60"/>
      </w:r>
      <w:r w:rsidRPr="00967063">
        <w:rPr>
          <w:rFonts w:ascii="Times New Roman" w:hAnsi="Times New Roman" w:cs="Times New Roman"/>
          <w:sz w:val="24"/>
          <w:szCs w:val="24"/>
        </w:rPr>
        <w:t xml:space="preserve">. </w:t>
      </w:r>
    </w:p>
    <w:p w14:paraId="36203428" w14:textId="23E36584" w:rsidR="001905B0" w:rsidRPr="00967063" w:rsidRDefault="001905B0" w:rsidP="001905B0">
      <w:pPr>
        <w:spacing w:line="480" w:lineRule="auto"/>
        <w:ind w:firstLine="283"/>
        <w:jc w:val="both"/>
        <w:rPr>
          <w:rFonts w:ascii="Times New Roman" w:hAnsi="Times New Roman" w:cs="Times New Roman"/>
          <w:sz w:val="24"/>
          <w:szCs w:val="24"/>
        </w:rPr>
      </w:pPr>
      <w:r w:rsidRPr="00967063">
        <w:rPr>
          <w:rFonts w:ascii="Times New Roman" w:hAnsi="Times New Roman" w:cs="Times New Roman"/>
          <w:sz w:val="24"/>
          <w:szCs w:val="24"/>
        </w:rPr>
        <w:t>A notre avis, ces deux notions, de destin et de causalité du destin, sont importantes pour saisir le problème de communication actuelle entre Burundais et l’urgence et l’importance d’un travail de libération des mémoires. C’est qu’avec les crises à répétition, il ne nous semble pas absurde de postuler une réalité d’un destin hostile et une causalité du destin qui affecte la logique ordinaire des rapports de communication entre Hutus et Tutsis. Dans les échanges verbaux comme dans les écrits, dans les réseaux sociaux</w:t>
      </w:r>
      <w:r w:rsidR="00C3343E">
        <w:rPr>
          <w:rFonts w:ascii="Times New Roman" w:hAnsi="Times New Roman" w:cs="Times New Roman"/>
          <w:sz w:val="24"/>
          <w:szCs w:val="24"/>
        </w:rPr>
        <w:t xml:space="preserve"> surtout</w:t>
      </w:r>
      <w:r w:rsidRPr="00967063">
        <w:rPr>
          <w:rFonts w:ascii="Times New Roman" w:hAnsi="Times New Roman" w:cs="Times New Roman"/>
          <w:sz w:val="24"/>
          <w:szCs w:val="24"/>
        </w:rPr>
        <w:t>, s’observe une tendance à jouer et rejouer, dans la compulsion, les scènes de 1972, 1993 et 2015. A notre avis, il s’agit d’un comportement qui trahit des problèmes intimes non résolus</w:t>
      </w:r>
      <w:r w:rsidRPr="00967063">
        <w:rPr>
          <w:rStyle w:val="FootnoteReference"/>
          <w:rFonts w:ascii="Times New Roman" w:hAnsi="Times New Roman" w:cs="Times New Roman"/>
          <w:sz w:val="24"/>
          <w:szCs w:val="24"/>
        </w:rPr>
        <w:footnoteReference w:id="61"/>
      </w:r>
      <w:r w:rsidR="00583A3E">
        <w:rPr>
          <w:rFonts w:ascii="Times New Roman" w:eastAsia="Times New Roman" w:hAnsi="Times New Roman" w:cs="Times New Roman"/>
          <w:iCs/>
          <w:sz w:val="24"/>
          <w:szCs w:val="24"/>
          <w:lang w:val="fr" w:eastAsia="fr-CA"/>
        </w:rPr>
        <w:t>.</w:t>
      </w:r>
      <w:r w:rsidRPr="00967063">
        <w:rPr>
          <w:rFonts w:ascii="Times New Roman" w:eastAsia="Times New Roman" w:hAnsi="Times New Roman" w:cs="Times New Roman"/>
          <w:iCs/>
          <w:sz w:val="24"/>
          <w:szCs w:val="24"/>
          <w:lang w:val="fr" w:eastAsia="fr-CA"/>
        </w:rPr>
        <w:t xml:space="preserve"> </w:t>
      </w:r>
    </w:p>
    <w:p w14:paraId="0C7DA765" w14:textId="40A97873" w:rsidR="001905B0" w:rsidRPr="00967063" w:rsidRDefault="001905B0" w:rsidP="001905B0">
      <w:pPr>
        <w:spacing w:line="480" w:lineRule="auto"/>
        <w:ind w:firstLine="360"/>
        <w:jc w:val="both"/>
        <w:rPr>
          <w:rFonts w:ascii="Times New Roman" w:hAnsi="Times New Roman" w:cs="Times New Roman"/>
          <w:sz w:val="24"/>
          <w:szCs w:val="24"/>
        </w:rPr>
      </w:pPr>
      <w:r w:rsidRPr="00967063">
        <w:rPr>
          <w:rFonts w:ascii="Times New Roman" w:eastAsia="Times New Roman" w:hAnsi="Times New Roman" w:cs="Times New Roman"/>
          <w:iCs/>
          <w:sz w:val="24"/>
          <w:szCs w:val="24"/>
          <w:lang w:val="fr" w:eastAsia="fr-CA"/>
        </w:rPr>
        <w:t>Troisièmement, Ferry décrit l’utopie de la reconstruction. Selon lui, l’éthique reconstructive cherche à lever le destin et à supprimer sa causalité</w:t>
      </w:r>
      <w:r w:rsidRPr="00967063">
        <w:rPr>
          <w:rStyle w:val="FootnoteReference"/>
          <w:rFonts w:ascii="Times New Roman" w:hAnsi="Times New Roman" w:cs="Times New Roman"/>
          <w:sz w:val="24"/>
          <w:szCs w:val="24"/>
        </w:rPr>
        <w:footnoteReference w:id="62"/>
      </w:r>
      <w:r w:rsidRPr="00967063">
        <w:rPr>
          <w:rFonts w:ascii="Times New Roman" w:hAnsi="Times New Roman" w:cs="Times New Roman"/>
          <w:sz w:val="24"/>
          <w:szCs w:val="24"/>
        </w:rPr>
        <w:t>. Autrement dit, elle « entreprend de fluidifier les situations de rapports figées en général »</w:t>
      </w:r>
      <w:r w:rsidRPr="00967063">
        <w:rPr>
          <w:rStyle w:val="FootnoteReference"/>
          <w:rFonts w:ascii="Times New Roman" w:hAnsi="Times New Roman" w:cs="Times New Roman"/>
          <w:sz w:val="24"/>
          <w:szCs w:val="24"/>
        </w:rPr>
        <w:t xml:space="preserve"> </w:t>
      </w:r>
      <w:r w:rsidRPr="00967063">
        <w:rPr>
          <w:rStyle w:val="FootnoteReference"/>
          <w:rFonts w:ascii="Times New Roman" w:hAnsi="Times New Roman" w:cs="Times New Roman"/>
          <w:sz w:val="24"/>
          <w:szCs w:val="24"/>
        </w:rPr>
        <w:footnoteReference w:id="63"/>
      </w:r>
      <w:r w:rsidRPr="00967063">
        <w:rPr>
          <w:rFonts w:ascii="Times New Roman" w:hAnsi="Times New Roman" w:cs="Times New Roman"/>
          <w:sz w:val="24"/>
          <w:szCs w:val="24"/>
        </w:rPr>
        <w:t>. Elle cherche à émanciper « les sujets de ces déterminismes qui, dans la relation aux autres comme à soi-même, entravent la communication, bloquent les possibilités de résolution des conflits »</w:t>
      </w:r>
      <w:r w:rsidRPr="00967063">
        <w:rPr>
          <w:rStyle w:val="FootnoteReference"/>
          <w:rFonts w:ascii="Times New Roman" w:hAnsi="Times New Roman" w:cs="Times New Roman"/>
          <w:sz w:val="24"/>
          <w:szCs w:val="24"/>
        </w:rPr>
        <w:footnoteReference w:id="64"/>
      </w:r>
      <w:r w:rsidRPr="00967063">
        <w:rPr>
          <w:rFonts w:ascii="Times New Roman" w:hAnsi="Times New Roman" w:cs="Times New Roman"/>
          <w:sz w:val="24"/>
          <w:szCs w:val="24"/>
        </w:rPr>
        <w:t xml:space="preserve">. </w:t>
      </w:r>
    </w:p>
    <w:p w14:paraId="4B8B7E65" w14:textId="151668AC" w:rsidR="001905B0" w:rsidRPr="00967063" w:rsidRDefault="001905B0" w:rsidP="001905B0">
      <w:pPr>
        <w:spacing w:line="480" w:lineRule="auto"/>
        <w:ind w:firstLine="360"/>
        <w:jc w:val="both"/>
        <w:rPr>
          <w:rFonts w:ascii="Times New Roman" w:hAnsi="Times New Roman" w:cs="Times New Roman"/>
          <w:sz w:val="24"/>
          <w:szCs w:val="24"/>
          <w:lang w:val="fr"/>
        </w:rPr>
      </w:pPr>
      <w:r w:rsidRPr="00967063">
        <w:rPr>
          <w:rFonts w:ascii="Times New Roman" w:hAnsi="Times New Roman" w:cs="Times New Roman"/>
          <w:sz w:val="24"/>
          <w:szCs w:val="24"/>
        </w:rPr>
        <w:t>Afin de lever le destin et de supprimer sa causalité</w:t>
      </w:r>
      <w:r w:rsidR="006F28E3">
        <w:rPr>
          <w:rFonts w:ascii="Times New Roman" w:hAnsi="Times New Roman" w:cs="Times New Roman"/>
          <w:sz w:val="24"/>
          <w:szCs w:val="24"/>
        </w:rPr>
        <w:t>,</w:t>
      </w:r>
      <w:r w:rsidRPr="00967063">
        <w:rPr>
          <w:rFonts w:ascii="Times New Roman" w:hAnsi="Times New Roman" w:cs="Times New Roman"/>
          <w:sz w:val="24"/>
          <w:szCs w:val="24"/>
        </w:rPr>
        <w:t xml:space="preserve"> la voie, nous dit Ferry, n’est pas </w:t>
      </w:r>
      <w:r w:rsidRPr="00967063">
        <w:rPr>
          <w:rFonts w:ascii="Times New Roman" w:eastAsia="Times New Roman" w:hAnsi="Times New Roman" w:cs="Times New Roman"/>
          <w:iCs/>
          <w:sz w:val="24"/>
          <w:szCs w:val="24"/>
          <w:lang w:val="fr" w:eastAsia="fr-CA"/>
        </w:rPr>
        <w:t>le droit, mais le pardon.  Selon lui, il existe deux formes de résolution : le châtiment</w:t>
      </w:r>
      <w:r w:rsidRPr="00967063">
        <w:rPr>
          <w:rFonts w:ascii="Times New Roman" w:hAnsi="Times New Roman" w:cs="Times New Roman"/>
          <w:sz w:val="24"/>
          <w:szCs w:val="24"/>
        </w:rPr>
        <w:t xml:space="preserve"> du crime selon la loi</w:t>
      </w:r>
      <w:r w:rsidRPr="00967063">
        <w:rPr>
          <w:rFonts w:ascii="Times New Roman" w:eastAsia="Times New Roman" w:hAnsi="Times New Roman" w:cs="Times New Roman"/>
          <w:iCs/>
          <w:sz w:val="24"/>
          <w:szCs w:val="24"/>
          <w:lang w:val="fr" w:eastAsia="fr-CA"/>
        </w:rPr>
        <w:t xml:space="preserve"> et le pardon.  A la différence de la loi qui « </w:t>
      </w:r>
      <w:r w:rsidRPr="00967063">
        <w:rPr>
          <w:rFonts w:ascii="Times New Roman" w:hAnsi="Times New Roman" w:cs="Times New Roman"/>
          <w:sz w:val="24"/>
          <w:szCs w:val="24"/>
          <w:lang w:val="fr"/>
        </w:rPr>
        <w:t>impose le châtiment du criminel, et, ce faisant, oppose l’homme réel (tel qu’il est) à son concept (ce qu’il doit être) »</w:t>
      </w:r>
      <w:r w:rsidRPr="00967063">
        <w:rPr>
          <w:rStyle w:val="FootnoteReference"/>
          <w:rFonts w:ascii="Times New Roman" w:hAnsi="Times New Roman" w:cs="Times New Roman"/>
          <w:sz w:val="24"/>
          <w:szCs w:val="24"/>
        </w:rPr>
        <w:footnoteReference w:id="65"/>
      </w:r>
      <w:r w:rsidRPr="00967063">
        <w:rPr>
          <w:rFonts w:ascii="Times New Roman" w:hAnsi="Times New Roman" w:cs="Times New Roman"/>
          <w:sz w:val="24"/>
          <w:szCs w:val="24"/>
          <w:lang w:val="fr"/>
        </w:rPr>
        <w:t>, le pardon</w:t>
      </w:r>
      <w:r w:rsidR="00583A3E">
        <w:rPr>
          <w:rFonts w:ascii="Times New Roman" w:hAnsi="Times New Roman" w:cs="Times New Roman"/>
          <w:sz w:val="24"/>
          <w:szCs w:val="24"/>
          <w:lang w:val="fr"/>
        </w:rPr>
        <w:t>,</w:t>
      </w:r>
      <w:r w:rsidRPr="00967063">
        <w:rPr>
          <w:rFonts w:ascii="Times New Roman" w:hAnsi="Times New Roman" w:cs="Times New Roman"/>
          <w:sz w:val="24"/>
          <w:szCs w:val="24"/>
          <w:lang w:val="fr"/>
        </w:rPr>
        <w:t xml:space="preserve"> qui est une modalité de l’amour, lui, « resterait en contact intime avec la vie mutilée »</w:t>
      </w:r>
      <w:r w:rsidRPr="00967063">
        <w:rPr>
          <w:rStyle w:val="FootnoteReference"/>
          <w:rFonts w:ascii="Times New Roman" w:hAnsi="Times New Roman" w:cs="Times New Roman"/>
          <w:sz w:val="24"/>
          <w:szCs w:val="24"/>
          <w:lang w:val="fr"/>
        </w:rPr>
        <w:t xml:space="preserve"> </w:t>
      </w:r>
      <w:r w:rsidRPr="00967063">
        <w:rPr>
          <w:rStyle w:val="FootnoteReference"/>
          <w:rFonts w:ascii="Times New Roman" w:hAnsi="Times New Roman" w:cs="Times New Roman"/>
          <w:sz w:val="24"/>
          <w:szCs w:val="24"/>
        </w:rPr>
        <w:footnoteReference w:id="66"/>
      </w:r>
      <w:r w:rsidRPr="00967063">
        <w:rPr>
          <w:rFonts w:ascii="Times New Roman" w:hAnsi="Times New Roman" w:cs="Times New Roman"/>
          <w:sz w:val="24"/>
          <w:szCs w:val="24"/>
          <w:lang w:val="fr"/>
        </w:rPr>
        <w:t>. Arrêtons-nous un peu pour comprendre cela en appuyant sur le commentaire que</w:t>
      </w:r>
      <w:r w:rsidRPr="00967063">
        <w:rPr>
          <w:rFonts w:ascii="Times New Roman" w:hAnsi="Times New Roman" w:cs="Times New Roman"/>
          <w:sz w:val="24"/>
          <w:szCs w:val="24"/>
        </w:rPr>
        <w:t xml:space="preserve"> Olivier Abel fait de la notion du pardon.</w:t>
      </w:r>
    </w:p>
    <w:p w14:paraId="417CC514" w14:textId="41667B78" w:rsidR="001905B0" w:rsidRPr="00967063" w:rsidRDefault="00D157E4" w:rsidP="001905B0">
      <w:pPr>
        <w:spacing w:line="480" w:lineRule="auto"/>
        <w:ind w:firstLine="360"/>
        <w:jc w:val="both"/>
        <w:rPr>
          <w:rFonts w:ascii="Times New Roman" w:eastAsia="Times New Roman" w:hAnsi="Times New Roman" w:cs="Times New Roman"/>
          <w:iCs/>
          <w:sz w:val="24"/>
          <w:szCs w:val="24"/>
          <w:lang w:val="fr" w:eastAsia="fr-CA"/>
        </w:rPr>
      </w:pPr>
      <w:r>
        <w:rPr>
          <w:rFonts w:ascii="Times New Roman" w:hAnsi="Times New Roman" w:cs="Times New Roman"/>
          <w:sz w:val="24"/>
          <w:szCs w:val="24"/>
        </w:rPr>
        <w:t xml:space="preserve">Dans une de ses publications, </w:t>
      </w:r>
      <w:r w:rsidR="001905B0" w:rsidRPr="00967063">
        <w:rPr>
          <w:rFonts w:ascii="Times New Roman" w:hAnsi="Times New Roman" w:cs="Times New Roman"/>
          <w:sz w:val="24"/>
          <w:szCs w:val="24"/>
        </w:rPr>
        <w:t>Olivier Abel</w:t>
      </w:r>
      <w:r>
        <w:rPr>
          <w:rFonts w:ascii="Times New Roman" w:hAnsi="Times New Roman" w:cs="Times New Roman"/>
          <w:sz w:val="24"/>
          <w:szCs w:val="24"/>
        </w:rPr>
        <w:t xml:space="preserve"> a pu présenter le pardon</w:t>
      </w:r>
      <w:r w:rsidR="001B0550">
        <w:rPr>
          <w:rFonts w:ascii="Times New Roman" w:hAnsi="Times New Roman" w:cs="Times New Roman"/>
          <w:sz w:val="24"/>
          <w:szCs w:val="24"/>
        </w:rPr>
        <w:t xml:space="preserve">, </w:t>
      </w:r>
      <w:r>
        <w:rPr>
          <w:rFonts w:ascii="Times New Roman" w:hAnsi="Times New Roman" w:cs="Times New Roman"/>
          <w:sz w:val="24"/>
          <w:szCs w:val="24"/>
        </w:rPr>
        <w:t xml:space="preserve">nous dit </w:t>
      </w:r>
      <w:r w:rsidR="001905B0" w:rsidRPr="00967063">
        <w:rPr>
          <w:rFonts w:ascii="Times New Roman" w:hAnsi="Times New Roman" w:cs="Times New Roman"/>
          <w:sz w:val="24"/>
          <w:szCs w:val="24"/>
        </w:rPr>
        <w:t xml:space="preserve">Ferry, </w:t>
      </w:r>
      <w:r w:rsidR="001057C4">
        <w:rPr>
          <w:rFonts w:ascii="Times New Roman" w:hAnsi="Times New Roman" w:cs="Times New Roman"/>
          <w:sz w:val="24"/>
          <w:szCs w:val="24"/>
        </w:rPr>
        <w:t xml:space="preserve"> comme </w:t>
      </w:r>
      <w:r w:rsidR="001905B0" w:rsidRPr="00967063">
        <w:rPr>
          <w:rFonts w:ascii="Times New Roman" w:hAnsi="Times New Roman" w:cs="Times New Roman"/>
          <w:sz w:val="24"/>
          <w:szCs w:val="24"/>
        </w:rPr>
        <w:t>« l’acte historique par excellence »</w:t>
      </w:r>
      <w:r w:rsidR="001905B0" w:rsidRPr="00967063">
        <w:rPr>
          <w:rStyle w:val="FootnoteReference"/>
          <w:rFonts w:ascii="Times New Roman" w:hAnsi="Times New Roman" w:cs="Times New Roman"/>
          <w:sz w:val="24"/>
          <w:szCs w:val="24"/>
        </w:rPr>
        <w:footnoteReference w:id="67"/>
      </w:r>
      <w:r w:rsidR="001905B0" w:rsidRPr="00967063">
        <w:rPr>
          <w:rFonts w:ascii="Times New Roman" w:hAnsi="Times New Roman" w:cs="Times New Roman"/>
          <w:sz w:val="24"/>
          <w:szCs w:val="24"/>
        </w:rPr>
        <w:t>. Il serait « propre à conjurer un double piège de notre époque dans son rapport au passé: « le monumental oubli » et l</w:t>
      </w:r>
      <w:r w:rsidR="0039451A" w:rsidRPr="00967063">
        <w:rPr>
          <w:rFonts w:ascii="Times New Roman" w:hAnsi="Times New Roman" w:cs="Times New Roman"/>
          <w:sz w:val="24"/>
          <w:szCs w:val="24"/>
        </w:rPr>
        <w:t>’«</w:t>
      </w:r>
      <w:r w:rsidR="001905B0" w:rsidRPr="00967063">
        <w:rPr>
          <w:rFonts w:ascii="Times New Roman" w:hAnsi="Times New Roman" w:cs="Times New Roman"/>
          <w:sz w:val="24"/>
          <w:szCs w:val="24"/>
        </w:rPr>
        <w:t xml:space="preserve"> interminable dette »</w:t>
      </w:r>
      <w:r w:rsidR="001905B0" w:rsidRPr="00967063">
        <w:rPr>
          <w:rStyle w:val="FootnoteReference"/>
          <w:rFonts w:ascii="Times New Roman" w:hAnsi="Times New Roman" w:cs="Times New Roman"/>
          <w:sz w:val="24"/>
          <w:szCs w:val="24"/>
        </w:rPr>
        <w:footnoteReference w:id="68"/>
      </w:r>
      <w:r w:rsidR="001905B0" w:rsidRPr="00967063">
        <w:rPr>
          <w:rFonts w:ascii="Times New Roman" w:hAnsi="Times New Roman" w:cs="Times New Roman"/>
          <w:sz w:val="24"/>
          <w:szCs w:val="24"/>
        </w:rPr>
        <w:t>. Le pardon « repose sur le renoncement de chaque partie à sa partialité, alors que le tragique consiste précisément à ne pouvoir devenir autre que soi-même »</w:t>
      </w:r>
      <w:r w:rsidR="001905B0" w:rsidRPr="00967063">
        <w:rPr>
          <w:rStyle w:val="FootnoteReference"/>
          <w:rFonts w:ascii="Times New Roman" w:hAnsi="Times New Roman" w:cs="Times New Roman"/>
          <w:sz w:val="24"/>
          <w:szCs w:val="24"/>
        </w:rPr>
        <w:t xml:space="preserve"> </w:t>
      </w:r>
      <w:r w:rsidR="001905B0" w:rsidRPr="00967063">
        <w:rPr>
          <w:rStyle w:val="FootnoteReference"/>
          <w:rFonts w:ascii="Times New Roman" w:hAnsi="Times New Roman" w:cs="Times New Roman"/>
          <w:sz w:val="24"/>
          <w:szCs w:val="24"/>
        </w:rPr>
        <w:footnoteReference w:id="69"/>
      </w:r>
      <w:r w:rsidR="001905B0" w:rsidRPr="00967063">
        <w:rPr>
          <w:rFonts w:ascii="Times New Roman" w:hAnsi="Times New Roman" w:cs="Times New Roman"/>
          <w:sz w:val="24"/>
          <w:szCs w:val="24"/>
        </w:rPr>
        <w:t>. Autrement dit avec le droit, on reste dans le tragique</w:t>
      </w:r>
      <w:r w:rsidR="00C3343E">
        <w:rPr>
          <w:rFonts w:ascii="Times New Roman" w:hAnsi="Times New Roman" w:cs="Times New Roman"/>
          <w:sz w:val="24"/>
          <w:szCs w:val="24"/>
        </w:rPr>
        <w:t xml:space="preserve"> : </w:t>
      </w:r>
      <w:r w:rsidR="001905B0" w:rsidRPr="00967063">
        <w:rPr>
          <w:rFonts w:ascii="Times New Roman" w:hAnsi="Times New Roman" w:cs="Times New Roman"/>
          <w:sz w:val="24"/>
          <w:szCs w:val="24"/>
        </w:rPr>
        <w:t xml:space="preserve">ne pas pouvoir être autre que soi-même. A l’opposé de cela, le pardon </w:t>
      </w:r>
      <w:r w:rsidR="00C3343E">
        <w:rPr>
          <w:rFonts w:ascii="Times New Roman" w:hAnsi="Times New Roman" w:cs="Times New Roman"/>
          <w:sz w:val="24"/>
          <w:szCs w:val="24"/>
        </w:rPr>
        <w:t>est</w:t>
      </w:r>
      <w:r w:rsidR="001905B0" w:rsidRPr="00967063">
        <w:rPr>
          <w:rFonts w:ascii="Times New Roman" w:hAnsi="Times New Roman" w:cs="Times New Roman"/>
          <w:sz w:val="24"/>
          <w:szCs w:val="24"/>
        </w:rPr>
        <w:t xml:space="preserve"> « le moyen pour le pardonnant comme pour le pardonné de devenir autre que lui-même, c’est-à-dire de surmonter le tragique ou lever le destin »</w:t>
      </w:r>
      <w:r w:rsidR="001905B0" w:rsidRPr="00967063">
        <w:rPr>
          <w:rStyle w:val="FootnoteReference"/>
          <w:rFonts w:ascii="Times New Roman" w:hAnsi="Times New Roman" w:cs="Times New Roman"/>
          <w:sz w:val="24"/>
          <w:szCs w:val="24"/>
        </w:rPr>
        <w:footnoteReference w:id="70"/>
      </w:r>
      <w:r w:rsidR="001905B0" w:rsidRPr="00967063">
        <w:rPr>
          <w:rFonts w:ascii="Times New Roman" w:hAnsi="Times New Roman" w:cs="Times New Roman"/>
          <w:sz w:val="24"/>
          <w:szCs w:val="24"/>
        </w:rPr>
        <w:t>.</w:t>
      </w:r>
    </w:p>
    <w:p w14:paraId="6AA168AE" w14:textId="3A4F4B77" w:rsidR="001905B0" w:rsidRPr="00967063" w:rsidRDefault="001905B0" w:rsidP="001905B0">
      <w:pPr>
        <w:spacing w:line="480" w:lineRule="auto"/>
        <w:ind w:firstLine="360"/>
        <w:jc w:val="both"/>
        <w:rPr>
          <w:rFonts w:ascii="Times New Roman" w:hAnsi="Times New Roman" w:cs="Times New Roman"/>
          <w:sz w:val="24"/>
          <w:szCs w:val="24"/>
        </w:rPr>
      </w:pPr>
      <w:r w:rsidRPr="00967063">
        <w:rPr>
          <w:rFonts w:ascii="Times New Roman" w:hAnsi="Times New Roman" w:cs="Times New Roman"/>
          <w:sz w:val="24"/>
          <w:szCs w:val="24"/>
        </w:rPr>
        <w:t>Sauf que cela ne suff</w:t>
      </w:r>
      <w:r w:rsidR="00F24F50">
        <w:rPr>
          <w:rFonts w:ascii="Times New Roman" w:hAnsi="Times New Roman" w:cs="Times New Roman"/>
          <w:sz w:val="24"/>
          <w:szCs w:val="24"/>
        </w:rPr>
        <w:t>it pas. S</w:t>
      </w:r>
      <w:r w:rsidRPr="00967063">
        <w:rPr>
          <w:rFonts w:ascii="Times New Roman" w:hAnsi="Times New Roman" w:cs="Times New Roman"/>
          <w:sz w:val="24"/>
          <w:szCs w:val="24"/>
        </w:rPr>
        <w:t>elon Hannah Arendt</w:t>
      </w:r>
      <w:r w:rsidR="00F24F50">
        <w:rPr>
          <w:rFonts w:ascii="Times New Roman" w:hAnsi="Times New Roman" w:cs="Times New Roman"/>
          <w:sz w:val="24"/>
          <w:szCs w:val="24"/>
        </w:rPr>
        <w:t xml:space="preserve"> en effet</w:t>
      </w:r>
      <w:r w:rsidRPr="00967063">
        <w:rPr>
          <w:rFonts w:ascii="Times New Roman" w:hAnsi="Times New Roman" w:cs="Times New Roman"/>
          <w:sz w:val="24"/>
          <w:szCs w:val="24"/>
        </w:rPr>
        <w:t xml:space="preserve">, le pardon va de pair avec la promesse. </w:t>
      </w:r>
      <w:r w:rsidR="00F24F50">
        <w:rPr>
          <w:rFonts w:ascii="Times New Roman" w:hAnsi="Times New Roman" w:cs="Times New Roman"/>
          <w:sz w:val="24"/>
          <w:szCs w:val="24"/>
        </w:rPr>
        <w:t xml:space="preserve">Autrement </w:t>
      </w:r>
      <w:r w:rsidR="00933D43">
        <w:rPr>
          <w:rFonts w:ascii="Times New Roman" w:hAnsi="Times New Roman" w:cs="Times New Roman"/>
          <w:sz w:val="24"/>
          <w:szCs w:val="24"/>
        </w:rPr>
        <w:t xml:space="preserve">dit, </w:t>
      </w:r>
      <w:r w:rsidR="00933D43" w:rsidRPr="00967063">
        <w:rPr>
          <w:rFonts w:ascii="Times New Roman" w:hAnsi="Times New Roman" w:cs="Times New Roman"/>
          <w:sz w:val="24"/>
          <w:szCs w:val="24"/>
        </w:rPr>
        <w:t>sans</w:t>
      </w:r>
      <w:r w:rsidRPr="00967063">
        <w:rPr>
          <w:rFonts w:ascii="Times New Roman" w:hAnsi="Times New Roman" w:cs="Times New Roman"/>
          <w:sz w:val="24"/>
          <w:szCs w:val="24"/>
        </w:rPr>
        <w:t xml:space="preserve"> la promesse, le destin ne peut pas être levé. Arendt nous dit que le pardon est important car il est « le remède à l’irréversibilité de l’action » </w:t>
      </w:r>
      <w:r w:rsidR="00933D43" w:rsidRPr="00967063">
        <w:rPr>
          <w:rFonts w:ascii="Times New Roman" w:hAnsi="Times New Roman" w:cs="Times New Roman"/>
          <w:sz w:val="24"/>
          <w:szCs w:val="24"/>
        </w:rPr>
        <w:t>comme la</w:t>
      </w:r>
      <w:r w:rsidRPr="00967063">
        <w:rPr>
          <w:rFonts w:ascii="Times New Roman" w:hAnsi="Times New Roman" w:cs="Times New Roman"/>
          <w:sz w:val="24"/>
          <w:szCs w:val="24"/>
        </w:rPr>
        <w:t xml:space="preserve"> promesse est le remède « à l’</w:t>
      </w:r>
      <w:r w:rsidRPr="00967063">
        <w:rPr>
          <w:rFonts w:ascii="Times New Roman" w:eastAsia="Times New Roman" w:hAnsi="Times New Roman" w:cs="Times New Roman"/>
          <w:bCs/>
          <w:sz w:val="24"/>
          <w:szCs w:val="24"/>
          <w:lang w:eastAsia="fr-CA"/>
        </w:rPr>
        <w:t>imprévisibilité de l’avenir après l’action »</w:t>
      </w:r>
      <w:r w:rsidRPr="00967063">
        <w:rPr>
          <w:rStyle w:val="FootnoteReference"/>
          <w:rFonts w:ascii="Times New Roman" w:hAnsi="Times New Roman" w:cs="Times New Roman"/>
          <w:sz w:val="24"/>
          <w:szCs w:val="24"/>
        </w:rPr>
        <w:footnoteReference w:id="71"/>
      </w:r>
      <w:r w:rsidRPr="00967063">
        <w:rPr>
          <w:rFonts w:ascii="Times New Roman" w:eastAsia="Times New Roman" w:hAnsi="Times New Roman" w:cs="Times New Roman"/>
          <w:bCs/>
          <w:sz w:val="24"/>
          <w:szCs w:val="24"/>
          <w:lang w:eastAsia="fr-CA"/>
        </w:rPr>
        <w:t xml:space="preserve">. La faculté de pardon </w:t>
      </w:r>
      <w:r w:rsidRPr="00967063">
        <w:rPr>
          <w:rFonts w:ascii="Times New Roman" w:eastAsia="Times New Roman" w:hAnsi="Times New Roman" w:cs="Times New Roman"/>
          <w:sz w:val="24"/>
          <w:szCs w:val="24"/>
          <w:lang w:eastAsia="fr-CA"/>
        </w:rPr>
        <w:t>sert à libérer l’acteur des conséquences (souvent imprévisibles) de ses actes passés</w:t>
      </w:r>
      <w:r w:rsidRPr="00967063">
        <w:rPr>
          <w:rStyle w:val="FootnoteReference"/>
          <w:rFonts w:ascii="Times New Roman" w:hAnsi="Times New Roman" w:cs="Times New Roman"/>
          <w:sz w:val="24"/>
          <w:szCs w:val="24"/>
        </w:rPr>
        <w:footnoteReference w:id="72"/>
      </w:r>
      <w:r w:rsidRPr="00967063">
        <w:rPr>
          <w:rFonts w:ascii="Times New Roman" w:eastAsia="Times New Roman" w:hAnsi="Times New Roman" w:cs="Times New Roman"/>
          <w:sz w:val="24"/>
          <w:szCs w:val="24"/>
          <w:lang w:eastAsia="fr-CA"/>
        </w:rPr>
        <w:t>. La faculté de promettre « sert à disposer dans cet océan d’incertitude qu’est l’avenir par définition, des îlots de sécurité »</w:t>
      </w:r>
      <w:r w:rsidRPr="00967063">
        <w:rPr>
          <w:rStyle w:val="FootnoteReference"/>
          <w:rFonts w:ascii="Times New Roman" w:eastAsia="Times New Roman" w:hAnsi="Times New Roman" w:cs="Times New Roman"/>
          <w:bCs/>
          <w:sz w:val="24"/>
          <w:szCs w:val="24"/>
          <w:lang w:eastAsia="fr-CA"/>
        </w:rPr>
        <w:t xml:space="preserve"> </w:t>
      </w:r>
      <w:r w:rsidRPr="00967063">
        <w:rPr>
          <w:rStyle w:val="FootnoteReference"/>
          <w:rFonts w:ascii="Times New Roman" w:hAnsi="Times New Roman" w:cs="Times New Roman"/>
          <w:sz w:val="24"/>
          <w:szCs w:val="24"/>
        </w:rPr>
        <w:footnoteReference w:id="73"/>
      </w:r>
      <w:r w:rsidRPr="00967063">
        <w:rPr>
          <w:rFonts w:ascii="Times New Roman" w:eastAsia="Times New Roman" w:hAnsi="Times New Roman" w:cs="Times New Roman"/>
          <w:sz w:val="24"/>
          <w:szCs w:val="24"/>
          <w:lang w:eastAsia="fr-CA"/>
        </w:rPr>
        <w:t xml:space="preserve">.  </w:t>
      </w:r>
      <w:r w:rsidRPr="00967063">
        <w:rPr>
          <w:rFonts w:ascii="Times New Roman" w:eastAsia="Times New Roman" w:hAnsi="Times New Roman" w:cs="Times New Roman"/>
          <w:bCs/>
          <w:sz w:val="24"/>
          <w:szCs w:val="24"/>
          <w:lang w:eastAsia="fr-CA"/>
        </w:rPr>
        <w:t xml:space="preserve">On voit bien jusqu’où ces deux notions, de pardon et de promesse, sont centrales lorsque viendra le moment d’évaluer le processus burundais. Nous y reviendrons au dernier chapitre.  </w:t>
      </w:r>
    </w:p>
    <w:p w14:paraId="4D39C1F0" w14:textId="77777777" w:rsidR="001905B0" w:rsidRPr="00967063" w:rsidRDefault="001905B0" w:rsidP="001905B0">
      <w:pPr>
        <w:spacing w:line="480" w:lineRule="auto"/>
        <w:ind w:firstLine="360"/>
        <w:jc w:val="both"/>
        <w:rPr>
          <w:rFonts w:ascii="Times New Roman" w:hAnsi="Times New Roman" w:cs="Times New Roman"/>
          <w:sz w:val="24"/>
          <w:szCs w:val="24"/>
        </w:rPr>
      </w:pPr>
      <w:r w:rsidRPr="00967063">
        <w:rPr>
          <w:rFonts w:ascii="Times New Roman" w:hAnsi="Times New Roman" w:cs="Times New Roman"/>
          <w:sz w:val="24"/>
          <w:szCs w:val="24"/>
        </w:rPr>
        <w:t xml:space="preserve">La quatrième et dernière idée importante du cadre éthique de Ferry est la reconstruction elle-même. Il la présente comme un processus </w:t>
      </w:r>
      <w:r w:rsidRPr="00967063">
        <w:rPr>
          <w:rFonts w:ascii="Times New Roman" w:eastAsia="Times New Roman" w:hAnsi="Times New Roman" w:cs="Times New Roman"/>
          <w:iCs/>
          <w:sz w:val="24"/>
          <w:szCs w:val="24"/>
          <w:lang w:val="fr" w:eastAsia="fr-CA"/>
        </w:rPr>
        <w:t>articulant quatre phases : la narration, l’interprétation, l’argumentation et la reconstruction. Par la première phase du processus, la narration, Ferry nous dit que le vécu de chacun est porté à la connaissance et à la reconnaissance de l’autre</w:t>
      </w:r>
      <w:r w:rsidRPr="00967063">
        <w:rPr>
          <w:rStyle w:val="FootnoteReference"/>
          <w:rFonts w:ascii="Times New Roman" w:hAnsi="Times New Roman" w:cs="Times New Roman"/>
          <w:sz w:val="24"/>
          <w:szCs w:val="24"/>
        </w:rPr>
        <w:footnoteReference w:id="74"/>
      </w:r>
      <w:r w:rsidRPr="00967063">
        <w:rPr>
          <w:rFonts w:ascii="Times New Roman" w:eastAsia="Times New Roman" w:hAnsi="Times New Roman" w:cs="Times New Roman"/>
          <w:iCs/>
          <w:sz w:val="24"/>
          <w:szCs w:val="24"/>
          <w:lang w:val="fr" w:eastAsia="fr-CA"/>
        </w:rPr>
        <w:t>. Si donc, le processus burundais veut espérer atteindre la reconstruction, il devra, selon Ferry, envisager cette phase narrative. Le discours narratif prend pour référence les évènements réels ou fictifs et pour catégorie l’être (du locuteur et de l’allocutaire). À ce niveau, l’un raconte tandis que l’autre écoute</w:t>
      </w:r>
      <w:r w:rsidRPr="00967063">
        <w:rPr>
          <w:rStyle w:val="FootnoteReference"/>
          <w:rFonts w:ascii="Times New Roman" w:hAnsi="Times New Roman" w:cs="Times New Roman"/>
          <w:sz w:val="24"/>
          <w:szCs w:val="24"/>
        </w:rPr>
        <w:footnoteReference w:id="75"/>
      </w:r>
      <w:r w:rsidRPr="00967063">
        <w:rPr>
          <w:rFonts w:ascii="Times New Roman" w:eastAsia="Times New Roman" w:hAnsi="Times New Roman" w:cs="Times New Roman"/>
          <w:iCs/>
          <w:sz w:val="24"/>
          <w:szCs w:val="24"/>
          <w:lang w:val="fr" w:eastAsia="fr-CA"/>
        </w:rPr>
        <w:t>. Des fautes propres à susciter le ressentiment peuvent être observées. Ferry donne l’exemple de la violence de l’indiscrétion, des omissions mensongères, etc.</w:t>
      </w:r>
      <w:r w:rsidRPr="00967063">
        <w:rPr>
          <w:rStyle w:val="FootnoteReference"/>
          <w:rFonts w:ascii="Times New Roman" w:hAnsi="Times New Roman" w:cs="Times New Roman"/>
          <w:sz w:val="24"/>
          <w:szCs w:val="24"/>
        </w:rPr>
        <w:footnoteReference w:id="76"/>
      </w:r>
      <w:r w:rsidRPr="00967063">
        <w:rPr>
          <w:rFonts w:ascii="Times New Roman" w:eastAsia="Times New Roman" w:hAnsi="Times New Roman" w:cs="Times New Roman"/>
          <w:iCs/>
          <w:sz w:val="24"/>
          <w:szCs w:val="24"/>
          <w:lang w:val="fr" w:eastAsia="fr-CA"/>
        </w:rPr>
        <w:t xml:space="preserve"> On voit bien que ce premier moment correspond à celui de la thématisation du malentendu </w:t>
      </w:r>
      <w:r w:rsidRPr="00967063">
        <w:rPr>
          <w:rFonts w:ascii="Times New Roman" w:hAnsi="Times New Roman" w:cs="Times New Roman"/>
          <w:bCs/>
          <w:sz w:val="24"/>
          <w:szCs w:val="24"/>
        </w:rPr>
        <w:t>du point de vue « subjectif des acteurs immergés dans le drame »</w:t>
      </w:r>
      <w:r w:rsidRPr="00967063">
        <w:rPr>
          <w:rStyle w:val="FootnoteReference"/>
          <w:rFonts w:ascii="Times New Roman" w:hAnsi="Times New Roman" w:cs="Times New Roman"/>
          <w:sz w:val="24"/>
          <w:szCs w:val="24"/>
        </w:rPr>
        <w:footnoteReference w:id="77"/>
      </w:r>
      <w:r w:rsidRPr="00967063">
        <w:rPr>
          <w:rFonts w:ascii="Times New Roman" w:hAnsi="Times New Roman" w:cs="Times New Roman"/>
          <w:bCs/>
          <w:sz w:val="24"/>
          <w:szCs w:val="24"/>
        </w:rPr>
        <w:t xml:space="preserve">. </w:t>
      </w:r>
    </w:p>
    <w:p w14:paraId="3BD1EF27" w14:textId="03DDCFA2" w:rsidR="001905B0" w:rsidRPr="00967063" w:rsidRDefault="001905B0" w:rsidP="001905B0">
      <w:pPr>
        <w:spacing w:line="480" w:lineRule="auto"/>
        <w:ind w:firstLine="360"/>
        <w:jc w:val="both"/>
        <w:rPr>
          <w:rFonts w:ascii="Times New Roman" w:eastAsia="Times New Roman" w:hAnsi="Times New Roman" w:cs="Times New Roman"/>
          <w:iCs/>
          <w:sz w:val="24"/>
          <w:szCs w:val="24"/>
          <w:lang w:val="fr" w:eastAsia="fr-CA"/>
        </w:rPr>
      </w:pPr>
      <w:r w:rsidRPr="00967063">
        <w:rPr>
          <w:rFonts w:ascii="Times New Roman" w:eastAsia="Times New Roman" w:hAnsi="Times New Roman" w:cs="Times New Roman"/>
          <w:iCs/>
          <w:sz w:val="24"/>
          <w:szCs w:val="24"/>
          <w:lang w:val="fr" w:eastAsia="fr-CA"/>
        </w:rPr>
        <w:t>La deuxième phase du processus est l’interprétation. Articulé étroitement aux récits personnels, le discours interprétatif révèle des points de vue divergents</w:t>
      </w:r>
      <w:r w:rsidRPr="00967063">
        <w:rPr>
          <w:rStyle w:val="FootnoteReference"/>
          <w:rFonts w:ascii="Times New Roman" w:hAnsi="Times New Roman" w:cs="Times New Roman"/>
          <w:sz w:val="24"/>
          <w:szCs w:val="24"/>
        </w:rPr>
        <w:footnoteReference w:id="78"/>
      </w:r>
      <w:r w:rsidRPr="00967063">
        <w:rPr>
          <w:rFonts w:ascii="Times New Roman" w:eastAsia="Times New Roman" w:hAnsi="Times New Roman" w:cs="Times New Roman"/>
          <w:iCs/>
          <w:sz w:val="24"/>
          <w:szCs w:val="24"/>
          <w:lang w:val="fr" w:eastAsia="fr-CA"/>
        </w:rPr>
        <w:t>. Il prend pour référence les récits et pour catégorie la signification</w:t>
      </w:r>
      <w:r w:rsidRPr="00967063">
        <w:rPr>
          <w:rStyle w:val="FootnoteReference"/>
          <w:rFonts w:ascii="Times New Roman" w:hAnsi="Times New Roman" w:cs="Times New Roman"/>
          <w:sz w:val="24"/>
          <w:szCs w:val="24"/>
        </w:rPr>
        <w:footnoteReference w:id="79"/>
      </w:r>
      <w:r w:rsidRPr="00967063">
        <w:rPr>
          <w:rFonts w:ascii="Times New Roman" w:eastAsia="Times New Roman" w:hAnsi="Times New Roman" w:cs="Times New Roman"/>
          <w:iCs/>
          <w:sz w:val="24"/>
          <w:szCs w:val="24"/>
          <w:lang w:val="fr" w:eastAsia="fr-CA"/>
        </w:rPr>
        <w:t>. À ce niveau, l’un explique tandis que l’autre essaie de comprendre</w:t>
      </w:r>
      <w:r w:rsidRPr="00967063">
        <w:rPr>
          <w:rStyle w:val="FootnoteReference"/>
          <w:rFonts w:ascii="Times New Roman" w:hAnsi="Times New Roman" w:cs="Times New Roman"/>
          <w:sz w:val="24"/>
          <w:szCs w:val="24"/>
        </w:rPr>
        <w:footnoteReference w:id="80"/>
      </w:r>
      <w:r w:rsidRPr="00967063">
        <w:rPr>
          <w:rFonts w:ascii="Times New Roman" w:eastAsia="Times New Roman" w:hAnsi="Times New Roman" w:cs="Times New Roman"/>
          <w:iCs/>
          <w:sz w:val="24"/>
          <w:szCs w:val="24"/>
          <w:lang w:val="fr" w:eastAsia="fr-CA"/>
        </w:rPr>
        <w:t>. L’attention devra être portée sur le ressentiment qui apparaît avec des généralisations hâtives, des stratégies d’imputation cherchant à dénaturer la parole d’autrui ou des déformations malveillantes</w:t>
      </w:r>
      <w:r w:rsidRPr="00967063">
        <w:rPr>
          <w:rStyle w:val="FootnoteReference"/>
          <w:rFonts w:ascii="Times New Roman" w:hAnsi="Times New Roman" w:cs="Times New Roman"/>
          <w:sz w:val="24"/>
          <w:szCs w:val="24"/>
        </w:rPr>
        <w:footnoteReference w:id="81"/>
      </w:r>
      <w:r w:rsidR="007E115D">
        <w:rPr>
          <w:rFonts w:ascii="Times New Roman" w:eastAsia="Times New Roman" w:hAnsi="Times New Roman" w:cs="Times New Roman"/>
          <w:iCs/>
          <w:sz w:val="24"/>
          <w:szCs w:val="24"/>
          <w:lang w:val="fr" w:eastAsia="fr-CA"/>
        </w:rPr>
        <w:t>.</w:t>
      </w:r>
    </w:p>
    <w:p w14:paraId="7FD07245" w14:textId="6F733C3C" w:rsidR="001905B0" w:rsidRPr="00967063" w:rsidRDefault="001905B0" w:rsidP="001905B0">
      <w:pPr>
        <w:spacing w:line="480" w:lineRule="auto"/>
        <w:ind w:firstLine="360"/>
        <w:jc w:val="both"/>
        <w:rPr>
          <w:rFonts w:ascii="Times New Roman" w:eastAsia="Times New Roman" w:hAnsi="Times New Roman" w:cs="Times New Roman"/>
          <w:iCs/>
          <w:sz w:val="24"/>
          <w:szCs w:val="24"/>
          <w:lang w:val="fr" w:eastAsia="fr-CA"/>
        </w:rPr>
      </w:pPr>
      <w:r w:rsidRPr="00967063">
        <w:rPr>
          <w:rFonts w:ascii="Times New Roman" w:eastAsia="Times New Roman" w:hAnsi="Times New Roman" w:cs="Times New Roman"/>
          <w:iCs/>
          <w:sz w:val="24"/>
          <w:szCs w:val="24"/>
          <w:lang w:val="fr" w:eastAsia="fr-CA"/>
        </w:rPr>
        <w:t>Le troisième moment du processus est l’argumentation, « procès au cours duquel s’exposent et s’expliquent, au regard et à l’aide de raisons, les conflits d’interprétations »</w:t>
      </w:r>
      <w:r w:rsidRPr="00967063">
        <w:rPr>
          <w:rStyle w:val="FootnoteReference"/>
          <w:rFonts w:ascii="Times New Roman" w:hAnsi="Times New Roman" w:cs="Times New Roman"/>
          <w:sz w:val="24"/>
          <w:szCs w:val="24"/>
        </w:rPr>
        <w:footnoteReference w:id="82"/>
      </w:r>
      <w:r w:rsidRPr="00967063">
        <w:rPr>
          <w:rFonts w:ascii="Times New Roman" w:eastAsia="Times New Roman" w:hAnsi="Times New Roman" w:cs="Times New Roman"/>
          <w:iCs/>
          <w:sz w:val="24"/>
          <w:szCs w:val="24"/>
          <w:lang w:val="fr" w:eastAsia="fr-CA"/>
        </w:rPr>
        <w:t>. Le discours prend pour référence le vrai ou le faux et pour catégorie, la validité. À ce niveau, l’un justifie tandis que l’autre conteste</w:t>
      </w:r>
      <w:r w:rsidRPr="00967063">
        <w:rPr>
          <w:rStyle w:val="FootnoteReference"/>
          <w:rFonts w:ascii="Times New Roman" w:hAnsi="Times New Roman" w:cs="Times New Roman"/>
          <w:sz w:val="24"/>
          <w:szCs w:val="24"/>
        </w:rPr>
        <w:footnoteReference w:id="83"/>
      </w:r>
      <w:r w:rsidR="007E115D">
        <w:rPr>
          <w:rFonts w:ascii="Times New Roman" w:eastAsia="Times New Roman" w:hAnsi="Times New Roman" w:cs="Times New Roman"/>
          <w:iCs/>
          <w:sz w:val="24"/>
          <w:szCs w:val="24"/>
          <w:lang w:val="fr" w:eastAsia="fr-CA"/>
        </w:rPr>
        <w:t>.</w:t>
      </w:r>
      <w:r w:rsidRPr="00967063">
        <w:rPr>
          <w:rFonts w:ascii="Times New Roman" w:eastAsia="Times New Roman" w:hAnsi="Times New Roman" w:cs="Times New Roman"/>
          <w:iCs/>
          <w:sz w:val="24"/>
          <w:szCs w:val="24"/>
          <w:lang w:val="fr" w:eastAsia="fr-CA"/>
        </w:rPr>
        <w:t xml:space="preserve"> L’attention doit être portée sur des fautes propres à susciter le ressentiment, par exemple des inférences massives ou des conclusions répressives</w:t>
      </w:r>
      <w:r w:rsidRPr="00967063">
        <w:rPr>
          <w:rStyle w:val="FootnoteReference"/>
          <w:rFonts w:ascii="Times New Roman" w:hAnsi="Times New Roman" w:cs="Times New Roman"/>
          <w:sz w:val="24"/>
          <w:szCs w:val="24"/>
        </w:rPr>
        <w:footnoteReference w:id="84"/>
      </w:r>
      <w:r w:rsidRPr="00967063">
        <w:rPr>
          <w:rFonts w:ascii="Times New Roman" w:eastAsia="Times New Roman" w:hAnsi="Times New Roman" w:cs="Times New Roman"/>
          <w:iCs/>
          <w:sz w:val="24"/>
          <w:szCs w:val="24"/>
          <w:lang w:val="fr" w:eastAsia="fr-CA"/>
        </w:rPr>
        <w:t xml:space="preserve">. </w:t>
      </w:r>
    </w:p>
    <w:p w14:paraId="7ABCCFBA" w14:textId="77777777" w:rsidR="001905B0" w:rsidRPr="00967063" w:rsidRDefault="001905B0" w:rsidP="001905B0">
      <w:pPr>
        <w:spacing w:line="480" w:lineRule="auto"/>
        <w:ind w:firstLine="360"/>
        <w:jc w:val="both"/>
        <w:rPr>
          <w:rFonts w:ascii="Times New Roman" w:eastAsia="Times New Roman" w:hAnsi="Times New Roman" w:cs="Times New Roman"/>
          <w:iCs/>
          <w:sz w:val="24"/>
          <w:szCs w:val="24"/>
          <w:lang w:val="fr" w:eastAsia="fr-CA"/>
        </w:rPr>
      </w:pPr>
      <w:r w:rsidRPr="00967063">
        <w:rPr>
          <w:rFonts w:ascii="Times New Roman" w:eastAsia="Times New Roman" w:hAnsi="Times New Roman" w:cs="Times New Roman"/>
          <w:iCs/>
          <w:sz w:val="24"/>
          <w:szCs w:val="24"/>
          <w:lang w:val="fr" w:eastAsia="fr-CA"/>
        </w:rPr>
        <w:t>Par conséquent « omissions mensongères dans la narration, déformations malveillantes dans l’interprétation, conclusions répressives dans l’argumentation », voilà, selon Ferry, des « injustices routinières qui constituent autant d’atteintes imperceptibles à la reconnaissance réciproque, autant de blessures et d’obstacles à l’entente »</w:t>
      </w:r>
      <w:r w:rsidRPr="00967063">
        <w:rPr>
          <w:rStyle w:val="FootnoteReference"/>
          <w:rFonts w:ascii="Times New Roman" w:eastAsia="Times New Roman" w:hAnsi="Times New Roman" w:cs="Times New Roman"/>
          <w:iCs/>
          <w:sz w:val="24"/>
          <w:szCs w:val="24"/>
          <w:lang w:val="fr" w:eastAsia="fr-CA"/>
        </w:rPr>
        <w:t xml:space="preserve"> </w:t>
      </w:r>
      <w:r w:rsidRPr="00967063">
        <w:rPr>
          <w:rStyle w:val="FootnoteReference"/>
          <w:rFonts w:ascii="Times New Roman" w:hAnsi="Times New Roman" w:cs="Times New Roman"/>
          <w:sz w:val="24"/>
          <w:szCs w:val="24"/>
        </w:rPr>
        <w:footnoteReference w:id="85"/>
      </w:r>
      <w:r w:rsidRPr="00967063">
        <w:rPr>
          <w:rFonts w:ascii="Times New Roman" w:eastAsia="Times New Roman" w:hAnsi="Times New Roman" w:cs="Times New Roman"/>
          <w:iCs/>
          <w:sz w:val="24"/>
          <w:szCs w:val="24"/>
          <w:lang w:val="fr" w:eastAsia="fr-CA"/>
        </w:rPr>
        <w:t>. Or l’éthique reconstructive les envisage thématiquement dans la perspective « pratique de négations déterminées »</w:t>
      </w:r>
      <w:r w:rsidRPr="00967063">
        <w:rPr>
          <w:rStyle w:val="FootnoteReference"/>
          <w:rFonts w:ascii="Times New Roman" w:hAnsi="Times New Roman" w:cs="Times New Roman"/>
          <w:sz w:val="24"/>
          <w:szCs w:val="24"/>
        </w:rPr>
        <w:footnoteReference w:id="86"/>
      </w:r>
      <w:r w:rsidRPr="00967063">
        <w:rPr>
          <w:rFonts w:ascii="Times New Roman" w:eastAsia="Times New Roman" w:hAnsi="Times New Roman" w:cs="Times New Roman"/>
          <w:iCs/>
          <w:sz w:val="24"/>
          <w:szCs w:val="24"/>
          <w:lang w:val="fr" w:eastAsia="fr-CA"/>
        </w:rPr>
        <w:t>. Autrement dit, la reconstruction permet d’empêcher qu’elles ne gagnent du terrain.</w:t>
      </w:r>
    </w:p>
    <w:p w14:paraId="387A0CC7" w14:textId="77777777" w:rsidR="001905B0" w:rsidRPr="00967063" w:rsidRDefault="001905B0" w:rsidP="001905B0">
      <w:pPr>
        <w:spacing w:line="480" w:lineRule="auto"/>
        <w:ind w:firstLine="283"/>
        <w:jc w:val="both"/>
        <w:rPr>
          <w:rFonts w:ascii="Times New Roman" w:eastAsia="Times New Roman" w:hAnsi="Times New Roman" w:cs="Times New Roman"/>
          <w:iCs/>
          <w:sz w:val="24"/>
          <w:szCs w:val="24"/>
          <w:lang w:val="fr" w:eastAsia="fr-CA"/>
        </w:rPr>
      </w:pPr>
      <w:r w:rsidRPr="00967063">
        <w:rPr>
          <w:rFonts w:ascii="Times New Roman" w:eastAsia="Times New Roman" w:hAnsi="Times New Roman" w:cs="Times New Roman"/>
          <w:iCs/>
          <w:sz w:val="24"/>
          <w:szCs w:val="24"/>
          <w:lang w:val="fr" w:eastAsia="fr-CA"/>
        </w:rPr>
        <w:t>Considérée comme un parcours en sens inverse, la reconstruction, quatrième et dernière phase dans la séquence reconstructive, « aide à reprendre, en vue de sa résolution, la dialectique du malentendu, qui a pu jalonner les procès d’entente »</w:t>
      </w:r>
      <w:r w:rsidRPr="00967063">
        <w:rPr>
          <w:rStyle w:val="FootnoteReference"/>
          <w:rFonts w:ascii="Times New Roman" w:hAnsi="Times New Roman" w:cs="Times New Roman"/>
          <w:sz w:val="24"/>
          <w:szCs w:val="24"/>
        </w:rPr>
        <w:footnoteReference w:id="87"/>
      </w:r>
      <w:r w:rsidRPr="00967063">
        <w:rPr>
          <w:rFonts w:ascii="Times New Roman" w:eastAsia="Times New Roman" w:hAnsi="Times New Roman" w:cs="Times New Roman"/>
          <w:iCs/>
          <w:sz w:val="24"/>
          <w:szCs w:val="24"/>
          <w:lang w:val="fr" w:eastAsia="fr-CA"/>
        </w:rPr>
        <w:t>. Le discours « prend pour référence des personnes porteuses des prétentions (du discours) et pour catégorie la reconnaissance »</w:t>
      </w:r>
      <w:r w:rsidRPr="00967063">
        <w:rPr>
          <w:rStyle w:val="FootnoteReference"/>
          <w:rFonts w:ascii="Times New Roman" w:hAnsi="Times New Roman" w:cs="Times New Roman"/>
          <w:sz w:val="24"/>
          <w:szCs w:val="24"/>
        </w:rPr>
        <w:footnoteReference w:id="88"/>
      </w:r>
      <w:r w:rsidRPr="00967063">
        <w:rPr>
          <w:rFonts w:ascii="Times New Roman" w:eastAsia="Times New Roman" w:hAnsi="Times New Roman" w:cs="Times New Roman"/>
          <w:iCs/>
          <w:sz w:val="24"/>
          <w:szCs w:val="24"/>
          <w:lang w:val="fr" w:eastAsia="fr-CA"/>
        </w:rPr>
        <w:t>.  À ce niveau, l’un analyse tandis que l’autre reconnait</w:t>
      </w:r>
      <w:r w:rsidRPr="00967063">
        <w:rPr>
          <w:rStyle w:val="FootnoteReference"/>
          <w:rFonts w:ascii="Times New Roman" w:hAnsi="Times New Roman" w:cs="Times New Roman"/>
          <w:sz w:val="24"/>
          <w:szCs w:val="24"/>
        </w:rPr>
        <w:footnoteReference w:id="89"/>
      </w:r>
      <w:r w:rsidRPr="00967063">
        <w:rPr>
          <w:rFonts w:ascii="Times New Roman" w:eastAsia="Times New Roman" w:hAnsi="Times New Roman" w:cs="Times New Roman"/>
          <w:iCs/>
          <w:sz w:val="24"/>
          <w:szCs w:val="24"/>
          <w:lang w:val="fr" w:eastAsia="fr-CA"/>
        </w:rPr>
        <w:t xml:space="preserve">. Chez Ferry, </w:t>
      </w:r>
      <w:r w:rsidRPr="00967063">
        <w:rPr>
          <w:rFonts w:ascii="Times New Roman" w:hAnsi="Times New Roman" w:cs="Times New Roman"/>
          <w:sz w:val="24"/>
          <w:szCs w:val="24"/>
        </w:rPr>
        <w:t>le décentrement est constitutif du geste reconstructif, du fait que celui-ci présuppose nécessairement une ouverture réciproque des récits de vie.</w:t>
      </w:r>
      <w:r w:rsidRPr="00967063">
        <w:rPr>
          <w:rStyle w:val="FootnoteReference"/>
          <w:rFonts w:ascii="Times New Roman" w:hAnsi="Times New Roman" w:cs="Times New Roman"/>
          <w:sz w:val="24"/>
          <w:szCs w:val="24"/>
        </w:rPr>
        <w:t xml:space="preserve"> </w:t>
      </w:r>
      <w:r w:rsidRPr="00967063">
        <w:rPr>
          <w:rStyle w:val="FootnoteReference"/>
          <w:rFonts w:ascii="Times New Roman" w:hAnsi="Times New Roman" w:cs="Times New Roman"/>
          <w:sz w:val="24"/>
          <w:szCs w:val="24"/>
        </w:rPr>
        <w:footnoteReference w:id="90"/>
      </w:r>
      <w:r w:rsidRPr="00967063">
        <w:rPr>
          <w:rFonts w:ascii="Times New Roman" w:hAnsi="Times New Roman" w:cs="Times New Roman"/>
          <w:sz w:val="24"/>
          <w:szCs w:val="24"/>
        </w:rPr>
        <w:t xml:space="preserve"> </w:t>
      </w:r>
    </w:p>
    <w:p w14:paraId="3D491206" w14:textId="77777777" w:rsidR="001905B0" w:rsidRPr="00967063" w:rsidRDefault="001905B0" w:rsidP="00347F8C">
      <w:pPr>
        <w:spacing w:line="480" w:lineRule="auto"/>
        <w:ind w:firstLine="283"/>
        <w:jc w:val="both"/>
        <w:rPr>
          <w:rFonts w:ascii="Times New Roman" w:eastAsia="Times New Roman" w:hAnsi="Times New Roman" w:cs="Times New Roman"/>
          <w:iCs/>
          <w:sz w:val="24"/>
          <w:szCs w:val="24"/>
          <w:lang w:val="fr" w:eastAsia="fr-CA"/>
        </w:rPr>
      </w:pPr>
      <w:r w:rsidRPr="00967063">
        <w:rPr>
          <w:rFonts w:ascii="Times New Roman" w:eastAsia="Times New Roman" w:hAnsi="Times New Roman" w:cs="Times New Roman"/>
          <w:iCs/>
          <w:sz w:val="24"/>
          <w:szCs w:val="24"/>
          <w:lang w:val="fr" w:eastAsia="fr-CA"/>
        </w:rPr>
        <w:t>Selon Ferry, l’intérêt des reconstructions est donc d’une part de décentrer les narrations pour les arracher au dogmatisme de la facticité :</w:t>
      </w:r>
    </w:p>
    <w:p w14:paraId="374540F4" w14:textId="77777777" w:rsidR="001905B0" w:rsidRPr="00967063" w:rsidRDefault="001905B0" w:rsidP="00347F8C">
      <w:pPr>
        <w:ind w:left="283"/>
        <w:jc w:val="both"/>
        <w:rPr>
          <w:rFonts w:ascii="Times New Roman" w:hAnsi="Times New Roman" w:cs="Times New Roman"/>
          <w:sz w:val="24"/>
          <w:szCs w:val="24"/>
        </w:rPr>
      </w:pPr>
      <w:r w:rsidRPr="00967063">
        <w:rPr>
          <w:rFonts w:ascii="Times New Roman" w:hAnsi="Times New Roman" w:cs="Times New Roman"/>
          <w:sz w:val="24"/>
          <w:szCs w:val="24"/>
        </w:rPr>
        <w:t>C’est le propre des reconstructions de décentrer les narrations, en les structurant par des argumentations. Cette structuration arrache les récits au dogmatisme de la facticité, consistant à présenter l’histoire propre comme si, par elle-même, et sans tenir compte des histoires concurrentes, elle pouvait constituer un droit.</w:t>
      </w:r>
      <w:r w:rsidRPr="00967063">
        <w:rPr>
          <w:rStyle w:val="FootnoteReference"/>
          <w:rFonts w:ascii="Times New Roman" w:hAnsi="Times New Roman" w:cs="Times New Roman"/>
          <w:sz w:val="24"/>
          <w:szCs w:val="24"/>
        </w:rPr>
        <w:t xml:space="preserve"> </w:t>
      </w:r>
      <w:r w:rsidRPr="00967063">
        <w:rPr>
          <w:rStyle w:val="FootnoteReference"/>
          <w:rFonts w:ascii="Times New Roman" w:hAnsi="Times New Roman" w:cs="Times New Roman"/>
          <w:sz w:val="24"/>
          <w:szCs w:val="24"/>
        </w:rPr>
        <w:footnoteReference w:id="91"/>
      </w:r>
      <w:r w:rsidRPr="00967063">
        <w:rPr>
          <w:rFonts w:ascii="Times New Roman" w:hAnsi="Times New Roman" w:cs="Times New Roman"/>
          <w:sz w:val="24"/>
          <w:szCs w:val="24"/>
        </w:rPr>
        <w:t xml:space="preserve">  </w:t>
      </w:r>
    </w:p>
    <w:p w14:paraId="76D9A322" w14:textId="40E8121E" w:rsidR="001905B0" w:rsidRPr="00967063" w:rsidRDefault="001905B0" w:rsidP="001905B0">
      <w:pPr>
        <w:spacing w:line="480" w:lineRule="auto"/>
        <w:ind w:firstLine="283"/>
        <w:jc w:val="both"/>
        <w:rPr>
          <w:rFonts w:ascii="Times New Roman" w:hAnsi="Times New Roman" w:cs="Times New Roman"/>
          <w:sz w:val="24"/>
          <w:szCs w:val="24"/>
        </w:rPr>
      </w:pPr>
      <w:r w:rsidRPr="00ED28A0">
        <w:rPr>
          <w:rFonts w:ascii="Times New Roman" w:eastAsia="Times New Roman" w:hAnsi="Times New Roman" w:cs="Times New Roman"/>
          <w:iCs/>
          <w:sz w:val="24"/>
          <w:szCs w:val="24"/>
          <w:lang w:val="fr" w:eastAsia="fr-CA"/>
        </w:rPr>
        <w:t>N’est</w:t>
      </w:r>
      <w:r w:rsidR="008D5EF0">
        <w:rPr>
          <w:rFonts w:ascii="Times New Roman" w:eastAsia="Times New Roman" w:hAnsi="Times New Roman" w:cs="Times New Roman"/>
          <w:iCs/>
          <w:sz w:val="24"/>
          <w:szCs w:val="24"/>
          <w:lang w:val="fr" w:eastAsia="fr-CA"/>
        </w:rPr>
        <w:t>-ce</w:t>
      </w:r>
      <w:r w:rsidRPr="00ED28A0">
        <w:rPr>
          <w:rFonts w:ascii="Times New Roman" w:eastAsia="Times New Roman" w:hAnsi="Times New Roman" w:cs="Times New Roman"/>
          <w:iCs/>
          <w:sz w:val="24"/>
          <w:szCs w:val="24"/>
          <w:lang w:val="fr" w:eastAsia="fr-CA"/>
        </w:rPr>
        <w:t xml:space="preserve"> pas le tragique des récits concurrents des associations comme AC Génocide ou Avib 1972 : s’arrêter dans des dogmatismes de la facticité </w:t>
      </w:r>
      <w:r w:rsidR="00A60D29">
        <w:rPr>
          <w:rFonts w:ascii="Times New Roman" w:eastAsia="Times New Roman" w:hAnsi="Times New Roman" w:cs="Times New Roman"/>
          <w:iCs/>
          <w:sz w:val="24"/>
          <w:szCs w:val="24"/>
          <w:lang w:val="fr" w:eastAsia="fr-CA"/>
        </w:rPr>
        <w:t xml:space="preserve">ou </w:t>
      </w:r>
      <w:r w:rsidRPr="00ED28A0">
        <w:rPr>
          <w:rFonts w:ascii="Times New Roman" w:eastAsia="Times New Roman" w:hAnsi="Times New Roman" w:cs="Times New Roman"/>
          <w:iCs/>
          <w:sz w:val="24"/>
          <w:szCs w:val="24"/>
          <w:lang w:val="fr" w:eastAsia="fr-CA"/>
        </w:rPr>
        <w:t>une sorte</w:t>
      </w:r>
      <w:r w:rsidR="008D5EF0">
        <w:rPr>
          <w:rFonts w:ascii="Times New Roman" w:eastAsia="Times New Roman" w:hAnsi="Times New Roman" w:cs="Times New Roman"/>
          <w:iCs/>
          <w:sz w:val="24"/>
          <w:szCs w:val="24"/>
          <w:lang w:val="fr" w:eastAsia="fr-CA"/>
        </w:rPr>
        <w:t xml:space="preserve"> de</w:t>
      </w:r>
      <w:r w:rsidRPr="00ED28A0">
        <w:rPr>
          <w:rFonts w:ascii="Times New Roman" w:eastAsia="Times New Roman" w:hAnsi="Times New Roman" w:cs="Times New Roman"/>
          <w:iCs/>
          <w:sz w:val="24"/>
          <w:szCs w:val="24"/>
          <w:lang w:val="fr" w:eastAsia="fr-CA"/>
        </w:rPr>
        <w:t xml:space="preserve"> plaisir </w:t>
      </w:r>
      <w:r>
        <w:rPr>
          <w:rFonts w:ascii="Times New Roman" w:eastAsia="Times New Roman" w:hAnsi="Times New Roman" w:cs="Times New Roman"/>
          <w:iCs/>
          <w:sz w:val="24"/>
          <w:szCs w:val="24"/>
          <w:lang w:val="fr" w:eastAsia="fr-CA"/>
        </w:rPr>
        <w:t xml:space="preserve">à </w:t>
      </w:r>
      <w:r w:rsidR="00A60D29">
        <w:rPr>
          <w:rFonts w:ascii="Times New Roman" w:eastAsia="Times New Roman" w:hAnsi="Times New Roman" w:cs="Times New Roman"/>
          <w:iCs/>
          <w:sz w:val="24"/>
          <w:szCs w:val="24"/>
          <w:lang w:val="fr" w:eastAsia="fr-CA"/>
        </w:rPr>
        <w:t>rester dans le tragique comme voie de reconnaissance</w:t>
      </w:r>
      <w:r w:rsidR="00A60D29" w:rsidRPr="00ED28A0">
        <w:rPr>
          <w:rFonts w:ascii="Times New Roman" w:eastAsia="Times New Roman" w:hAnsi="Times New Roman" w:cs="Times New Roman"/>
          <w:iCs/>
          <w:sz w:val="24"/>
          <w:szCs w:val="24"/>
          <w:lang w:val="fr" w:eastAsia="fr-CA"/>
        </w:rPr>
        <w:t xml:space="preserve"> ?</w:t>
      </w:r>
      <w:r>
        <w:rPr>
          <w:rFonts w:ascii="Times New Roman" w:hAnsi="Times New Roman" w:cs="Times New Roman"/>
          <w:sz w:val="24"/>
          <w:szCs w:val="24"/>
        </w:rPr>
        <w:t xml:space="preserve"> </w:t>
      </w:r>
      <w:r w:rsidRPr="00967063">
        <w:rPr>
          <w:rFonts w:ascii="Times New Roman" w:eastAsia="Times New Roman" w:hAnsi="Times New Roman" w:cs="Times New Roman"/>
          <w:iCs/>
          <w:sz w:val="24"/>
          <w:szCs w:val="24"/>
          <w:lang w:val="fr" w:eastAsia="fr-CA"/>
        </w:rPr>
        <w:t xml:space="preserve">Et d’autre part, </w:t>
      </w:r>
      <w:r>
        <w:rPr>
          <w:rFonts w:ascii="Times New Roman" w:eastAsia="Times New Roman" w:hAnsi="Times New Roman" w:cs="Times New Roman"/>
          <w:iCs/>
          <w:sz w:val="24"/>
          <w:szCs w:val="24"/>
          <w:lang w:val="fr" w:eastAsia="fr-CA"/>
        </w:rPr>
        <w:t xml:space="preserve">les reconstructions permettent </w:t>
      </w:r>
      <w:r w:rsidRPr="00967063">
        <w:rPr>
          <w:rFonts w:ascii="Times New Roman" w:eastAsia="Times New Roman" w:hAnsi="Times New Roman" w:cs="Times New Roman"/>
          <w:iCs/>
          <w:sz w:val="24"/>
          <w:szCs w:val="24"/>
          <w:lang w:val="fr" w:eastAsia="fr-CA"/>
        </w:rPr>
        <w:t xml:space="preserve">d’articuler les arguments aux récits en vue d’atteindre une </w:t>
      </w:r>
      <w:r w:rsidRPr="00967063">
        <w:rPr>
          <w:rFonts w:ascii="Times New Roman" w:hAnsi="Times New Roman" w:cs="Times New Roman"/>
          <w:sz w:val="24"/>
          <w:szCs w:val="24"/>
        </w:rPr>
        <w:t xml:space="preserve">justice proprement historique : </w:t>
      </w:r>
    </w:p>
    <w:p w14:paraId="16544F08" w14:textId="5B67F676" w:rsidR="001905B0" w:rsidRDefault="001905B0" w:rsidP="001905B0">
      <w:pPr>
        <w:ind w:left="283"/>
        <w:jc w:val="both"/>
        <w:rPr>
          <w:rFonts w:ascii="Times New Roman" w:hAnsi="Times New Roman" w:cs="Times New Roman"/>
          <w:sz w:val="24"/>
          <w:szCs w:val="24"/>
        </w:rPr>
      </w:pPr>
      <w:r w:rsidRPr="00967063">
        <w:rPr>
          <w:rFonts w:ascii="Times New Roman" w:hAnsi="Times New Roman" w:cs="Times New Roman"/>
          <w:sz w:val="24"/>
          <w:szCs w:val="24"/>
        </w:rPr>
        <w:t xml:space="preserve">C’est </w:t>
      </w:r>
      <w:r w:rsidR="008D5EF0">
        <w:rPr>
          <w:rFonts w:ascii="Times New Roman" w:hAnsi="Times New Roman" w:cs="Times New Roman"/>
          <w:sz w:val="24"/>
          <w:szCs w:val="24"/>
        </w:rPr>
        <w:t>e</w:t>
      </w:r>
      <w:r w:rsidRPr="00967063">
        <w:rPr>
          <w:rFonts w:ascii="Times New Roman" w:hAnsi="Times New Roman" w:cs="Times New Roman"/>
          <w:sz w:val="24"/>
          <w:szCs w:val="24"/>
        </w:rPr>
        <w:t>n articulant intimement les arguments aux récits, c’est-à-dire en les contextualisant au regard de vécus biographiques, que la reconstruction dépasse les possibilités d’une argumentation déconnectée du particulier. Prise dans un exercice autonome, l’argumentation est, en effet, par elle-même, inaccessible à une justice proprement historique. On peut, d’ailleurs, concevoir une stratégie argumentative fortement autocentrée, auto justificatrice, où les arguments qui se confrontent auraient pour fonction de « bétonner » des positions toujours rivées aux intérêts initiaux.</w:t>
      </w:r>
      <w:r w:rsidRPr="00967063">
        <w:rPr>
          <w:rStyle w:val="FootnoteReference"/>
          <w:rFonts w:ascii="Times New Roman" w:hAnsi="Times New Roman" w:cs="Times New Roman"/>
          <w:sz w:val="24"/>
          <w:szCs w:val="24"/>
        </w:rPr>
        <w:footnoteReference w:id="92"/>
      </w:r>
    </w:p>
    <w:p w14:paraId="3B68AD2A" w14:textId="77777777" w:rsidR="001905B0" w:rsidRPr="00967063" w:rsidRDefault="001905B0" w:rsidP="001905B0">
      <w:pPr>
        <w:ind w:left="283"/>
        <w:jc w:val="both"/>
        <w:rPr>
          <w:rFonts w:ascii="Times New Roman" w:hAnsi="Times New Roman" w:cs="Times New Roman"/>
          <w:sz w:val="24"/>
          <w:szCs w:val="24"/>
        </w:rPr>
      </w:pPr>
    </w:p>
    <w:p w14:paraId="39C7F422" w14:textId="484CBFE6" w:rsidR="001905B0" w:rsidRPr="00967063" w:rsidRDefault="001905B0" w:rsidP="001905B0">
      <w:pPr>
        <w:spacing w:line="480" w:lineRule="auto"/>
        <w:ind w:firstLine="360"/>
        <w:jc w:val="both"/>
        <w:rPr>
          <w:rFonts w:ascii="Times New Roman" w:eastAsia="Times New Roman" w:hAnsi="Times New Roman" w:cs="Times New Roman"/>
          <w:iCs/>
          <w:sz w:val="24"/>
          <w:szCs w:val="24"/>
          <w:lang w:val="fr" w:eastAsia="fr-CA"/>
        </w:rPr>
      </w:pPr>
      <w:r>
        <w:rPr>
          <w:rFonts w:ascii="Times New Roman" w:eastAsia="Times New Roman" w:hAnsi="Times New Roman" w:cs="Times New Roman"/>
          <w:iCs/>
          <w:sz w:val="24"/>
          <w:szCs w:val="24"/>
          <w:lang w:val="fr" w:eastAsia="fr-CA"/>
        </w:rPr>
        <w:t xml:space="preserve">N’est-ce pas le rôle des historiographies comme celle </w:t>
      </w:r>
      <w:r w:rsidR="008D5EF0">
        <w:rPr>
          <w:rFonts w:ascii="Times New Roman" w:eastAsia="Times New Roman" w:hAnsi="Times New Roman" w:cs="Times New Roman"/>
          <w:iCs/>
          <w:sz w:val="24"/>
          <w:szCs w:val="24"/>
          <w:lang w:val="fr" w:eastAsia="fr-CA"/>
        </w:rPr>
        <w:t xml:space="preserve">de </w:t>
      </w:r>
      <w:r>
        <w:rPr>
          <w:rFonts w:ascii="Times New Roman" w:eastAsia="Times New Roman" w:hAnsi="Times New Roman" w:cs="Times New Roman"/>
          <w:iCs/>
          <w:sz w:val="24"/>
          <w:szCs w:val="24"/>
          <w:lang w:val="fr" w:eastAsia="fr-CA"/>
        </w:rPr>
        <w:t xml:space="preserve">Jean-Pierre Chrétien et de René Lemarchand d’articuler l’argument au récit et d’éviter cette </w:t>
      </w:r>
      <w:r w:rsidRPr="00005A0B">
        <w:rPr>
          <w:rFonts w:ascii="Times New Roman" w:eastAsia="Times New Roman" w:hAnsi="Times New Roman" w:cs="Times New Roman"/>
          <w:iCs/>
          <w:sz w:val="24"/>
          <w:szCs w:val="24"/>
          <w:lang w:val="fr" w:eastAsia="fr-CA"/>
        </w:rPr>
        <w:t xml:space="preserve">stratégie argumentative fortement autocentrée, auto </w:t>
      </w:r>
      <w:r w:rsidR="0090225A" w:rsidRPr="00005A0B">
        <w:rPr>
          <w:rFonts w:ascii="Times New Roman" w:eastAsia="Times New Roman" w:hAnsi="Times New Roman" w:cs="Times New Roman"/>
          <w:iCs/>
          <w:sz w:val="24"/>
          <w:szCs w:val="24"/>
          <w:lang w:val="fr" w:eastAsia="fr-CA"/>
        </w:rPr>
        <w:t>justificatrice ?</w:t>
      </w:r>
      <w:r w:rsidRPr="00005A0B">
        <w:rPr>
          <w:rFonts w:ascii="Times New Roman" w:eastAsia="Times New Roman" w:hAnsi="Times New Roman" w:cs="Times New Roman"/>
          <w:iCs/>
          <w:sz w:val="24"/>
          <w:szCs w:val="24"/>
          <w:lang w:val="fr" w:eastAsia="fr-CA"/>
        </w:rPr>
        <w:t xml:space="preserve"> </w:t>
      </w:r>
      <w:r w:rsidR="0090225A">
        <w:rPr>
          <w:rFonts w:ascii="Times New Roman" w:eastAsia="Times New Roman" w:hAnsi="Times New Roman" w:cs="Times New Roman"/>
          <w:iCs/>
          <w:sz w:val="24"/>
          <w:szCs w:val="24"/>
          <w:lang w:val="fr" w:eastAsia="fr-CA"/>
        </w:rPr>
        <w:t xml:space="preserve">A défaut de cela, pourraient-elles </w:t>
      </w:r>
      <w:r w:rsidRPr="00005A0B">
        <w:rPr>
          <w:rFonts w:ascii="Times New Roman" w:eastAsia="Times New Roman" w:hAnsi="Times New Roman" w:cs="Times New Roman"/>
          <w:iCs/>
          <w:sz w:val="24"/>
          <w:szCs w:val="24"/>
          <w:lang w:val="fr" w:eastAsia="fr-CA"/>
        </w:rPr>
        <w:t>jouer leur rôle crucial eu égard à ce qu’elles peuvent apporter à l'intrigue burundais</w:t>
      </w:r>
      <w:r w:rsidR="008D5EF0">
        <w:rPr>
          <w:rFonts w:ascii="Times New Roman" w:eastAsia="Times New Roman" w:hAnsi="Times New Roman" w:cs="Times New Roman"/>
          <w:iCs/>
          <w:sz w:val="24"/>
          <w:szCs w:val="24"/>
          <w:lang w:val="fr" w:eastAsia="fr-CA"/>
        </w:rPr>
        <w:t>e</w:t>
      </w:r>
      <w:r w:rsidR="0090225A">
        <w:rPr>
          <w:rFonts w:ascii="Times New Roman" w:eastAsia="Times New Roman" w:hAnsi="Times New Roman" w:cs="Times New Roman"/>
          <w:iCs/>
          <w:sz w:val="24"/>
          <w:szCs w:val="24"/>
          <w:lang w:val="fr" w:eastAsia="fr-CA"/>
        </w:rPr>
        <w:t> ?</w:t>
      </w:r>
    </w:p>
    <w:p w14:paraId="46ED87F4" w14:textId="5320E609" w:rsidR="001905B0" w:rsidRPr="00967063" w:rsidRDefault="001905B0" w:rsidP="001905B0">
      <w:pPr>
        <w:spacing w:line="480" w:lineRule="auto"/>
        <w:ind w:firstLine="360"/>
        <w:jc w:val="both"/>
        <w:rPr>
          <w:rFonts w:ascii="Times New Roman" w:hAnsi="Times New Roman" w:cs="Times New Roman"/>
          <w:sz w:val="24"/>
          <w:szCs w:val="24"/>
        </w:rPr>
      </w:pPr>
      <w:r w:rsidRPr="00967063">
        <w:rPr>
          <w:rFonts w:ascii="Times New Roman" w:eastAsia="Times New Roman" w:hAnsi="Times New Roman" w:cs="Times New Roman"/>
          <w:iCs/>
          <w:sz w:val="24"/>
          <w:szCs w:val="24"/>
          <w:lang w:val="fr" w:eastAsia="fr-CA"/>
        </w:rPr>
        <w:t xml:space="preserve">Voilà donc présentée à grands traits la grille que nous voulons utiliser pour évaluer moralement le processus de vérité et réconciliation au Burundi. Nous voulons à présent montrer la pertinence de </w:t>
      </w:r>
      <w:r w:rsidRPr="00967063">
        <w:rPr>
          <w:rFonts w:ascii="Times New Roman" w:hAnsi="Times New Roman" w:cs="Times New Roman"/>
          <w:sz w:val="24"/>
          <w:szCs w:val="24"/>
        </w:rPr>
        <w:t>ce paradigme philosophique pour le processus de vérité</w:t>
      </w:r>
      <w:r w:rsidR="006238EB">
        <w:rPr>
          <w:rFonts w:ascii="Times New Roman" w:hAnsi="Times New Roman" w:cs="Times New Roman"/>
          <w:sz w:val="24"/>
          <w:szCs w:val="24"/>
        </w:rPr>
        <w:t xml:space="preserve"> et</w:t>
      </w:r>
      <w:r w:rsidRPr="00967063">
        <w:rPr>
          <w:rFonts w:ascii="Times New Roman" w:hAnsi="Times New Roman" w:cs="Times New Roman"/>
          <w:sz w:val="24"/>
          <w:szCs w:val="24"/>
        </w:rPr>
        <w:t xml:space="preserve"> réconciliation au Burundi.</w:t>
      </w:r>
    </w:p>
    <w:p w14:paraId="2185800C" w14:textId="77777777" w:rsidR="001905B0" w:rsidRPr="00967063" w:rsidRDefault="001905B0" w:rsidP="001905B0">
      <w:pPr>
        <w:pStyle w:val="Heading3"/>
        <w:rPr>
          <w:rFonts w:ascii="Times New Roman" w:hAnsi="Times New Roman" w:cs="Times New Roman"/>
          <w:b w:val="0"/>
          <w:color w:val="auto"/>
        </w:rPr>
      </w:pPr>
      <w:bookmarkStart w:id="33" w:name="_Toc536771116"/>
      <w:bookmarkStart w:id="34" w:name="_Toc3637615"/>
      <w:bookmarkStart w:id="35" w:name="_Toc6239813"/>
      <w:r w:rsidRPr="00967063">
        <w:rPr>
          <w:rFonts w:ascii="Times New Roman" w:hAnsi="Times New Roman" w:cs="Times New Roman"/>
          <w:color w:val="auto"/>
        </w:rPr>
        <w:t>1.2 Pertinence de l’éthique reconstructive de Ferry pour la CVR</w:t>
      </w:r>
      <w:bookmarkEnd w:id="33"/>
      <w:bookmarkEnd w:id="34"/>
      <w:bookmarkEnd w:id="35"/>
      <w:r w:rsidRPr="00967063">
        <w:rPr>
          <w:rFonts w:ascii="Times New Roman" w:hAnsi="Times New Roman" w:cs="Times New Roman"/>
          <w:color w:val="auto"/>
        </w:rPr>
        <w:t xml:space="preserve"> </w:t>
      </w:r>
    </w:p>
    <w:p w14:paraId="198E0F20" w14:textId="77777777" w:rsidR="001905B0" w:rsidRPr="00967063" w:rsidRDefault="001905B0" w:rsidP="001905B0">
      <w:pPr>
        <w:rPr>
          <w:rFonts w:ascii="Times New Roman" w:hAnsi="Times New Roman" w:cs="Times New Roman"/>
          <w:sz w:val="24"/>
          <w:szCs w:val="24"/>
        </w:rPr>
      </w:pPr>
    </w:p>
    <w:p w14:paraId="79E6EC07" w14:textId="0E28EE5C" w:rsidR="001905B0" w:rsidRPr="00967063" w:rsidRDefault="001905B0" w:rsidP="001905B0">
      <w:pPr>
        <w:spacing w:line="480" w:lineRule="auto"/>
        <w:ind w:firstLine="708"/>
        <w:jc w:val="both"/>
        <w:rPr>
          <w:rFonts w:ascii="Times New Roman" w:hAnsi="Times New Roman" w:cs="Times New Roman"/>
          <w:sz w:val="24"/>
          <w:szCs w:val="24"/>
        </w:rPr>
      </w:pPr>
      <w:r w:rsidRPr="00967063">
        <w:rPr>
          <w:rFonts w:ascii="Times New Roman" w:hAnsi="Times New Roman" w:cs="Times New Roman"/>
          <w:sz w:val="24"/>
          <w:szCs w:val="24"/>
        </w:rPr>
        <w:t xml:space="preserve">En croisant la reconstruction et les circonstances de travail de la CVR, nous mettons en lumière trois éléments démontrant le besoin de s’appuyer sur une éthique reconstructive lorsqu’on est, comme la CVR burundaise, appelé à remédier aux crimes ayant atteint une société. </w:t>
      </w:r>
      <w:bookmarkStart w:id="36" w:name="_Hlk5091664"/>
      <w:r w:rsidRPr="00967063">
        <w:rPr>
          <w:rFonts w:ascii="Times New Roman" w:hAnsi="Times New Roman" w:cs="Times New Roman"/>
          <w:sz w:val="24"/>
          <w:szCs w:val="24"/>
        </w:rPr>
        <w:t>Pourquoi la CVR a</w:t>
      </w:r>
      <w:r w:rsidR="006238EB">
        <w:rPr>
          <w:rFonts w:ascii="Times New Roman" w:hAnsi="Times New Roman" w:cs="Times New Roman"/>
          <w:sz w:val="24"/>
          <w:szCs w:val="24"/>
        </w:rPr>
        <w:t>urait-elle avantage à</w:t>
      </w:r>
      <w:r w:rsidRPr="00967063">
        <w:rPr>
          <w:rFonts w:ascii="Times New Roman" w:hAnsi="Times New Roman" w:cs="Times New Roman"/>
          <w:sz w:val="24"/>
          <w:szCs w:val="24"/>
        </w:rPr>
        <w:t xml:space="preserve"> s’appuyer sur le cadre de Ferry? En raison d’abord des circonstances de son travail, ensuite en raison de sa mission d’élucider les violations et de les qualifier et enfin</w:t>
      </w:r>
      <w:r w:rsidR="006238EB">
        <w:rPr>
          <w:rFonts w:ascii="Times New Roman" w:hAnsi="Times New Roman" w:cs="Times New Roman"/>
          <w:sz w:val="24"/>
          <w:szCs w:val="24"/>
        </w:rPr>
        <w:t>,</w:t>
      </w:r>
      <w:r w:rsidRPr="00967063">
        <w:rPr>
          <w:rFonts w:ascii="Times New Roman" w:hAnsi="Times New Roman" w:cs="Times New Roman"/>
          <w:sz w:val="24"/>
          <w:szCs w:val="24"/>
        </w:rPr>
        <w:t xml:space="preserve"> en raison de sa mission de réconcilier les Burundais. </w:t>
      </w:r>
      <w:bookmarkEnd w:id="36"/>
    </w:p>
    <w:p w14:paraId="2AF9CB98" w14:textId="64AC054B" w:rsidR="001905B0" w:rsidRPr="00967063" w:rsidRDefault="001905B0" w:rsidP="001905B0">
      <w:pPr>
        <w:spacing w:line="480" w:lineRule="auto"/>
        <w:ind w:firstLine="708"/>
        <w:jc w:val="both"/>
        <w:rPr>
          <w:rFonts w:ascii="Times New Roman" w:hAnsi="Times New Roman" w:cs="Times New Roman"/>
          <w:sz w:val="24"/>
          <w:szCs w:val="24"/>
        </w:rPr>
      </w:pPr>
      <w:r w:rsidRPr="00967063">
        <w:rPr>
          <w:rFonts w:ascii="Times New Roman" w:hAnsi="Times New Roman" w:cs="Times New Roman"/>
          <w:sz w:val="24"/>
          <w:szCs w:val="24"/>
        </w:rPr>
        <w:t>La CVR a, premièrement, besoin de s’appuyer sur le cadre de Ferry compte tenu des circonstances de son travail. Rappelons qu’elle est appelée à travailler dans une société traversée par un antagonisme quant aux préférences normatives et aux finalités de la commission. Pour ne prendre qu’un exemple, elle est mandatée (</w:t>
      </w:r>
      <w:r w:rsidRPr="00967063">
        <w:rPr>
          <w:rFonts w:ascii="Times New Roman" w:eastAsia="Times New Roman" w:hAnsi="Times New Roman" w:cs="Times New Roman"/>
          <w:iCs/>
          <w:sz w:val="24"/>
          <w:szCs w:val="24"/>
          <w:lang w:eastAsia="fr-CA"/>
        </w:rPr>
        <w:t xml:space="preserve">l’article 6 de la Loi) </w:t>
      </w:r>
      <w:r w:rsidRPr="00967063">
        <w:rPr>
          <w:rFonts w:ascii="Times New Roman" w:hAnsi="Times New Roman" w:cs="Times New Roman"/>
          <w:sz w:val="24"/>
          <w:szCs w:val="24"/>
        </w:rPr>
        <w:t xml:space="preserve">pour travailler </w:t>
      </w:r>
      <w:r w:rsidRPr="00967063">
        <w:rPr>
          <w:rFonts w:ascii="Times New Roman" w:eastAsia="Times New Roman" w:hAnsi="Times New Roman" w:cs="Times New Roman"/>
          <w:iCs/>
          <w:sz w:val="24"/>
          <w:szCs w:val="24"/>
          <w:lang w:eastAsia="fr-CA"/>
        </w:rPr>
        <w:t>sur « la période allant de la date de l’indépendance le 1er juillet 1962 au 4 décembre 2008, date de la fin de la belligérance »</w:t>
      </w:r>
      <w:r w:rsidRPr="00967063">
        <w:rPr>
          <w:rStyle w:val="FootnoteReference"/>
          <w:rFonts w:ascii="Times New Roman" w:hAnsi="Times New Roman" w:cs="Times New Roman"/>
          <w:sz w:val="24"/>
          <w:szCs w:val="24"/>
        </w:rPr>
        <w:footnoteReference w:id="93"/>
      </w:r>
      <w:r w:rsidRPr="00967063">
        <w:rPr>
          <w:rFonts w:ascii="Times New Roman" w:eastAsia="Times New Roman" w:hAnsi="Times New Roman" w:cs="Times New Roman"/>
          <w:iCs/>
          <w:sz w:val="24"/>
          <w:szCs w:val="24"/>
          <w:lang w:eastAsia="fr-CA"/>
        </w:rPr>
        <w:t xml:space="preserve">. </w:t>
      </w:r>
      <w:r w:rsidRPr="00967063">
        <w:rPr>
          <w:rFonts w:ascii="Times New Roman" w:hAnsi="Times New Roman" w:cs="Times New Roman"/>
          <w:sz w:val="24"/>
          <w:szCs w:val="24"/>
        </w:rPr>
        <w:t>Au même moment, la CPI enquête sur de graves violations des droits de l’homme commises par le gouvernement depuis 2015. Mise en place par un régime qui fait l’objet d’une enquête internationale pour des violations graves sur une population, la CVR apparaît, au moins pour les opposants au régime, comme une commission tragique sur une scène tragique. De toute façon,</w:t>
      </w:r>
      <w:r w:rsidRPr="00967063">
        <w:rPr>
          <w:rFonts w:ascii="Times New Roman" w:eastAsia="Times New Roman" w:hAnsi="Times New Roman" w:cs="Times New Roman"/>
          <w:iCs/>
          <w:sz w:val="24"/>
          <w:szCs w:val="24"/>
          <w:lang w:eastAsia="fr-CA"/>
        </w:rPr>
        <w:t xml:space="preserve"> comme le contexte d’application de l’éthique reconstructive de Ferry est précisément un contexte de crise et du tragique, </w:t>
      </w:r>
      <w:r w:rsidR="003B73EB">
        <w:rPr>
          <w:rFonts w:ascii="Times New Roman" w:eastAsia="Times New Roman" w:hAnsi="Times New Roman" w:cs="Times New Roman"/>
          <w:iCs/>
          <w:sz w:val="24"/>
          <w:szCs w:val="24"/>
          <w:lang w:eastAsia="fr-CA"/>
        </w:rPr>
        <w:t>il nous semble difficilement envisageable que la CVR puisse</w:t>
      </w:r>
      <w:r w:rsidRPr="00967063">
        <w:rPr>
          <w:rFonts w:ascii="Times New Roman" w:eastAsia="Times New Roman" w:hAnsi="Times New Roman" w:cs="Times New Roman"/>
          <w:iCs/>
          <w:sz w:val="24"/>
          <w:szCs w:val="24"/>
          <w:lang w:eastAsia="fr-CA"/>
        </w:rPr>
        <w:t xml:space="preserve"> faire l’économie d’un </w:t>
      </w:r>
      <w:r w:rsidR="003B73EB">
        <w:rPr>
          <w:rFonts w:ascii="Times New Roman" w:eastAsia="Times New Roman" w:hAnsi="Times New Roman" w:cs="Times New Roman"/>
          <w:iCs/>
          <w:sz w:val="24"/>
          <w:szCs w:val="24"/>
          <w:lang w:eastAsia="fr-CA"/>
        </w:rPr>
        <w:t xml:space="preserve">tel </w:t>
      </w:r>
      <w:r w:rsidRPr="00967063">
        <w:rPr>
          <w:rFonts w:ascii="Times New Roman" w:eastAsia="Times New Roman" w:hAnsi="Times New Roman" w:cs="Times New Roman"/>
          <w:iCs/>
          <w:sz w:val="24"/>
          <w:szCs w:val="24"/>
          <w:lang w:eastAsia="fr-CA"/>
        </w:rPr>
        <w:t>cadre</w:t>
      </w:r>
      <w:r w:rsidR="003B73EB">
        <w:rPr>
          <w:rFonts w:ascii="Times New Roman" w:eastAsia="Times New Roman" w:hAnsi="Times New Roman" w:cs="Times New Roman"/>
          <w:iCs/>
          <w:sz w:val="24"/>
          <w:szCs w:val="24"/>
          <w:lang w:eastAsia="fr-CA"/>
        </w:rPr>
        <w:t xml:space="preserve">. </w:t>
      </w:r>
      <w:r w:rsidRPr="00967063">
        <w:rPr>
          <w:rFonts w:ascii="Times New Roman" w:eastAsia="Times New Roman" w:hAnsi="Times New Roman" w:cs="Times New Roman"/>
          <w:iCs/>
          <w:sz w:val="24"/>
          <w:szCs w:val="24"/>
          <w:lang w:eastAsia="fr-CA"/>
        </w:rPr>
        <w:t xml:space="preserve">Peut-elle ignorer qu’elle arrive sur une scène où beaucoup de Burundais, acteurs </w:t>
      </w:r>
      <w:r w:rsidR="003B73EB">
        <w:rPr>
          <w:rFonts w:ascii="Times New Roman" w:eastAsia="Times New Roman" w:hAnsi="Times New Roman" w:cs="Times New Roman"/>
          <w:iCs/>
          <w:sz w:val="24"/>
          <w:szCs w:val="24"/>
          <w:lang w:eastAsia="fr-CA"/>
        </w:rPr>
        <w:t>aussi bien que</w:t>
      </w:r>
      <w:r>
        <w:rPr>
          <w:rFonts w:ascii="Times New Roman" w:eastAsia="Times New Roman" w:hAnsi="Times New Roman" w:cs="Times New Roman"/>
          <w:iCs/>
          <w:sz w:val="24"/>
          <w:szCs w:val="24"/>
          <w:lang w:eastAsia="fr-CA"/>
        </w:rPr>
        <w:t xml:space="preserve"> </w:t>
      </w:r>
      <w:r w:rsidRPr="00967063">
        <w:rPr>
          <w:rFonts w:ascii="Times New Roman" w:eastAsia="Times New Roman" w:hAnsi="Times New Roman" w:cs="Times New Roman"/>
          <w:iCs/>
          <w:sz w:val="24"/>
          <w:szCs w:val="24"/>
          <w:lang w:eastAsia="fr-CA"/>
        </w:rPr>
        <w:t>spectateurs d</w:t>
      </w:r>
      <w:r w:rsidR="003B73EB">
        <w:rPr>
          <w:rFonts w:ascii="Times New Roman" w:eastAsia="Times New Roman" w:hAnsi="Times New Roman" w:cs="Times New Roman"/>
          <w:iCs/>
          <w:sz w:val="24"/>
          <w:szCs w:val="24"/>
          <w:lang w:eastAsia="fr-CA"/>
        </w:rPr>
        <w:t>e son</w:t>
      </w:r>
      <w:r w:rsidRPr="00967063">
        <w:rPr>
          <w:rFonts w:ascii="Times New Roman" w:eastAsia="Times New Roman" w:hAnsi="Times New Roman" w:cs="Times New Roman"/>
          <w:iCs/>
          <w:sz w:val="24"/>
          <w:szCs w:val="24"/>
          <w:lang w:eastAsia="fr-CA"/>
        </w:rPr>
        <w:t xml:space="preserve"> processus, </w:t>
      </w:r>
      <w:r w:rsidRPr="00967063">
        <w:rPr>
          <w:rFonts w:ascii="Times New Roman" w:hAnsi="Times New Roman" w:cs="Times New Roman"/>
          <w:sz w:val="24"/>
          <w:szCs w:val="24"/>
        </w:rPr>
        <w:t>subissent encore dans leur chair ce que Hegel a nommé la causalité du destin?</w:t>
      </w:r>
    </w:p>
    <w:p w14:paraId="4C045438" w14:textId="0AF77893" w:rsidR="001905B0" w:rsidRPr="00967063" w:rsidRDefault="001905B0" w:rsidP="001905B0">
      <w:pPr>
        <w:spacing w:line="480" w:lineRule="auto"/>
        <w:ind w:firstLine="708"/>
        <w:jc w:val="both"/>
        <w:rPr>
          <w:rFonts w:ascii="Times New Roman" w:hAnsi="Times New Roman" w:cs="Times New Roman"/>
          <w:sz w:val="24"/>
          <w:szCs w:val="24"/>
        </w:rPr>
      </w:pPr>
      <w:r w:rsidRPr="00967063">
        <w:rPr>
          <w:rFonts w:ascii="Times New Roman" w:hAnsi="Times New Roman" w:cs="Times New Roman"/>
          <w:sz w:val="24"/>
          <w:szCs w:val="24"/>
        </w:rPr>
        <w:t xml:space="preserve">La deuxième raison de s’appuyer sur la cadre de Ferry </w:t>
      </w:r>
      <w:r w:rsidR="006D7E3D">
        <w:rPr>
          <w:rFonts w:ascii="Times New Roman" w:hAnsi="Times New Roman" w:cs="Times New Roman"/>
          <w:sz w:val="24"/>
          <w:szCs w:val="24"/>
        </w:rPr>
        <w:t>réside dans</w:t>
      </w:r>
      <w:r w:rsidRPr="00967063">
        <w:rPr>
          <w:rFonts w:ascii="Times New Roman" w:hAnsi="Times New Roman" w:cs="Times New Roman"/>
          <w:sz w:val="24"/>
          <w:szCs w:val="24"/>
        </w:rPr>
        <w:t xml:space="preserve"> sa mission</w:t>
      </w:r>
      <w:r w:rsidR="00EF58A6">
        <w:rPr>
          <w:rFonts w:ascii="Times New Roman" w:hAnsi="Times New Roman" w:cs="Times New Roman"/>
          <w:sz w:val="24"/>
          <w:szCs w:val="24"/>
        </w:rPr>
        <w:t xml:space="preserve"> : </w:t>
      </w:r>
      <w:r w:rsidRPr="00967063">
        <w:rPr>
          <w:rFonts w:ascii="Times New Roman" w:hAnsi="Times New Roman" w:cs="Times New Roman"/>
          <w:sz w:val="24"/>
          <w:szCs w:val="24"/>
        </w:rPr>
        <w:t xml:space="preserve">élucider et qualifier les violations. Or est-il qu’un tel travail exige une procédure et il n’est pas absurde de penser que cette procédure puisse inclure la narration des vécus, l’interprétation et l’argumentation. </w:t>
      </w:r>
      <w:r w:rsidR="00EF58A6">
        <w:rPr>
          <w:rFonts w:ascii="Times New Roman" w:hAnsi="Times New Roman" w:cs="Times New Roman"/>
          <w:sz w:val="24"/>
          <w:szCs w:val="24"/>
        </w:rPr>
        <w:t xml:space="preserve">Compte tenu du fait que </w:t>
      </w:r>
      <w:r w:rsidRPr="00967063">
        <w:rPr>
          <w:rFonts w:ascii="Times New Roman" w:hAnsi="Times New Roman" w:cs="Times New Roman"/>
          <w:sz w:val="24"/>
          <w:szCs w:val="24"/>
        </w:rPr>
        <w:t xml:space="preserve">le projet de la reconstruction </w:t>
      </w:r>
      <w:r w:rsidR="00EF58A6">
        <w:rPr>
          <w:rFonts w:ascii="Times New Roman" w:hAnsi="Times New Roman" w:cs="Times New Roman"/>
          <w:sz w:val="24"/>
          <w:szCs w:val="24"/>
        </w:rPr>
        <w:t xml:space="preserve">consiste à  faire en sorte </w:t>
      </w:r>
      <w:r w:rsidRPr="00967063">
        <w:rPr>
          <w:rFonts w:ascii="Times New Roman" w:hAnsi="Times New Roman" w:cs="Times New Roman"/>
          <w:sz w:val="24"/>
          <w:szCs w:val="24"/>
        </w:rPr>
        <w:t xml:space="preserve">que </w:t>
      </w:r>
      <w:r w:rsidR="00EF58A6">
        <w:rPr>
          <w:rFonts w:ascii="Times New Roman" w:hAnsi="Times New Roman" w:cs="Times New Roman"/>
          <w:sz w:val="24"/>
          <w:szCs w:val="24"/>
        </w:rPr>
        <w:t>cette</w:t>
      </w:r>
      <w:r w:rsidRPr="00967063">
        <w:rPr>
          <w:rFonts w:ascii="Times New Roman" w:hAnsi="Times New Roman" w:cs="Times New Roman"/>
          <w:sz w:val="24"/>
          <w:szCs w:val="24"/>
        </w:rPr>
        <w:t xml:space="preserve"> procédure d’élucidation ne subisse pas les fautes propres à susciter les ressentiments</w:t>
      </w:r>
      <w:r w:rsidR="001170A3">
        <w:rPr>
          <w:rFonts w:ascii="Times New Roman" w:hAnsi="Times New Roman" w:cs="Times New Roman"/>
          <w:sz w:val="24"/>
          <w:szCs w:val="24"/>
        </w:rPr>
        <w:t xml:space="preserve"> et que </w:t>
      </w:r>
      <w:r w:rsidRPr="00967063">
        <w:rPr>
          <w:rFonts w:ascii="Times New Roman" w:hAnsi="Times New Roman" w:cs="Times New Roman"/>
          <w:sz w:val="24"/>
          <w:szCs w:val="24"/>
        </w:rPr>
        <w:t xml:space="preserve">la reconstruction exige de partir de la structure, c’est-à-dire la situation actuelle d’interdépendance, </w:t>
      </w:r>
      <w:r w:rsidR="001170A3">
        <w:rPr>
          <w:rFonts w:ascii="Times New Roman" w:hAnsi="Times New Roman" w:cs="Times New Roman"/>
          <w:sz w:val="24"/>
          <w:szCs w:val="24"/>
        </w:rPr>
        <w:t xml:space="preserve">il en résulte que </w:t>
      </w:r>
      <w:r w:rsidRPr="00967063">
        <w:rPr>
          <w:rFonts w:ascii="Times New Roman" w:hAnsi="Times New Roman" w:cs="Times New Roman"/>
          <w:sz w:val="24"/>
          <w:szCs w:val="24"/>
        </w:rPr>
        <w:t xml:space="preserve">la CVR a le moyen  à la fois d’exposer sa position de tiers-garant des conditions formelles du processus et de faire en sorte que soit exposé tout ce qui aurait été soustrait </w:t>
      </w:r>
      <w:r w:rsidR="001170A3">
        <w:rPr>
          <w:rFonts w:ascii="Times New Roman" w:hAnsi="Times New Roman" w:cs="Times New Roman"/>
          <w:sz w:val="24"/>
          <w:szCs w:val="24"/>
        </w:rPr>
        <w:t>à ce dernier (</w:t>
      </w:r>
      <w:r w:rsidRPr="00967063">
        <w:rPr>
          <w:rFonts w:ascii="Times New Roman" w:hAnsi="Times New Roman" w:cs="Times New Roman"/>
          <w:sz w:val="24"/>
          <w:szCs w:val="24"/>
        </w:rPr>
        <w:t>processus</w:t>
      </w:r>
      <w:r w:rsidR="001170A3">
        <w:rPr>
          <w:rFonts w:ascii="Times New Roman" w:hAnsi="Times New Roman" w:cs="Times New Roman"/>
          <w:sz w:val="24"/>
          <w:szCs w:val="24"/>
        </w:rPr>
        <w:t>)</w:t>
      </w:r>
      <w:r w:rsidRPr="00967063">
        <w:rPr>
          <w:rFonts w:ascii="Times New Roman" w:hAnsi="Times New Roman" w:cs="Times New Roman"/>
          <w:sz w:val="24"/>
          <w:szCs w:val="24"/>
        </w:rPr>
        <w:t xml:space="preserve">.  </w:t>
      </w:r>
      <w:r w:rsidRPr="00967063">
        <w:rPr>
          <w:rFonts w:ascii="Times New Roman" w:eastAsia="Times New Roman" w:hAnsi="Times New Roman" w:cs="Times New Roman"/>
          <w:iCs/>
          <w:sz w:val="24"/>
          <w:szCs w:val="24"/>
          <w:lang w:val="fr" w:eastAsia="fr-CA"/>
        </w:rPr>
        <w:t xml:space="preserve">Quel </w:t>
      </w:r>
      <w:r w:rsidRPr="00967063">
        <w:rPr>
          <w:rFonts w:ascii="Times New Roman" w:hAnsi="Times New Roman" w:cs="Times New Roman"/>
          <w:bCs/>
          <w:sz w:val="24"/>
          <w:szCs w:val="24"/>
        </w:rPr>
        <w:t xml:space="preserve">serait, par exemple, un processus de vérité et réconciliation qui ne thématiserait pas les amnisties accordées entre 2003 et 2006 ou encore la crise en cours depuis </w:t>
      </w:r>
      <w:r w:rsidR="00F92884" w:rsidRPr="00967063">
        <w:rPr>
          <w:rFonts w:ascii="Times New Roman" w:hAnsi="Times New Roman" w:cs="Times New Roman"/>
          <w:bCs/>
          <w:sz w:val="24"/>
          <w:szCs w:val="24"/>
        </w:rPr>
        <w:t>2015 ?</w:t>
      </w:r>
      <w:r w:rsidRPr="00967063">
        <w:rPr>
          <w:rFonts w:ascii="Times New Roman" w:hAnsi="Times New Roman" w:cs="Times New Roman"/>
          <w:bCs/>
          <w:sz w:val="24"/>
          <w:szCs w:val="24"/>
        </w:rPr>
        <w:t xml:space="preserve"> </w:t>
      </w:r>
      <w:r>
        <w:rPr>
          <w:rFonts w:ascii="Times New Roman" w:hAnsi="Times New Roman" w:cs="Times New Roman"/>
          <w:bCs/>
          <w:sz w:val="24"/>
          <w:szCs w:val="24"/>
        </w:rPr>
        <w:t>Les participants et participantes au processus de vérité et réconciliation, ne comprennent-</w:t>
      </w:r>
      <w:r w:rsidR="00F92884">
        <w:rPr>
          <w:rFonts w:ascii="Times New Roman" w:hAnsi="Times New Roman" w:cs="Times New Roman"/>
          <w:bCs/>
          <w:sz w:val="24"/>
          <w:szCs w:val="24"/>
        </w:rPr>
        <w:t>ils pas</w:t>
      </w:r>
      <w:r>
        <w:rPr>
          <w:rFonts w:ascii="Times New Roman" w:hAnsi="Times New Roman" w:cs="Times New Roman"/>
          <w:bCs/>
          <w:sz w:val="24"/>
          <w:szCs w:val="24"/>
        </w:rPr>
        <w:t xml:space="preserve"> ceux et celles </w:t>
      </w:r>
      <w:r w:rsidRPr="00F92884">
        <w:rPr>
          <w:rFonts w:ascii="Times New Roman" w:hAnsi="Times New Roman" w:cs="Times New Roman"/>
          <w:bCs/>
          <w:sz w:val="24"/>
          <w:szCs w:val="24"/>
        </w:rPr>
        <w:t xml:space="preserve">qui ont </w:t>
      </w:r>
      <w:r w:rsidR="00D82661" w:rsidRPr="00F92884">
        <w:rPr>
          <w:rFonts w:ascii="Times New Roman" w:hAnsi="Times New Roman" w:cs="Times New Roman"/>
          <w:bCs/>
          <w:sz w:val="24"/>
          <w:szCs w:val="24"/>
        </w:rPr>
        <w:t>été touchés</w:t>
      </w:r>
      <w:r w:rsidR="00296DB0" w:rsidRPr="00F92884">
        <w:rPr>
          <w:rFonts w:ascii="Times New Roman" w:hAnsi="Times New Roman" w:cs="Times New Roman"/>
          <w:bCs/>
          <w:sz w:val="24"/>
          <w:szCs w:val="24"/>
        </w:rPr>
        <w:t xml:space="preserve"> par </w:t>
      </w:r>
      <w:r w:rsidRPr="00F92884">
        <w:rPr>
          <w:rFonts w:ascii="Times New Roman" w:hAnsi="Times New Roman" w:cs="Times New Roman"/>
          <w:bCs/>
          <w:sz w:val="24"/>
          <w:szCs w:val="24"/>
        </w:rPr>
        <w:t>la crise de 2015?</w:t>
      </w:r>
    </w:p>
    <w:p w14:paraId="5D1FC58E" w14:textId="24915994" w:rsidR="001905B0" w:rsidRPr="00967063" w:rsidRDefault="001905B0" w:rsidP="001905B0">
      <w:pPr>
        <w:spacing w:line="480" w:lineRule="auto"/>
        <w:ind w:firstLine="708"/>
        <w:jc w:val="both"/>
        <w:rPr>
          <w:rFonts w:ascii="Times New Roman" w:eastAsia="Times New Roman" w:hAnsi="Times New Roman" w:cs="Times New Roman"/>
          <w:iCs/>
          <w:sz w:val="24"/>
          <w:szCs w:val="24"/>
          <w:lang w:eastAsia="fr-CA"/>
        </w:rPr>
      </w:pPr>
      <w:r w:rsidRPr="00967063">
        <w:rPr>
          <w:rFonts w:ascii="Times New Roman" w:eastAsia="Times New Roman" w:hAnsi="Times New Roman" w:cs="Times New Roman"/>
          <w:iCs/>
          <w:sz w:val="24"/>
          <w:szCs w:val="24"/>
          <w:lang w:eastAsia="fr-CA"/>
        </w:rPr>
        <w:t>La troisièmement</w:t>
      </w:r>
      <w:r w:rsidRPr="00967063">
        <w:rPr>
          <w:rFonts w:ascii="Times New Roman" w:hAnsi="Times New Roman" w:cs="Times New Roman"/>
          <w:sz w:val="24"/>
          <w:szCs w:val="24"/>
        </w:rPr>
        <w:t xml:space="preserve"> raison justifiant </w:t>
      </w:r>
      <w:r w:rsidR="00D82661">
        <w:rPr>
          <w:rFonts w:ascii="Times New Roman" w:hAnsi="Times New Roman" w:cs="Times New Roman"/>
          <w:sz w:val="24"/>
          <w:szCs w:val="24"/>
        </w:rPr>
        <w:t>la nécessité dans laquelle se trouve</w:t>
      </w:r>
      <w:r w:rsidRPr="00967063">
        <w:rPr>
          <w:rFonts w:ascii="Times New Roman" w:hAnsi="Times New Roman" w:cs="Times New Roman"/>
          <w:sz w:val="24"/>
          <w:szCs w:val="24"/>
        </w:rPr>
        <w:t xml:space="preserve"> la CVR </w:t>
      </w:r>
      <w:r w:rsidR="00CA4BC0">
        <w:rPr>
          <w:rFonts w:ascii="Times New Roman" w:hAnsi="Times New Roman" w:cs="Times New Roman"/>
          <w:sz w:val="24"/>
          <w:szCs w:val="24"/>
        </w:rPr>
        <w:t xml:space="preserve">de </w:t>
      </w:r>
      <w:r w:rsidRPr="00967063">
        <w:rPr>
          <w:rFonts w:ascii="Times New Roman" w:hAnsi="Times New Roman" w:cs="Times New Roman"/>
          <w:sz w:val="24"/>
          <w:szCs w:val="24"/>
        </w:rPr>
        <w:t>s’</w:t>
      </w:r>
      <w:r w:rsidR="00D82661" w:rsidRPr="00967063">
        <w:rPr>
          <w:rFonts w:ascii="Times New Roman" w:hAnsi="Times New Roman" w:cs="Times New Roman"/>
          <w:sz w:val="24"/>
          <w:szCs w:val="24"/>
        </w:rPr>
        <w:t>appuy</w:t>
      </w:r>
      <w:r w:rsidR="00D82661">
        <w:rPr>
          <w:rFonts w:ascii="Times New Roman" w:hAnsi="Times New Roman" w:cs="Times New Roman"/>
          <w:sz w:val="24"/>
          <w:szCs w:val="24"/>
        </w:rPr>
        <w:t>er</w:t>
      </w:r>
      <w:r w:rsidRPr="00967063">
        <w:rPr>
          <w:rFonts w:ascii="Times New Roman" w:hAnsi="Times New Roman" w:cs="Times New Roman"/>
          <w:sz w:val="24"/>
          <w:szCs w:val="24"/>
        </w:rPr>
        <w:t xml:space="preserve"> sur le cadre de Ferry réside dans sa mission</w:t>
      </w:r>
      <w:r w:rsidR="00D82661">
        <w:rPr>
          <w:rFonts w:ascii="Times New Roman" w:hAnsi="Times New Roman" w:cs="Times New Roman"/>
          <w:sz w:val="24"/>
          <w:szCs w:val="24"/>
        </w:rPr>
        <w:t> :</w:t>
      </w:r>
      <w:r w:rsidRPr="00967063">
        <w:rPr>
          <w:rFonts w:ascii="Times New Roman" w:hAnsi="Times New Roman" w:cs="Times New Roman"/>
          <w:sz w:val="24"/>
          <w:szCs w:val="24"/>
        </w:rPr>
        <w:t xml:space="preserve"> </w:t>
      </w:r>
      <w:r w:rsidRPr="00967063">
        <w:rPr>
          <w:rFonts w:ascii="Times New Roman" w:eastAsia="Times New Roman" w:hAnsi="Times New Roman" w:cs="Times New Roman"/>
          <w:iCs/>
          <w:sz w:val="24"/>
          <w:szCs w:val="24"/>
          <w:lang w:eastAsia="fr-CA"/>
        </w:rPr>
        <w:t xml:space="preserve">réconcilier les Burundais. </w:t>
      </w:r>
      <w:r w:rsidR="00D82661">
        <w:rPr>
          <w:rFonts w:ascii="Times New Roman" w:eastAsia="Times New Roman" w:hAnsi="Times New Roman" w:cs="Times New Roman"/>
          <w:iCs/>
          <w:sz w:val="24"/>
          <w:szCs w:val="24"/>
          <w:lang w:eastAsia="fr-CA"/>
        </w:rPr>
        <w:t>Car m</w:t>
      </w:r>
      <w:r w:rsidRPr="00967063">
        <w:rPr>
          <w:rFonts w:ascii="Times New Roman" w:eastAsia="Times New Roman" w:hAnsi="Times New Roman" w:cs="Times New Roman"/>
          <w:iCs/>
          <w:sz w:val="24"/>
          <w:szCs w:val="24"/>
          <w:lang w:eastAsia="fr-CA"/>
        </w:rPr>
        <w:t xml:space="preserve">ême en son sens minimal, </w:t>
      </w:r>
      <w:r w:rsidR="00D82661">
        <w:rPr>
          <w:rFonts w:ascii="Times New Roman" w:eastAsia="Times New Roman" w:hAnsi="Times New Roman" w:cs="Times New Roman"/>
          <w:iCs/>
          <w:sz w:val="24"/>
          <w:szCs w:val="24"/>
          <w:lang w:eastAsia="fr-CA"/>
        </w:rPr>
        <w:t>celui</w:t>
      </w:r>
      <w:r w:rsidRPr="00967063">
        <w:rPr>
          <w:rFonts w:ascii="Times New Roman" w:eastAsia="Times New Roman" w:hAnsi="Times New Roman" w:cs="Times New Roman"/>
          <w:iCs/>
          <w:sz w:val="24"/>
          <w:szCs w:val="24"/>
          <w:lang w:eastAsia="fr-CA"/>
        </w:rPr>
        <w:t xml:space="preserve"> d’une </w:t>
      </w:r>
      <w:r w:rsidRPr="00967063">
        <w:rPr>
          <w:rFonts w:ascii="Times New Roman" w:hAnsi="Times New Roman" w:cs="Times New Roman"/>
          <w:sz w:val="24"/>
          <w:szCs w:val="24"/>
        </w:rPr>
        <w:t>coopération</w:t>
      </w:r>
      <w:r w:rsidRPr="00967063">
        <w:rPr>
          <w:rFonts w:ascii="Times New Roman" w:hAnsi="Times New Roman" w:cs="Times New Roman"/>
          <w:bCs/>
          <w:iCs/>
          <w:sz w:val="24"/>
          <w:szCs w:val="24"/>
        </w:rPr>
        <w:t xml:space="preserve"> « suffisamment inclusive pour garantir une stabilité issue de la reconnaissance sociale de sa propre légitimité</w:t>
      </w:r>
      <w:r w:rsidRPr="00967063">
        <w:rPr>
          <w:rFonts w:ascii="Times New Roman" w:hAnsi="Times New Roman" w:cs="Times New Roman"/>
          <w:sz w:val="24"/>
          <w:szCs w:val="24"/>
        </w:rPr>
        <w:t xml:space="preserve"> »</w:t>
      </w:r>
      <w:r w:rsidRPr="00967063">
        <w:rPr>
          <w:rStyle w:val="FootnoteReference"/>
          <w:rFonts w:ascii="Times New Roman" w:hAnsi="Times New Roman" w:cs="Times New Roman"/>
          <w:sz w:val="24"/>
          <w:szCs w:val="24"/>
        </w:rPr>
        <w:footnoteReference w:id="94"/>
      </w:r>
      <w:r w:rsidRPr="00967063">
        <w:rPr>
          <w:rFonts w:ascii="Times New Roman" w:hAnsi="Times New Roman" w:cs="Times New Roman"/>
          <w:sz w:val="24"/>
          <w:szCs w:val="24"/>
        </w:rPr>
        <w:t xml:space="preserve">, la réconciliation exige la reconstruction en tant que celle-ci permet de lever le destin hostile. Afin de pouvoir </w:t>
      </w:r>
      <w:r w:rsidRPr="00967063">
        <w:rPr>
          <w:rFonts w:ascii="Times New Roman" w:eastAsia="Times New Roman" w:hAnsi="Times New Roman" w:cs="Times New Roman"/>
          <w:iCs/>
          <w:sz w:val="24"/>
          <w:szCs w:val="24"/>
          <w:lang w:eastAsia="fr-CA"/>
        </w:rPr>
        <w:t>« fluidifier les situations de rapports figées »</w:t>
      </w:r>
      <w:r w:rsidRPr="00967063">
        <w:rPr>
          <w:rStyle w:val="FootnoteReference"/>
          <w:rFonts w:ascii="Times New Roman" w:hAnsi="Times New Roman" w:cs="Times New Roman"/>
          <w:sz w:val="24"/>
          <w:szCs w:val="24"/>
        </w:rPr>
        <w:footnoteReference w:id="95"/>
      </w:r>
      <w:r w:rsidRPr="00967063">
        <w:rPr>
          <w:rFonts w:ascii="Times New Roman" w:eastAsia="Times New Roman" w:hAnsi="Times New Roman" w:cs="Times New Roman"/>
          <w:iCs/>
          <w:sz w:val="24"/>
          <w:szCs w:val="24"/>
          <w:lang w:eastAsia="fr-CA"/>
        </w:rPr>
        <w:t xml:space="preserve"> entre Hutus et Tutsis et « émanciper des déterminismes qui, dans la relation aux autres comme à soi-même, entravent la communication, bloquent les possibilités de résolution des conflits »</w:t>
      </w:r>
      <w:r w:rsidRPr="00967063">
        <w:rPr>
          <w:rStyle w:val="FootnoteReference"/>
          <w:rFonts w:ascii="Times New Roman" w:hAnsi="Times New Roman" w:cs="Times New Roman"/>
          <w:sz w:val="24"/>
          <w:szCs w:val="24"/>
        </w:rPr>
        <w:footnoteReference w:id="96"/>
      </w:r>
      <w:r w:rsidRPr="00967063">
        <w:rPr>
          <w:rFonts w:ascii="Times New Roman" w:eastAsia="Times New Roman" w:hAnsi="Times New Roman" w:cs="Times New Roman"/>
          <w:iCs/>
          <w:sz w:val="24"/>
          <w:szCs w:val="24"/>
          <w:lang w:eastAsia="fr-CA"/>
        </w:rPr>
        <w:t xml:space="preserve">, la CVR a </w:t>
      </w:r>
      <w:r w:rsidR="00413789">
        <w:rPr>
          <w:rFonts w:ascii="Times New Roman" w:eastAsia="Times New Roman" w:hAnsi="Times New Roman" w:cs="Times New Roman"/>
          <w:iCs/>
          <w:sz w:val="24"/>
          <w:szCs w:val="24"/>
          <w:lang w:eastAsia="fr-CA"/>
        </w:rPr>
        <w:t xml:space="preserve">grand </w:t>
      </w:r>
      <w:r w:rsidRPr="00967063">
        <w:rPr>
          <w:rFonts w:ascii="Times New Roman" w:eastAsia="Times New Roman" w:hAnsi="Times New Roman" w:cs="Times New Roman"/>
          <w:iCs/>
          <w:sz w:val="24"/>
          <w:szCs w:val="24"/>
          <w:lang w:eastAsia="fr-CA"/>
        </w:rPr>
        <w:t>intérêt, à notre avis, à tenir compte de ce cadre.</w:t>
      </w:r>
    </w:p>
    <w:p w14:paraId="62CBC3AB" w14:textId="6A6CA787" w:rsidR="00296DB0" w:rsidRPr="00D82661" w:rsidRDefault="001905B0" w:rsidP="00D82661">
      <w:pPr>
        <w:spacing w:line="480" w:lineRule="auto"/>
        <w:ind w:firstLine="708"/>
        <w:jc w:val="both"/>
        <w:rPr>
          <w:rFonts w:ascii="Times New Roman" w:eastAsia="Times New Roman" w:hAnsi="Times New Roman" w:cs="Times New Roman"/>
          <w:iCs/>
          <w:sz w:val="24"/>
          <w:szCs w:val="24"/>
          <w:lang w:eastAsia="fr-CA"/>
        </w:rPr>
      </w:pPr>
      <w:r w:rsidRPr="00967063">
        <w:rPr>
          <w:rFonts w:ascii="Times New Roman" w:eastAsia="Times New Roman" w:hAnsi="Times New Roman" w:cs="Times New Roman"/>
          <w:iCs/>
          <w:sz w:val="24"/>
          <w:szCs w:val="24"/>
          <w:lang w:eastAsia="fr-CA"/>
        </w:rPr>
        <w:t>Voilà donc les trois raisons qui justifient la pertinence du paradigme de Ferry. Avant de montrer en quoi ce cadre peut concrètement contribuer</w:t>
      </w:r>
      <w:r w:rsidR="00D82661">
        <w:rPr>
          <w:rFonts w:ascii="Times New Roman" w:eastAsia="Times New Roman" w:hAnsi="Times New Roman" w:cs="Times New Roman"/>
          <w:iCs/>
          <w:sz w:val="24"/>
          <w:szCs w:val="24"/>
          <w:lang w:eastAsia="fr-CA"/>
        </w:rPr>
        <w:t xml:space="preserve"> au travail de la CVR</w:t>
      </w:r>
      <w:r w:rsidRPr="00967063">
        <w:rPr>
          <w:rFonts w:ascii="Times New Roman" w:eastAsia="Times New Roman" w:hAnsi="Times New Roman" w:cs="Times New Roman"/>
          <w:iCs/>
          <w:sz w:val="24"/>
          <w:szCs w:val="24"/>
          <w:lang w:eastAsia="fr-CA"/>
        </w:rPr>
        <w:t xml:space="preserve">, nous </w:t>
      </w:r>
      <w:r w:rsidR="00D82661">
        <w:rPr>
          <w:rFonts w:ascii="Times New Roman" w:eastAsia="Times New Roman" w:hAnsi="Times New Roman" w:cs="Times New Roman"/>
          <w:iCs/>
          <w:sz w:val="24"/>
          <w:szCs w:val="24"/>
          <w:lang w:eastAsia="fr-CA"/>
        </w:rPr>
        <w:t>désirons</w:t>
      </w:r>
      <w:r w:rsidRPr="00967063">
        <w:rPr>
          <w:rFonts w:ascii="Times New Roman" w:eastAsia="Times New Roman" w:hAnsi="Times New Roman" w:cs="Times New Roman"/>
          <w:iCs/>
          <w:sz w:val="24"/>
          <w:szCs w:val="24"/>
          <w:lang w:eastAsia="fr-CA"/>
        </w:rPr>
        <w:t xml:space="preserve"> d’abord déterminer la nature du problème. </w:t>
      </w:r>
    </w:p>
    <w:p w14:paraId="149253DC" w14:textId="77777777" w:rsidR="001905B0" w:rsidRPr="00967063" w:rsidRDefault="001905B0" w:rsidP="001905B0">
      <w:pPr>
        <w:pStyle w:val="Heading2"/>
        <w:numPr>
          <w:ilvl w:val="0"/>
          <w:numId w:val="16"/>
        </w:numPr>
        <w:rPr>
          <w:rFonts w:ascii="Times New Roman" w:hAnsi="Times New Roman" w:cs="Times New Roman"/>
          <w:b w:val="0"/>
          <w:color w:val="auto"/>
          <w:sz w:val="24"/>
          <w:szCs w:val="24"/>
        </w:rPr>
      </w:pPr>
      <w:bookmarkStart w:id="37" w:name="_Toc536771117"/>
      <w:bookmarkStart w:id="38" w:name="_Toc3637616"/>
      <w:bookmarkStart w:id="39" w:name="_Toc6239814"/>
      <w:r w:rsidRPr="00967063">
        <w:rPr>
          <w:rFonts w:ascii="Times New Roman" w:hAnsi="Times New Roman" w:cs="Times New Roman"/>
          <w:color w:val="auto"/>
          <w:sz w:val="24"/>
          <w:szCs w:val="24"/>
        </w:rPr>
        <w:t>La nature du problème que pose le processus actuel de reconstruction au Burundi</w:t>
      </w:r>
      <w:bookmarkEnd w:id="37"/>
      <w:bookmarkEnd w:id="38"/>
      <w:bookmarkEnd w:id="39"/>
    </w:p>
    <w:p w14:paraId="4CA7D7A4" w14:textId="77777777" w:rsidR="001905B0" w:rsidRPr="00967063" w:rsidRDefault="001905B0" w:rsidP="001905B0">
      <w:pPr>
        <w:rPr>
          <w:rFonts w:ascii="Times New Roman" w:hAnsi="Times New Roman" w:cs="Times New Roman"/>
          <w:sz w:val="24"/>
          <w:szCs w:val="24"/>
        </w:rPr>
      </w:pPr>
    </w:p>
    <w:p w14:paraId="5E089BAC" w14:textId="2F3E1192" w:rsidR="001905B0" w:rsidRPr="00967063" w:rsidRDefault="001905B0" w:rsidP="001905B0">
      <w:pPr>
        <w:spacing w:line="480" w:lineRule="auto"/>
        <w:ind w:firstLine="708"/>
        <w:jc w:val="both"/>
        <w:rPr>
          <w:rFonts w:ascii="Times New Roman" w:hAnsi="Times New Roman" w:cs="Times New Roman"/>
          <w:sz w:val="24"/>
          <w:szCs w:val="24"/>
        </w:rPr>
      </w:pPr>
      <w:bookmarkStart w:id="40" w:name="_Hlk5094058"/>
      <w:r w:rsidRPr="00967063">
        <w:rPr>
          <w:rFonts w:ascii="Times New Roman" w:eastAsia="Times New Roman" w:hAnsi="Times New Roman" w:cs="Times New Roman"/>
          <w:iCs/>
          <w:sz w:val="24"/>
          <w:szCs w:val="24"/>
          <w:lang w:val="fr" w:eastAsia="fr-CA"/>
        </w:rPr>
        <w:t>Selon notre analyse, le problème majeur réside dans le fait que la CVR continue à travailler sans tenir compte de la crise survenue depuis avril 2015. Nul n’ignore, sauf peut-être le régime en place, qu’il y a une crise</w:t>
      </w:r>
      <w:r w:rsidRPr="00967063">
        <w:rPr>
          <w:rFonts w:ascii="Times New Roman" w:hAnsi="Times New Roman" w:cs="Times New Roman"/>
          <w:sz w:val="24"/>
          <w:szCs w:val="24"/>
        </w:rPr>
        <w:t xml:space="preserve"> en cours au Burundi depuis avril 2015. À cause d’elle, une partie de la population a fui le pays</w:t>
      </w:r>
      <w:r w:rsidR="00413789">
        <w:rPr>
          <w:rFonts w:ascii="Times New Roman" w:hAnsi="Times New Roman" w:cs="Times New Roman"/>
          <w:sz w:val="24"/>
          <w:szCs w:val="24"/>
        </w:rPr>
        <w:t>; e</w:t>
      </w:r>
      <w:r w:rsidRPr="00967063">
        <w:rPr>
          <w:rFonts w:ascii="Times New Roman" w:hAnsi="Times New Roman" w:cs="Times New Roman"/>
          <w:sz w:val="24"/>
          <w:szCs w:val="24"/>
        </w:rPr>
        <w:t>lle vit dans les camps au Rwanda, en Tanzanie, en République démocratique du Congo, en Ouganda ou en exil dans les autres pays du monde</w:t>
      </w:r>
      <w:bookmarkEnd w:id="40"/>
      <w:r w:rsidRPr="00967063">
        <w:rPr>
          <w:rFonts w:ascii="Times New Roman" w:hAnsi="Times New Roman" w:cs="Times New Roman"/>
          <w:sz w:val="24"/>
          <w:szCs w:val="24"/>
        </w:rPr>
        <w:t xml:space="preserve">. </w:t>
      </w:r>
    </w:p>
    <w:p w14:paraId="0B49014F" w14:textId="3D3D9776" w:rsidR="001905B0" w:rsidRPr="00967063" w:rsidRDefault="001905B0" w:rsidP="001905B0">
      <w:pPr>
        <w:spacing w:line="480" w:lineRule="auto"/>
        <w:ind w:firstLine="708"/>
        <w:jc w:val="both"/>
        <w:rPr>
          <w:rFonts w:ascii="Times New Roman" w:hAnsi="Times New Roman" w:cs="Times New Roman"/>
          <w:sz w:val="24"/>
          <w:szCs w:val="24"/>
        </w:rPr>
      </w:pPr>
      <w:r w:rsidRPr="00967063">
        <w:rPr>
          <w:rFonts w:ascii="Times New Roman" w:hAnsi="Times New Roman" w:cs="Times New Roman"/>
          <w:sz w:val="24"/>
          <w:szCs w:val="24"/>
        </w:rPr>
        <w:t>Pour cette partie de la population, il est difficile d’accueillir une commission (CVR) mise en place par un régime qui l’a chassée et qui prétend</w:t>
      </w:r>
      <w:r w:rsidR="00584707">
        <w:rPr>
          <w:rFonts w:ascii="Times New Roman" w:hAnsi="Times New Roman" w:cs="Times New Roman"/>
          <w:sz w:val="24"/>
          <w:szCs w:val="24"/>
        </w:rPr>
        <w:t xml:space="preserve"> - </w:t>
      </w:r>
      <w:r w:rsidR="00BD450B">
        <w:rPr>
          <w:rFonts w:ascii="Times New Roman" w:hAnsi="Times New Roman" w:cs="Times New Roman"/>
          <w:sz w:val="24"/>
          <w:szCs w:val="24"/>
        </w:rPr>
        <w:t>grande abomination</w:t>
      </w:r>
      <w:r w:rsidR="00B34D81">
        <w:rPr>
          <w:rFonts w:ascii="Times New Roman" w:hAnsi="Times New Roman" w:cs="Times New Roman"/>
          <w:sz w:val="24"/>
          <w:szCs w:val="24"/>
        </w:rPr>
        <w:t xml:space="preserve"> - remédier</w:t>
      </w:r>
      <w:r w:rsidRPr="00967063">
        <w:rPr>
          <w:rFonts w:ascii="Times New Roman" w:hAnsi="Times New Roman" w:cs="Times New Roman"/>
          <w:sz w:val="24"/>
          <w:szCs w:val="24"/>
        </w:rPr>
        <w:t xml:space="preserve"> aux injustices et crimes irréparables. Elle pense que le travail de la CRV n’est pas légitime. Aussi est-il difficile</w:t>
      </w:r>
      <w:r w:rsidR="00BD450B">
        <w:rPr>
          <w:rFonts w:ascii="Times New Roman" w:hAnsi="Times New Roman" w:cs="Times New Roman"/>
          <w:sz w:val="24"/>
          <w:szCs w:val="24"/>
        </w:rPr>
        <w:t xml:space="preserve">, </w:t>
      </w:r>
      <w:r w:rsidRPr="00967063">
        <w:rPr>
          <w:rFonts w:ascii="Times New Roman" w:hAnsi="Times New Roman" w:cs="Times New Roman"/>
          <w:sz w:val="24"/>
          <w:szCs w:val="24"/>
        </w:rPr>
        <w:t xml:space="preserve">pour </w:t>
      </w:r>
      <w:r w:rsidR="00BD450B">
        <w:rPr>
          <w:rFonts w:ascii="Times New Roman" w:hAnsi="Times New Roman" w:cs="Times New Roman"/>
          <w:sz w:val="24"/>
          <w:szCs w:val="24"/>
        </w:rPr>
        <w:t xml:space="preserve">cette partie de la population, </w:t>
      </w:r>
      <w:r w:rsidRPr="00967063">
        <w:rPr>
          <w:rFonts w:ascii="Times New Roman" w:hAnsi="Times New Roman" w:cs="Times New Roman"/>
          <w:sz w:val="24"/>
          <w:szCs w:val="24"/>
        </w:rPr>
        <w:t xml:space="preserve">d’accepter les résultats quand </w:t>
      </w:r>
      <w:r w:rsidR="00BD450B">
        <w:rPr>
          <w:rFonts w:ascii="Times New Roman" w:hAnsi="Times New Roman" w:cs="Times New Roman"/>
          <w:sz w:val="24"/>
          <w:szCs w:val="24"/>
        </w:rPr>
        <w:t xml:space="preserve">cette même </w:t>
      </w:r>
      <w:r w:rsidRPr="00967063">
        <w:rPr>
          <w:rFonts w:ascii="Times New Roman" w:hAnsi="Times New Roman" w:cs="Times New Roman"/>
          <w:sz w:val="24"/>
          <w:szCs w:val="24"/>
        </w:rPr>
        <w:t>commission ne collabore pas avec le conseil consultatif international</w:t>
      </w:r>
      <w:r w:rsidR="00BD450B">
        <w:rPr>
          <w:rFonts w:ascii="Times New Roman" w:hAnsi="Times New Roman" w:cs="Times New Roman"/>
          <w:sz w:val="24"/>
          <w:szCs w:val="24"/>
        </w:rPr>
        <w:t>, organe pourtant</w:t>
      </w:r>
      <w:r w:rsidR="00BD450B" w:rsidRPr="00BD450B">
        <w:rPr>
          <w:rFonts w:ascii="Times New Roman" w:hAnsi="Times New Roman" w:cs="Times New Roman"/>
          <w:sz w:val="24"/>
          <w:szCs w:val="24"/>
        </w:rPr>
        <w:t xml:space="preserve"> </w:t>
      </w:r>
      <w:r w:rsidR="00BD450B" w:rsidRPr="00967063">
        <w:rPr>
          <w:rFonts w:ascii="Times New Roman" w:hAnsi="Times New Roman" w:cs="Times New Roman"/>
          <w:sz w:val="24"/>
          <w:szCs w:val="24"/>
        </w:rPr>
        <w:t>obligatoire</w:t>
      </w:r>
      <w:r w:rsidRPr="00967063">
        <w:rPr>
          <w:rFonts w:ascii="Times New Roman" w:hAnsi="Times New Roman" w:cs="Times New Roman"/>
          <w:sz w:val="24"/>
          <w:szCs w:val="24"/>
        </w:rPr>
        <w:t xml:space="preserve">. Ce </w:t>
      </w:r>
      <w:r w:rsidR="00D82661" w:rsidRPr="00967063">
        <w:rPr>
          <w:rFonts w:ascii="Times New Roman" w:hAnsi="Times New Roman" w:cs="Times New Roman"/>
          <w:sz w:val="24"/>
          <w:szCs w:val="24"/>
        </w:rPr>
        <w:t>dernier aurait</w:t>
      </w:r>
      <w:r w:rsidRPr="00967063">
        <w:rPr>
          <w:rFonts w:ascii="Times New Roman" w:hAnsi="Times New Roman" w:cs="Times New Roman"/>
          <w:sz w:val="24"/>
          <w:szCs w:val="24"/>
        </w:rPr>
        <w:t xml:space="preserve"> pu, </w:t>
      </w:r>
      <w:r w:rsidR="00D82661" w:rsidRPr="00967063">
        <w:rPr>
          <w:rFonts w:ascii="Times New Roman" w:hAnsi="Times New Roman" w:cs="Times New Roman"/>
          <w:sz w:val="24"/>
          <w:szCs w:val="24"/>
        </w:rPr>
        <w:t>pense-t-</w:t>
      </w:r>
      <w:r w:rsidR="00473E57">
        <w:rPr>
          <w:rFonts w:ascii="Times New Roman" w:hAnsi="Times New Roman" w:cs="Times New Roman"/>
          <w:sz w:val="24"/>
          <w:szCs w:val="24"/>
        </w:rPr>
        <w:t>elle</w:t>
      </w:r>
      <w:r w:rsidR="00D82661" w:rsidRPr="00967063">
        <w:rPr>
          <w:rFonts w:ascii="Times New Roman" w:hAnsi="Times New Roman" w:cs="Times New Roman"/>
          <w:sz w:val="24"/>
          <w:szCs w:val="24"/>
        </w:rPr>
        <w:t xml:space="preserve">, </w:t>
      </w:r>
      <w:r w:rsidR="00473E57" w:rsidRPr="00967063">
        <w:rPr>
          <w:rFonts w:ascii="Times New Roman" w:hAnsi="Times New Roman" w:cs="Times New Roman"/>
          <w:sz w:val="24"/>
          <w:szCs w:val="24"/>
        </w:rPr>
        <w:t xml:space="preserve">au moins, </w:t>
      </w:r>
      <w:r w:rsidRPr="00967063">
        <w:rPr>
          <w:rFonts w:ascii="Times New Roman" w:hAnsi="Times New Roman" w:cs="Times New Roman"/>
          <w:sz w:val="24"/>
          <w:szCs w:val="24"/>
        </w:rPr>
        <w:t>garantir les bonnes pratiques</w:t>
      </w:r>
      <w:r w:rsidR="00473E57">
        <w:rPr>
          <w:rFonts w:ascii="Times New Roman" w:hAnsi="Times New Roman" w:cs="Times New Roman"/>
          <w:sz w:val="24"/>
          <w:szCs w:val="24"/>
        </w:rPr>
        <w:t xml:space="preserve"> : </w:t>
      </w:r>
      <w:r w:rsidRPr="00967063">
        <w:rPr>
          <w:rFonts w:ascii="Times New Roman" w:hAnsi="Times New Roman" w:cs="Times New Roman"/>
          <w:sz w:val="24"/>
          <w:szCs w:val="24"/>
        </w:rPr>
        <w:t>empêcher</w:t>
      </w:r>
      <w:r w:rsidR="00473E57">
        <w:rPr>
          <w:rFonts w:ascii="Times New Roman" w:hAnsi="Times New Roman" w:cs="Times New Roman"/>
          <w:sz w:val="24"/>
          <w:szCs w:val="24"/>
        </w:rPr>
        <w:t>,</w:t>
      </w:r>
      <w:r w:rsidRPr="00967063">
        <w:rPr>
          <w:rFonts w:ascii="Times New Roman" w:hAnsi="Times New Roman" w:cs="Times New Roman"/>
          <w:sz w:val="24"/>
          <w:szCs w:val="24"/>
        </w:rPr>
        <w:t xml:space="preserve"> </w:t>
      </w:r>
      <w:r w:rsidR="00473E57">
        <w:rPr>
          <w:rFonts w:ascii="Times New Roman" w:hAnsi="Times New Roman" w:cs="Times New Roman"/>
          <w:sz w:val="24"/>
          <w:szCs w:val="24"/>
        </w:rPr>
        <w:t xml:space="preserve">par exemple, </w:t>
      </w:r>
      <w:r w:rsidRPr="00967063">
        <w:rPr>
          <w:rFonts w:ascii="Times New Roman" w:hAnsi="Times New Roman" w:cs="Times New Roman"/>
          <w:sz w:val="24"/>
          <w:szCs w:val="24"/>
        </w:rPr>
        <w:t xml:space="preserve">que les obstacles à la reconstruction ne viennent occuper le terrain. </w:t>
      </w:r>
    </w:p>
    <w:p w14:paraId="0AC3F5CA" w14:textId="592532BA" w:rsidR="001905B0" w:rsidRPr="00967063" w:rsidRDefault="001905B0" w:rsidP="001905B0">
      <w:pPr>
        <w:spacing w:line="480" w:lineRule="auto"/>
        <w:ind w:firstLine="708"/>
        <w:jc w:val="both"/>
        <w:rPr>
          <w:rFonts w:ascii="Times New Roman" w:hAnsi="Times New Roman" w:cs="Times New Roman"/>
          <w:sz w:val="24"/>
          <w:szCs w:val="24"/>
        </w:rPr>
      </w:pPr>
      <w:r w:rsidRPr="00967063">
        <w:rPr>
          <w:rFonts w:ascii="Times New Roman" w:hAnsi="Times New Roman" w:cs="Times New Roman"/>
          <w:sz w:val="24"/>
          <w:szCs w:val="24"/>
        </w:rPr>
        <w:t xml:space="preserve">Par conséquent, cette partie de la population ne voit </w:t>
      </w:r>
      <w:r w:rsidR="00B20EB8">
        <w:rPr>
          <w:rFonts w:ascii="Times New Roman" w:hAnsi="Times New Roman" w:cs="Times New Roman"/>
          <w:sz w:val="24"/>
          <w:szCs w:val="24"/>
        </w:rPr>
        <w:t xml:space="preserve">d’autre </w:t>
      </w:r>
      <w:r w:rsidRPr="00967063">
        <w:rPr>
          <w:rFonts w:ascii="Times New Roman" w:hAnsi="Times New Roman" w:cs="Times New Roman"/>
          <w:sz w:val="24"/>
          <w:szCs w:val="24"/>
        </w:rPr>
        <w:t>lueur d’espoir</w:t>
      </w:r>
      <w:r w:rsidR="00473E57">
        <w:rPr>
          <w:rFonts w:ascii="Times New Roman" w:hAnsi="Times New Roman" w:cs="Times New Roman"/>
          <w:sz w:val="24"/>
          <w:szCs w:val="24"/>
        </w:rPr>
        <w:t> </w:t>
      </w:r>
      <w:r w:rsidR="00B20EB8">
        <w:rPr>
          <w:rFonts w:ascii="Times New Roman" w:hAnsi="Times New Roman" w:cs="Times New Roman"/>
          <w:sz w:val="24"/>
          <w:szCs w:val="24"/>
        </w:rPr>
        <w:t>que</w:t>
      </w:r>
      <w:r w:rsidR="00473E57">
        <w:rPr>
          <w:rFonts w:ascii="Times New Roman" w:hAnsi="Times New Roman" w:cs="Times New Roman"/>
          <w:sz w:val="24"/>
          <w:szCs w:val="24"/>
        </w:rPr>
        <w:t xml:space="preserve"> </w:t>
      </w:r>
      <w:r w:rsidRPr="00967063">
        <w:rPr>
          <w:rFonts w:ascii="Times New Roman" w:hAnsi="Times New Roman" w:cs="Times New Roman"/>
          <w:sz w:val="24"/>
          <w:szCs w:val="24"/>
        </w:rPr>
        <w:t>la collaboration internationale. Dans la perspective reconstructive, cela signifie qu’il y a des Burundais qui exigent</w:t>
      </w:r>
      <w:r w:rsidR="00B20EB8">
        <w:rPr>
          <w:rFonts w:ascii="Times New Roman" w:hAnsi="Times New Roman" w:cs="Times New Roman"/>
          <w:sz w:val="24"/>
          <w:szCs w:val="24"/>
        </w:rPr>
        <w:t xml:space="preserve">, encore aujourd’hui, </w:t>
      </w:r>
      <w:r w:rsidRPr="00967063">
        <w:rPr>
          <w:rFonts w:ascii="Times New Roman" w:hAnsi="Times New Roman" w:cs="Times New Roman"/>
          <w:sz w:val="24"/>
          <w:szCs w:val="24"/>
        </w:rPr>
        <w:t xml:space="preserve">que le processus </w:t>
      </w:r>
      <w:r w:rsidR="00B20EB8">
        <w:rPr>
          <w:rFonts w:ascii="Times New Roman" w:hAnsi="Times New Roman" w:cs="Times New Roman"/>
          <w:sz w:val="24"/>
          <w:szCs w:val="24"/>
        </w:rPr>
        <w:t xml:space="preserve">actuel </w:t>
      </w:r>
      <w:r w:rsidRPr="00967063">
        <w:rPr>
          <w:rFonts w:ascii="Times New Roman" w:hAnsi="Times New Roman" w:cs="Times New Roman"/>
          <w:sz w:val="24"/>
          <w:szCs w:val="24"/>
        </w:rPr>
        <w:t xml:space="preserve">parte de la structure </w:t>
      </w:r>
      <w:r w:rsidR="00473E57">
        <w:rPr>
          <w:rFonts w:ascii="Times New Roman" w:hAnsi="Times New Roman" w:cs="Times New Roman"/>
          <w:sz w:val="24"/>
          <w:szCs w:val="24"/>
        </w:rPr>
        <w:t>(</w:t>
      </w:r>
      <w:r w:rsidRPr="00967063">
        <w:rPr>
          <w:rFonts w:ascii="Times New Roman" w:hAnsi="Times New Roman" w:cs="Times New Roman"/>
          <w:sz w:val="24"/>
          <w:szCs w:val="24"/>
        </w:rPr>
        <w:t>ou « système objectif de contrainte et de normes »</w:t>
      </w:r>
      <w:r w:rsidR="00473E57">
        <w:rPr>
          <w:rFonts w:ascii="Times New Roman" w:hAnsi="Times New Roman" w:cs="Times New Roman"/>
          <w:sz w:val="24"/>
          <w:szCs w:val="24"/>
        </w:rPr>
        <w:t xml:space="preserve">) </w:t>
      </w:r>
      <w:r w:rsidRPr="00967063">
        <w:rPr>
          <w:rStyle w:val="FootnoteReference"/>
          <w:rFonts w:ascii="Times New Roman" w:hAnsi="Times New Roman" w:cs="Times New Roman"/>
          <w:sz w:val="24"/>
          <w:szCs w:val="24"/>
        </w:rPr>
        <w:footnoteReference w:id="97"/>
      </w:r>
      <w:r w:rsidRPr="00967063">
        <w:rPr>
          <w:rFonts w:ascii="Times New Roman" w:hAnsi="Times New Roman" w:cs="Times New Roman"/>
          <w:sz w:val="24"/>
          <w:szCs w:val="24"/>
        </w:rPr>
        <w:t xml:space="preserve">. Sinon il y a </w:t>
      </w:r>
      <w:r w:rsidR="00473E57">
        <w:rPr>
          <w:rFonts w:ascii="Times New Roman" w:hAnsi="Times New Roman" w:cs="Times New Roman"/>
          <w:sz w:val="24"/>
          <w:szCs w:val="24"/>
        </w:rPr>
        <w:t xml:space="preserve">lieu de craindre </w:t>
      </w:r>
      <w:r w:rsidRPr="00967063">
        <w:rPr>
          <w:rFonts w:ascii="Times New Roman" w:hAnsi="Times New Roman" w:cs="Times New Roman"/>
          <w:sz w:val="24"/>
          <w:szCs w:val="24"/>
        </w:rPr>
        <w:t>qu</w:t>
      </w:r>
      <w:r w:rsidR="00B20EB8">
        <w:rPr>
          <w:rFonts w:ascii="Times New Roman" w:hAnsi="Times New Roman" w:cs="Times New Roman"/>
          <w:sz w:val="24"/>
          <w:szCs w:val="24"/>
        </w:rPr>
        <w:t xml:space="preserve">’il </w:t>
      </w:r>
      <w:r w:rsidR="00473E57">
        <w:rPr>
          <w:rFonts w:ascii="Times New Roman" w:hAnsi="Times New Roman" w:cs="Times New Roman"/>
          <w:sz w:val="24"/>
          <w:szCs w:val="24"/>
        </w:rPr>
        <w:t xml:space="preserve">ne </w:t>
      </w:r>
      <w:r w:rsidRPr="00967063">
        <w:rPr>
          <w:rFonts w:ascii="Times New Roman" w:hAnsi="Times New Roman" w:cs="Times New Roman"/>
          <w:sz w:val="24"/>
          <w:szCs w:val="24"/>
        </w:rPr>
        <w:t xml:space="preserve">subisse </w:t>
      </w:r>
      <w:r w:rsidR="00473E57">
        <w:rPr>
          <w:rFonts w:ascii="Times New Roman" w:hAnsi="Times New Roman" w:cs="Times New Roman"/>
          <w:sz w:val="24"/>
          <w:szCs w:val="24"/>
        </w:rPr>
        <w:t xml:space="preserve">déjà </w:t>
      </w:r>
      <w:r w:rsidRPr="00967063">
        <w:rPr>
          <w:rFonts w:ascii="Times New Roman" w:hAnsi="Times New Roman" w:cs="Times New Roman"/>
          <w:sz w:val="24"/>
          <w:szCs w:val="24"/>
        </w:rPr>
        <w:t xml:space="preserve">une violence structurelle. </w:t>
      </w:r>
      <w:r w:rsidR="00473E57">
        <w:rPr>
          <w:rFonts w:ascii="Times New Roman" w:hAnsi="Times New Roman" w:cs="Times New Roman"/>
          <w:sz w:val="24"/>
          <w:szCs w:val="24"/>
        </w:rPr>
        <w:t xml:space="preserve">Le seul moyen de </w:t>
      </w:r>
      <w:r w:rsidR="00B20EB8">
        <w:rPr>
          <w:rFonts w:ascii="Times New Roman" w:hAnsi="Times New Roman" w:cs="Times New Roman"/>
          <w:sz w:val="24"/>
          <w:szCs w:val="24"/>
        </w:rPr>
        <w:t xml:space="preserve">s’assurer contrer </w:t>
      </w:r>
      <w:r w:rsidR="00145045">
        <w:rPr>
          <w:rFonts w:ascii="Times New Roman" w:hAnsi="Times New Roman" w:cs="Times New Roman"/>
          <w:sz w:val="24"/>
          <w:szCs w:val="24"/>
        </w:rPr>
        <w:t>c</w:t>
      </w:r>
      <w:r w:rsidR="00B20EB8">
        <w:rPr>
          <w:rFonts w:ascii="Times New Roman" w:hAnsi="Times New Roman" w:cs="Times New Roman"/>
          <w:sz w:val="24"/>
          <w:szCs w:val="24"/>
        </w:rPr>
        <w:t>elle</w:t>
      </w:r>
      <w:r w:rsidR="00145045">
        <w:rPr>
          <w:rFonts w:ascii="Times New Roman" w:hAnsi="Times New Roman" w:cs="Times New Roman"/>
          <w:sz w:val="24"/>
          <w:szCs w:val="24"/>
        </w:rPr>
        <w:t>-ci est de collaborer</w:t>
      </w:r>
      <w:r w:rsidR="00B20EB8">
        <w:rPr>
          <w:rFonts w:ascii="Times New Roman" w:hAnsi="Times New Roman" w:cs="Times New Roman"/>
          <w:sz w:val="24"/>
          <w:szCs w:val="24"/>
        </w:rPr>
        <w:t xml:space="preserve"> avec</w:t>
      </w:r>
      <w:r w:rsidR="00473E57">
        <w:rPr>
          <w:rFonts w:ascii="Times New Roman" w:hAnsi="Times New Roman" w:cs="Times New Roman"/>
          <w:sz w:val="24"/>
          <w:szCs w:val="24"/>
        </w:rPr>
        <w:t xml:space="preserve"> </w:t>
      </w:r>
      <w:r w:rsidRPr="00967063">
        <w:rPr>
          <w:rFonts w:ascii="Times New Roman" w:hAnsi="Times New Roman" w:cs="Times New Roman"/>
          <w:sz w:val="24"/>
          <w:szCs w:val="24"/>
        </w:rPr>
        <w:t>les conseils et juridictions internationa</w:t>
      </w:r>
      <w:r w:rsidR="00473E57">
        <w:rPr>
          <w:rFonts w:ascii="Times New Roman" w:hAnsi="Times New Roman" w:cs="Times New Roman"/>
          <w:sz w:val="24"/>
          <w:szCs w:val="24"/>
        </w:rPr>
        <w:t xml:space="preserve">ux. </w:t>
      </w:r>
      <w:r w:rsidR="00145045">
        <w:rPr>
          <w:rFonts w:ascii="Times New Roman" w:hAnsi="Times New Roman" w:cs="Times New Roman"/>
          <w:sz w:val="24"/>
          <w:szCs w:val="24"/>
        </w:rPr>
        <w:t xml:space="preserve">Non seulement cela </w:t>
      </w:r>
      <w:r w:rsidR="00473E57">
        <w:rPr>
          <w:rFonts w:ascii="Times New Roman" w:hAnsi="Times New Roman" w:cs="Times New Roman"/>
          <w:sz w:val="24"/>
          <w:szCs w:val="24"/>
        </w:rPr>
        <w:t>rend</w:t>
      </w:r>
      <w:r w:rsidR="00B20EB8">
        <w:rPr>
          <w:rFonts w:ascii="Times New Roman" w:hAnsi="Times New Roman" w:cs="Times New Roman"/>
          <w:sz w:val="24"/>
          <w:szCs w:val="24"/>
        </w:rPr>
        <w:t>rait</w:t>
      </w:r>
      <w:r w:rsidR="00473E57">
        <w:rPr>
          <w:rFonts w:ascii="Times New Roman" w:hAnsi="Times New Roman" w:cs="Times New Roman"/>
          <w:sz w:val="24"/>
          <w:szCs w:val="24"/>
        </w:rPr>
        <w:t xml:space="preserve"> possible que</w:t>
      </w:r>
      <w:r w:rsidR="0055034F">
        <w:rPr>
          <w:rFonts w:ascii="Times New Roman" w:hAnsi="Times New Roman" w:cs="Times New Roman"/>
          <w:sz w:val="24"/>
          <w:szCs w:val="24"/>
        </w:rPr>
        <w:t xml:space="preserve"> </w:t>
      </w:r>
      <w:r w:rsidR="00B20EB8">
        <w:rPr>
          <w:rFonts w:ascii="Times New Roman" w:hAnsi="Times New Roman" w:cs="Times New Roman"/>
          <w:sz w:val="24"/>
          <w:szCs w:val="24"/>
        </w:rPr>
        <w:t>soit</w:t>
      </w:r>
      <w:r w:rsidR="00473E57">
        <w:rPr>
          <w:rFonts w:ascii="Times New Roman" w:hAnsi="Times New Roman" w:cs="Times New Roman"/>
          <w:sz w:val="24"/>
          <w:szCs w:val="24"/>
        </w:rPr>
        <w:t xml:space="preserve"> exposé</w:t>
      </w:r>
      <w:r w:rsidR="0055034F">
        <w:rPr>
          <w:rFonts w:ascii="Times New Roman" w:hAnsi="Times New Roman" w:cs="Times New Roman"/>
          <w:sz w:val="24"/>
          <w:szCs w:val="24"/>
        </w:rPr>
        <w:t xml:space="preserve"> publiquement </w:t>
      </w:r>
      <w:r w:rsidRPr="00967063">
        <w:rPr>
          <w:rFonts w:ascii="Times New Roman" w:hAnsi="Times New Roman" w:cs="Times New Roman"/>
          <w:sz w:val="24"/>
          <w:szCs w:val="24"/>
        </w:rPr>
        <w:t>tout élément de contrainte dans l’environnement institutionnel</w:t>
      </w:r>
      <w:r w:rsidR="0055034F">
        <w:rPr>
          <w:rFonts w:ascii="Times New Roman" w:hAnsi="Times New Roman" w:cs="Times New Roman"/>
          <w:sz w:val="24"/>
          <w:szCs w:val="24"/>
        </w:rPr>
        <w:t xml:space="preserve">, mais </w:t>
      </w:r>
      <w:r w:rsidR="00145045">
        <w:rPr>
          <w:rFonts w:ascii="Times New Roman" w:hAnsi="Times New Roman" w:cs="Times New Roman"/>
          <w:sz w:val="24"/>
          <w:szCs w:val="24"/>
        </w:rPr>
        <w:t>aussi</w:t>
      </w:r>
      <w:r w:rsidR="0069444D">
        <w:rPr>
          <w:rFonts w:ascii="Times New Roman" w:hAnsi="Times New Roman" w:cs="Times New Roman"/>
          <w:sz w:val="24"/>
          <w:szCs w:val="24"/>
        </w:rPr>
        <w:t xml:space="preserve"> </w:t>
      </w:r>
      <w:r w:rsidR="0055034F">
        <w:rPr>
          <w:rFonts w:ascii="Times New Roman" w:hAnsi="Times New Roman" w:cs="Times New Roman"/>
          <w:sz w:val="24"/>
          <w:szCs w:val="24"/>
        </w:rPr>
        <w:t>que ce dernier</w:t>
      </w:r>
      <w:r w:rsidR="00145045">
        <w:rPr>
          <w:rFonts w:ascii="Times New Roman" w:hAnsi="Times New Roman" w:cs="Times New Roman"/>
          <w:sz w:val="24"/>
          <w:szCs w:val="24"/>
        </w:rPr>
        <w:t xml:space="preserve">, une fois identifié, </w:t>
      </w:r>
      <w:r w:rsidR="0055034F">
        <w:rPr>
          <w:rFonts w:ascii="Times New Roman" w:hAnsi="Times New Roman" w:cs="Times New Roman"/>
          <w:sz w:val="24"/>
          <w:szCs w:val="24"/>
        </w:rPr>
        <w:t xml:space="preserve">soit </w:t>
      </w:r>
      <w:r w:rsidRPr="00967063">
        <w:rPr>
          <w:rFonts w:ascii="Times New Roman" w:hAnsi="Times New Roman" w:cs="Times New Roman"/>
          <w:sz w:val="24"/>
          <w:szCs w:val="24"/>
        </w:rPr>
        <w:t xml:space="preserve">vite thématisé en vue d’un éventuel consensus. </w:t>
      </w:r>
    </w:p>
    <w:p w14:paraId="7CEB3263" w14:textId="1EFC3CC1" w:rsidR="001905B0" w:rsidRPr="00967063" w:rsidRDefault="001905B0" w:rsidP="007A43E2">
      <w:pPr>
        <w:spacing w:line="480" w:lineRule="auto"/>
        <w:ind w:firstLine="708"/>
        <w:jc w:val="both"/>
        <w:rPr>
          <w:rFonts w:ascii="Times New Roman" w:hAnsi="Times New Roman" w:cs="Times New Roman"/>
          <w:sz w:val="24"/>
          <w:szCs w:val="24"/>
        </w:rPr>
      </w:pPr>
      <w:r w:rsidRPr="00967063">
        <w:rPr>
          <w:rFonts w:ascii="Times New Roman" w:hAnsi="Times New Roman" w:cs="Times New Roman"/>
          <w:sz w:val="24"/>
          <w:szCs w:val="24"/>
        </w:rPr>
        <w:t xml:space="preserve">A l’opposé, le régime du CNDD-FDD considère que </w:t>
      </w:r>
      <w:r w:rsidR="00413789">
        <w:rPr>
          <w:rFonts w:ascii="Times New Roman" w:hAnsi="Times New Roman" w:cs="Times New Roman"/>
          <w:sz w:val="24"/>
          <w:szCs w:val="24"/>
        </w:rPr>
        <w:t xml:space="preserve">la </w:t>
      </w:r>
      <w:r w:rsidRPr="00967063">
        <w:rPr>
          <w:rFonts w:ascii="Times New Roman" w:hAnsi="Times New Roman" w:cs="Times New Roman"/>
          <w:sz w:val="24"/>
          <w:szCs w:val="24"/>
        </w:rPr>
        <w:t>CVR doit poursuivre son travail quelle que soit la situation actuelle. Si bien que le problème auquel fait face le processus burundais p</w:t>
      </w:r>
      <w:r w:rsidR="007A43E2">
        <w:rPr>
          <w:rFonts w:ascii="Times New Roman" w:hAnsi="Times New Roman" w:cs="Times New Roman"/>
          <w:sz w:val="24"/>
          <w:szCs w:val="24"/>
        </w:rPr>
        <w:t>ourrait</w:t>
      </w:r>
      <w:r w:rsidRPr="00967063">
        <w:rPr>
          <w:rFonts w:ascii="Times New Roman" w:hAnsi="Times New Roman" w:cs="Times New Roman"/>
          <w:sz w:val="24"/>
          <w:szCs w:val="24"/>
        </w:rPr>
        <w:t xml:space="preserve">, selon nous, être schématisé comme suit : </w:t>
      </w:r>
    </w:p>
    <w:tbl>
      <w:tblPr>
        <w:tblW w:w="8640" w:type="dxa"/>
        <w:tblInd w:w="144" w:type="dxa"/>
        <w:tblCellMar>
          <w:left w:w="0" w:type="dxa"/>
          <w:right w:w="0" w:type="dxa"/>
        </w:tblCellMar>
        <w:tblLook w:val="0420" w:firstRow="1" w:lastRow="0" w:firstColumn="0" w:lastColumn="0" w:noHBand="0" w:noVBand="1"/>
      </w:tblPr>
      <w:tblGrid>
        <w:gridCol w:w="2520"/>
        <w:gridCol w:w="2970"/>
        <w:gridCol w:w="3150"/>
      </w:tblGrid>
      <w:tr w:rsidR="001905B0" w:rsidRPr="00967063" w14:paraId="4CFB9431" w14:textId="77777777" w:rsidTr="00C96C40">
        <w:trPr>
          <w:trHeight w:val="957"/>
        </w:trPr>
        <w:tc>
          <w:tcPr>
            <w:tcW w:w="2520" w:type="dxa"/>
            <w:tcBorders>
              <w:top w:val="single" w:sz="8" w:space="0" w:color="FFFFFF"/>
              <w:left w:val="single" w:sz="8" w:space="0" w:color="FFFFFF"/>
              <w:bottom w:val="single" w:sz="24" w:space="0" w:color="FFFFFF"/>
              <w:right w:val="single" w:sz="8" w:space="0" w:color="FFFFFF"/>
            </w:tcBorders>
            <w:shd w:val="clear" w:color="auto" w:fill="D9D9D9" w:themeFill="background1" w:themeFillShade="D9"/>
            <w:tcMar>
              <w:top w:w="72" w:type="dxa"/>
              <w:left w:w="144" w:type="dxa"/>
              <w:bottom w:w="72" w:type="dxa"/>
              <w:right w:w="144" w:type="dxa"/>
            </w:tcMar>
            <w:hideMark/>
          </w:tcPr>
          <w:p w14:paraId="65F8FC6B" w14:textId="77777777" w:rsidR="001905B0" w:rsidRPr="00967063" w:rsidRDefault="001905B0" w:rsidP="00C96C40">
            <w:pPr>
              <w:spacing w:before="100" w:beforeAutospacing="1" w:after="100" w:afterAutospacing="1" w:line="360" w:lineRule="auto"/>
              <w:ind w:firstLine="360"/>
              <w:rPr>
                <w:rFonts w:ascii="Times New Roman" w:hAnsi="Times New Roman" w:cs="Times New Roman"/>
                <w:sz w:val="24"/>
                <w:szCs w:val="24"/>
              </w:rPr>
            </w:pPr>
          </w:p>
        </w:tc>
        <w:tc>
          <w:tcPr>
            <w:tcW w:w="2970" w:type="dxa"/>
            <w:tcBorders>
              <w:top w:val="single" w:sz="8" w:space="0" w:color="FFFFFF"/>
              <w:left w:val="single" w:sz="8" w:space="0" w:color="FFFFFF"/>
              <w:bottom w:val="single" w:sz="24" w:space="0" w:color="FFFFFF"/>
              <w:right w:val="single" w:sz="8" w:space="0" w:color="FFFFFF"/>
            </w:tcBorders>
            <w:shd w:val="clear" w:color="auto" w:fill="D9D9D9" w:themeFill="background1" w:themeFillShade="D9"/>
            <w:tcMar>
              <w:top w:w="72" w:type="dxa"/>
              <w:left w:w="144" w:type="dxa"/>
              <w:bottom w:w="72" w:type="dxa"/>
              <w:right w:w="144" w:type="dxa"/>
            </w:tcMar>
            <w:hideMark/>
          </w:tcPr>
          <w:p w14:paraId="1BF889D6" w14:textId="77777777" w:rsidR="001905B0" w:rsidRPr="00967063" w:rsidRDefault="001905B0" w:rsidP="00C96C40">
            <w:pPr>
              <w:spacing w:before="100" w:beforeAutospacing="1" w:after="100" w:afterAutospacing="1" w:line="360" w:lineRule="auto"/>
              <w:jc w:val="both"/>
              <w:rPr>
                <w:rFonts w:ascii="Times New Roman" w:hAnsi="Times New Roman" w:cs="Times New Roman"/>
                <w:sz w:val="24"/>
                <w:szCs w:val="24"/>
              </w:rPr>
            </w:pPr>
            <w:r w:rsidRPr="00967063">
              <w:rPr>
                <w:rFonts w:ascii="Times New Roman" w:hAnsi="Times New Roman" w:cs="Times New Roman"/>
                <w:b/>
                <w:bCs/>
                <w:sz w:val="24"/>
                <w:szCs w:val="24"/>
              </w:rPr>
              <w:t>Tenir compte de la crise</w:t>
            </w:r>
          </w:p>
        </w:tc>
        <w:tc>
          <w:tcPr>
            <w:tcW w:w="3150" w:type="dxa"/>
            <w:tcBorders>
              <w:top w:val="single" w:sz="8" w:space="0" w:color="FFFFFF"/>
              <w:left w:val="single" w:sz="8" w:space="0" w:color="FFFFFF"/>
              <w:bottom w:val="single" w:sz="24" w:space="0" w:color="FFFFFF"/>
              <w:right w:val="single" w:sz="8" w:space="0" w:color="FFFFFF"/>
            </w:tcBorders>
            <w:shd w:val="clear" w:color="auto" w:fill="D9D9D9" w:themeFill="background1" w:themeFillShade="D9"/>
            <w:tcMar>
              <w:top w:w="72" w:type="dxa"/>
              <w:left w:w="144" w:type="dxa"/>
              <w:bottom w:w="72" w:type="dxa"/>
              <w:right w:w="144" w:type="dxa"/>
            </w:tcMar>
            <w:hideMark/>
          </w:tcPr>
          <w:p w14:paraId="28CC9EFA" w14:textId="77777777" w:rsidR="001905B0" w:rsidRPr="00967063" w:rsidRDefault="001905B0" w:rsidP="00C96C40">
            <w:pPr>
              <w:spacing w:before="100" w:beforeAutospacing="1" w:after="100" w:afterAutospacing="1" w:line="360" w:lineRule="auto"/>
              <w:jc w:val="both"/>
              <w:rPr>
                <w:rFonts w:ascii="Times New Roman" w:hAnsi="Times New Roman" w:cs="Times New Roman"/>
                <w:sz w:val="24"/>
                <w:szCs w:val="24"/>
              </w:rPr>
            </w:pPr>
            <w:r w:rsidRPr="00967063">
              <w:rPr>
                <w:rFonts w:ascii="Times New Roman" w:hAnsi="Times New Roman" w:cs="Times New Roman"/>
                <w:b/>
                <w:bCs/>
                <w:sz w:val="24"/>
                <w:szCs w:val="24"/>
              </w:rPr>
              <w:t>Ne pas tenir compte de la crise</w:t>
            </w:r>
          </w:p>
        </w:tc>
      </w:tr>
      <w:tr w:rsidR="001905B0" w:rsidRPr="00967063" w14:paraId="58EF6FEE" w14:textId="77777777" w:rsidTr="00C96C40">
        <w:trPr>
          <w:trHeight w:val="661"/>
        </w:trPr>
        <w:tc>
          <w:tcPr>
            <w:tcW w:w="2520" w:type="dxa"/>
            <w:tcBorders>
              <w:top w:val="single" w:sz="24" w:space="0" w:color="FFFFFF"/>
              <w:left w:val="single" w:sz="8" w:space="0" w:color="FFFFFF"/>
              <w:bottom w:val="single" w:sz="8" w:space="0" w:color="FFFFFF"/>
              <w:right w:val="single" w:sz="8" w:space="0" w:color="FFFFFF"/>
            </w:tcBorders>
            <w:shd w:val="clear" w:color="auto" w:fill="D9D9D9" w:themeFill="background1" w:themeFillShade="D9"/>
            <w:tcMar>
              <w:top w:w="72" w:type="dxa"/>
              <w:left w:w="144" w:type="dxa"/>
              <w:bottom w:w="72" w:type="dxa"/>
              <w:right w:w="144" w:type="dxa"/>
            </w:tcMar>
            <w:hideMark/>
          </w:tcPr>
          <w:p w14:paraId="6A70FE8E" w14:textId="77777777" w:rsidR="001905B0" w:rsidRPr="00967063" w:rsidRDefault="001905B0" w:rsidP="00C96C40">
            <w:pPr>
              <w:spacing w:before="100" w:beforeAutospacing="1" w:after="100" w:afterAutospacing="1" w:line="360" w:lineRule="auto"/>
              <w:rPr>
                <w:rFonts w:ascii="Times New Roman" w:hAnsi="Times New Roman" w:cs="Times New Roman"/>
                <w:sz w:val="24"/>
                <w:szCs w:val="24"/>
                <w:lang w:val="en-US"/>
              </w:rPr>
            </w:pPr>
            <w:r w:rsidRPr="00967063">
              <w:rPr>
                <w:rFonts w:ascii="Times New Roman" w:hAnsi="Times New Roman" w:cs="Times New Roman"/>
                <w:b/>
                <w:bCs/>
                <w:sz w:val="24"/>
                <w:szCs w:val="24"/>
              </w:rPr>
              <w:t xml:space="preserve">Commencer le processus </w:t>
            </w:r>
          </w:p>
        </w:tc>
        <w:tc>
          <w:tcPr>
            <w:tcW w:w="2970" w:type="dxa"/>
            <w:tcBorders>
              <w:top w:val="single" w:sz="24" w:space="0" w:color="FFFFFF"/>
              <w:left w:val="single" w:sz="8" w:space="0" w:color="FFFFFF"/>
              <w:bottom w:val="single" w:sz="8" w:space="0" w:color="FFFFFF"/>
              <w:right w:val="single" w:sz="8" w:space="0" w:color="FFFFFF"/>
            </w:tcBorders>
            <w:shd w:val="clear" w:color="auto" w:fill="D9D9D9" w:themeFill="background1" w:themeFillShade="D9"/>
            <w:tcMar>
              <w:top w:w="72" w:type="dxa"/>
              <w:left w:w="144" w:type="dxa"/>
              <w:bottom w:w="72" w:type="dxa"/>
              <w:right w:w="144" w:type="dxa"/>
            </w:tcMar>
            <w:hideMark/>
          </w:tcPr>
          <w:p w14:paraId="0BE276DD" w14:textId="77777777" w:rsidR="001905B0" w:rsidRPr="00967063" w:rsidRDefault="001905B0" w:rsidP="00C96C40">
            <w:pPr>
              <w:spacing w:before="100" w:beforeAutospacing="1" w:after="100" w:afterAutospacing="1" w:line="360" w:lineRule="auto"/>
              <w:rPr>
                <w:rFonts w:ascii="Times New Roman" w:hAnsi="Times New Roman" w:cs="Times New Roman"/>
                <w:sz w:val="24"/>
                <w:szCs w:val="24"/>
                <w:lang w:val="en-US"/>
              </w:rPr>
            </w:pPr>
            <w:r w:rsidRPr="00967063">
              <w:rPr>
                <w:rFonts w:ascii="Times New Roman" w:hAnsi="Times New Roman" w:cs="Times New Roman"/>
                <w:sz w:val="24"/>
                <w:szCs w:val="24"/>
              </w:rPr>
              <w:t>Situation (1) : Pardon et promesse</w:t>
            </w:r>
          </w:p>
        </w:tc>
        <w:tc>
          <w:tcPr>
            <w:tcW w:w="3150" w:type="dxa"/>
            <w:tcBorders>
              <w:top w:val="single" w:sz="24" w:space="0" w:color="FFFFFF"/>
              <w:left w:val="single" w:sz="8" w:space="0" w:color="FFFFFF"/>
              <w:bottom w:val="single" w:sz="8" w:space="0" w:color="FFFFFF"/>
              <w:right w:val="single" w:sz="8" w:space="0" w:color="FFFFFF"/>
            </w:tcBorders>
            <w:shd w:val="clear" w:color="auto" w:fill="D9D9D9" w:themeFill="background1" w:themeFillShade="D9"/>
            <w:tcMar>
              <w:top w:w="72" w:type="dxa"/>
              <w:left w:w="144" w:type="dxa"/>
              <w:bottom w:w="72" w:type="dxa"/>
              <w:right w:w="144" w:type="dxa"/>
            </w:tcMar>
            <w:hideMark/>
          </w:tcPr>
          <w:p w14:paraId="09F6B7A2" w14:textId="77777777" w:rsidR="001905B0" w:rsidRPr="00967063" w:rsidRDefault="001905B0" w:rsidP="00C96C40">
            <w:pPr>
              <w:spacing w:before="100" w:beforeAutospacing="1" w:after="100" w:afterAutospacing="1" w:line="360" w:lineRule="auto"/>
              <w:rPr>
                <w:rFonts w:ascii="Times New Roman" w:hAnsi="Times New Roman" w:cs="Times New Roman"/>
                <w:sz w:val="24"/>
                <w:szCs w:val="24"/>
              </w:rPr>
            </w:pPr>
            <w:r w:rsidRPr="00967063">
              <w:rPr>
                <w:rFonts w:ascii="Times New Roman" w:hAnsi="Times New Roman" w:cs="Times New Roman"/>
                <w:sz w:val="24"/>
                <w:szCs w:val="24"/>
              </w:rPr>
              <w:t>Situation (2) : Pardon sans promesse et violence structurelle</w:t>
            </w:r>
          </w:p>
        </w:tc>
      </w:tr>
      <w:tr w:rsidR="001905B0" w:rsidRPr="00967063" w14:paraId="6B4E3194" w14:textId="77777777" w:rsidTr="00C96C40">
        <w:trPr>
          <w:trHeight w:val="1113"/>
        </w:trPr>
        <w:tc>
          <w:tcPr>
            <w:tcW w:w="2520" w:type="dxa"/>
            <w:tcBorders>
              <w:top w:val="single" w:sz="8" w:space="0" w:color="FFFFFF"/>
              <w:left w:val="single" w:sz="8" w:space="0" w:color="FFFFFF"/>
              <w:bottom w:val="single" w:sz="8" w:space="0" w:color="FFFFFF"/>
              <w:right w:val="single" w:sz="8" w:space="0" w:color="FFFFFF"/>
            </w:tcBorders>
            <w:shd w:val="clear" w:color="auto" w:fill="D9D9D9" w:themeFill="background1" w:themeFillShade="D9"/>
            <w:tcMar>
              <w:top w:w="72" w:type="dxa"/>
              <w:left w:w="144" w:type="dxa"/>
              <w:bottom w:w="72" w:type="dxa"/>
              <w:right w:w="144" w:type="dxa"/>
            </w:tcMar>
            <w:hideMark/>
          </w:tcPr>
          <w:p w14:paraId="74A5F27F" w14:textId="77777777" w:rsidR="001905B0" w:rsidRPr="00967063" w:rsidRDefault="001905B0" w:rsidP="00C96C40">
            <w:pPr>
              <w:spacing w:before="100" w:beforeAutospacing="1" w:after="100" w:afterAutospacing="1" w:line="360" w:lineRule="auto"/>
              <w:rPr>
                <w:rFonts w:ascii="Times New Roman" w:hAnsi="Times New Roman" w:cs="Times New Roman"/>
                <w:sz w:val="24"/>
                <w:szCs w:val="24"/>
              </w:rPr>
            </w:pPr>
            <w:r w:rsidRPr="00967063">
              <w:rPr>
                <w:rFonts w:ascii="Times New Roman" w:hAnsi="Times New Roman" w:cs="Times New Roman"/>
                <w:b/>
                <w:bCs/>
                <w:sz w:val="24"/>
                <w:szCs w:val="24"/>
              </w:rPr>
              <w:t>Attendre de commencer le processus</w:t>
            </w:r>
          </w:p>
        </w:tc>
        <w:tc>
          <w:tcPr>
            <w:tcW w:w="2970" w:type="dxa"/>
            <w:tcBorders>
              <w:top w:val="single" w:sz="8" w:space="0" w:color="FFFFFF"/>
              <w:left w:val="single" w:sz="8" w:space="0" w:color="FFFFFF"/>
              <w:bottom w:val="single" w:sz="8" w:space="0" w:color="FFFFFF"/>
              <w:right w:val="single" w:sz="8" w:space="0" w:color="FFFFFF"/>
            </w:tcBorders>
            <w:shd w:val="clear" w:color="auto" w:fill="D9D9D9" w:themeFill="background1" w:themeFillShade="D9"/>
            <w:tcMar>
              <w:top w:w="72" w:type="dxa"/>
              <w:left w:w="144" w:type="dxa"/>
              <w:bottom w:w="72" w:type="dxa"/>
              <w:right w:w="144" w:type="dxa"/>
            </w:tcMar>
            <w:hideMark/>
          </w:tcPr>
          <w:p w14:paraId="1D54E7B4" w14:textId="77777777" w:rsidR="001905B0" w:rsidRPr="00967063" w:rsidRDefault="001905B0" w:rsidP="00C96C40">
            <w:pPr>
              <w:spacing w:before="100" w:beforeAutospacing="1" w:after="100" w:afterAutospacing="1" w:line="360" w:lineRule="auto"/>
              <w:rPr>
                <w:rFonts w:ascii="Times New Roman" w:hAnsi="Times New Roman" w:cs="Times New Roman"/>
                <w:sz w:val="24"/>
                <w:szCs w:val="24"/>
              </w:rPr>
            </w:pPr>
            <w:r w:rsidRPr="00967063">
              <w:rPr>
                <w:rFonts w:ascii="Times New Roman" w:hAnsi="Times New Roman" w:cs="Times New Roman"/>
                <w:sz w:val="24"/>
                <w:szCs w:val="24"/>
              </w:rPr>
              <w:t>Situation (3) : Promesse sans pardon et piège de la dette interminable</w:t>
            </w:r>
          </w:p>
        </w:tc>
        <w:tc>
          <w:tcPr>
            <w:tcW w:w="3150" w:type="dxa"/>
            <w:tcBorders>
              <w:top w:val="single" w:sz="8" w:space="0" w:color="FFFFFF"/>
              <w:left w:val="single" w:sz="8" w:space="0" w:color="FFFFFF"/>
              <w:bottom w:val="single" w:sz="8" w:space="0" w:color="FFFFFF"/>
              <w:right w:val="single" w:sz="8" w:space="0" w:color="FFFFFF"/>
            </w:tcBorders>
            <w:shd w:val="clear" w:color="auto" w:fill="D9D9D9" w:themeFill="background1" w:themeFillShade="D9"/>
            <w:tcMar>
              <w:top w:w="72" w:type="dxa"/>
              <w:left w:w="144" w:type="dxa"/>
              <w:bottom w:w="72" w:type="dxa"/>
              <w:right w:w="144" w:type="dxa"/>
            </w:tcMar>
            <w:hideMark/>
          </w:tcPr>
          <w:p w14:paraId="5D4997B7" w14:textId="77777777" w:rsidR="001905B0" w:rsidRPr="00967063" w:rsidRDefault="001905B0" w:rsidP="00C96C40">
            <w:pPr>
              <w:spacing w:before="100" w:beforeAutospacing="1" w:after="100" w:afterAutospacing="1" w:line="360" w:lineRule="auto"/>
              <w:rPr>
                <w:rFonts w:ascii="Times New Roman" w:hAnsi="Times New Roman" w:cs="Times New Roman"/>
                <w:sz w:val="24"/>
                <w:szCs w:val="24"/>
              </w:rPr>
            </w:pPr>
            <w:r w:rsidRPr="00967063">
              <w:rPr>
                <w:rFonts w:ascii="Times New Roman" w:hAnsi="Times New Roman" w:cs="Times New Roman"/>
                <w:sz w:val="24"/>
                <w:szCs w:val="24"/>
              </w:rPr>
              <w:t>Situation (4) : pardon sans promesse et piège du monumental oubli</w:t>
            </w:r>
          </w:p>
        </w:tc>
      </w:tr>
    </w:tbl>
    <w:p w14:paraId="31D0DC66" w14:textId="77777777" w:rsidR="001905B0" w:rsidRPr="00967063" w:rsidRDefault="001905B0" w:rsidP="001905B0">
      <w:pPr>
        <w:spacing w:line="480" w:lineRule="auto"/>
        <w:ind w:firstLine="708"/>
        <w:jc w:val="both"/>
        <w:rPr>
          <w:rFonts w:ascii="Times New Roman" w:eastAsia="Times New Roman" w:hAnsi="Times New Roman" w:cs="Times New Roman"/>
          <w:iCs/>
          <w:sz w:val="24"/>
          <w:szCs w:val="24"/>
          <w:lang w:val="fr" w:eastAsia="fr-CA"/>
        </w:rPr>
      </w:pPr>
    </w:p>
    <w:p w14:paraId="6EE00CD1" w14:textId="32AE0A71" w:rsidR="001905B0" w:rsidRPr="00967063" w:rsidRDefault="001905B0" w:rsidP="00F62281">
      <w:pPr>
        <w:spacing w:line="480" w:lineRule="auto"/>
        <w:ind w:firstLine="708"/>
        <w:jc w:val="both"/>
        <w:rPr>
          <w:rFonts w:ascii="Times New Roman" w:eastAsia="Times New Roman" w:hAnsi="Times New Roman" w:cs="Times New Roman"/>
          <w:b/>
          <w:bCs/>
          <w:kern w:val="36"/>
          <w:sz w:val="24"/>
          <w:szCs w:val="24"/>
          <w:lang w:eastAsia="fr-CA"/>
        </w:rPr>
      </w:pPr>
      <w:r w:rsidRPr="00967063">
        <w:rPr>
          <w:rFonts w:ascii="Times New Roman" w:eastAsia="Times New Roman" w:hAnsi="Times New Roman" w:cs="Times New Roman"/>
          <w:iCs/>
          <w:sz w:val="24"/>
          <w:szCs w:val="24"/>
          <w:lang w:val="fr" w:eastAsia="fr-CA"/>
        </w:rPr>
        <w:t xml:space="preserve">Selon ce schéma, la situation (1), qui demande de tenir compte de la crise, serait idéale. Le problème est qu’elle exige une collaboration internationale alors que celle-ci est appréhendée par le régime en place. La situation (2) résume les circonstances actuelles de travail de la CVR : une commission qui travaille sans véritablement tenir compte de la crise en cours. Dans une telle situation, avons-nous vu, des occasions de pardon peuvent certes s’observer, mais elles sont sans promesse du fait que, non seulement tous les intéressés ne peuvent pas participer au processus, mais aussi que même ceux qui y participent le font alors que l’éventualité d’une violence symbolique n’a pas été thématisée. La situation (3), qui demande d’attendre la fin de la crise, maintient la société dans ce </w:t>
      </w:r>
      <w:r w:rsidR="00413789" w:rsidRPr="00967063">
        <w:rPr>
          <w:rFonts w:ascii="Times New Roman" w:eastAsia="Times New Roman" w:hAnsi="Times New Roman" w:cs="Times New Roman"/>
          <w:iCs/>
          <w:sz w:val="24"/>
          <w:szCs w:val="24"/>
          <w:lang w:val="fr" w:eastAsia="fr-CA"/>
        </w:rPr>
        <w:t>qu’Olivier</w:t>
      </w:r>
      <w:r w:rsidRPr="00967063">
        <w:rPr>
          <w:rFonts w:ascii="Times New Roman" w:eastAsia="Times New Roman" w:hAnsi="Times New Roman" w:cs="Times New Roman"/>
          <w:iCs/>
          <w:sz w:val="24"/>
          <w:szCs w:val="24"/>
          <w:lang w:val="fr" w:eastAsia="fr-CA"/>
        </w:rPr>
        <w:t xml:space="preserve"> Abel a nommé le piège de la dette interminable. La situation (4), où l’on choisit de ne rien faire, non seulement ne considère pas les processus de vérité et de réconciliation en cours sous prétexte que les conditions formelles ne sont pas encore là, mais elle entretient une situation d’oubli des victimes.</w:t>
      </w:r>
      <w:bookmarkStart w:id="41" w:name="_Toc536771118"/>
      <w:r w:rsidRPr="00967063">
        <w:rPr>
          <w:rFonts w:ascii="Times New Roman" w:hAnsi="Times New Roman" w:cs="Times New Roman"/>
          <w:sz w:val="24"/>
          <w:szCs w:val="24"/>
        </w:rPr>
        <w:br w:type="page"/>
      </w:r>
    </w:p>
    <w:p w14:paraId="2458A224" w14:textId="33943FF3" w:rsidR="001905B0" w:rsidRPr="00967063" w:rsidRDefault="001905B0" w:rsidP="001905B0">
      <w:pPr>
        <w:pStyle w:val="Heading1"/>
        <w:jc w:val="both"/>
        <w:rPr>
          <w:sz w:val="24"/>
          <w:szCs w:val="24"/>
        </w:rPr>
      </w:pPr>
      <w:bookmarkStart w:id="42" w:name="_Toc3637617"/>
      <w:bookmarkStart w:id="43" w:name="_Toc6239815"/>
      <w:r w:rsidRPr="00967063">
        <w:rPr>
          <w:sz w:val="24"/>
          <w:szCs w:val="24"/>
        </w:rPr>
        <w:t>Chapitre III : Enjeu moral du processus : un ordre moral inhérent ou un environnement prometteur</w:t>
      </w:r>
      <w:bookmarkEnd w:id="41"/>
      <w:bookmarkEnd w:id="42"/>
      <w:bookmarkEnd w:id="43"/>
    </w:p>
    <w:p w14:paraId="77510E6D" w14:textId="77777777" w:rsidR="001905B0" w:rsidRPr="00967063" w:rsidRDefault="001905B0" w:rsidP="001905B0">
      <w:pPr>
        <w:spacing w:line="480" w:lineRule="auto"/>
        <w:ind w:firstLine="708"/>
        <w:jc w:val="both"/>
        <w:rPr>
          <w:rFonts w:ascii="Times New Roman" w:hAnsi="Times New Roman" w:cs="Times New Roman"/>
          <w:sz w:val="24"/>
          <w:szCs w:val="24"/>
        </w:rPr>
      </w:pPr>
      <w:r w:rsidRPr="00967063">
        <w:rPr>
          <w:rFonts w:ascii="Times New Roman" w:hAnsi="Times New Roman" w:cs="Times New Roman"/>
          <w:sz w:val="24"/>
          <w:szCs w:val="24"/>
        </w:rPr>
        <w:t xml:space="preserve">Que se passe-t-il donc lorsqu’une CVR se croit tenue de travailler à remédier les crimes de la société sans tenir compte de la crise qui est en cours? Quel est l’enjeu moral et quelles sont les valeurs qui sont mis en cause? C’est à ces questions que nous voulons répondre. Nous voulons, tour à tour, examiner deux types d’arguments qui nous révèlent les valeurs en cause. D’un côté il y a ceux qui défendent qu’il existe un ordre moral inhérent au travail de la CVR et de l’autre ceux qui rejettent la moralité du processus de vérité et réconciliation en cours au Burundi. </w:t>
      </w:r>
    </w:p>
    <w:p w14:paraId="7BA35325" w14:textId="77777777" w:rsidR="001905B0" w:rsidRPr="00967063" w:rsidRDefault="001905B0" w:rsidP="001905B0">
      <w:pPr>
        <w:pStyle w:val="Heading2"/>
        <w:numPr>
          <w:ilvl w:val="0"/>
          <w:numId w:val="17"/>
        </w:numPr>
        <w:rPr>
          <w:rFonts w:ascii="Times New Roman" w:hAnsi="Times New Roman" w:cs="Times New Roman"/>
          <w:b w:val="0"/>
          <w:color w:val="auto"/>
          <w:sz w:val="24"/>
          <w:szCs w:val="24"/>
        </w:rPr>
      </w:pPr>
      <w:bookmarkStart w:id="44" w:name="_Toc536771119"/>
      <w:bookmarkStart w:id="45" w:name="_Toc3637618"/>
      <w:bookmarkStart w:id="46" w:name="_Toc6239816"/>
      <w:r w:rsidRPr="00967063">
        <w:rPr>
          <w:rFonts w:ascii="Times New Roman" w:hAnsi="Times New Roman" w:cs="Times New Roman"/>
          <w:color w:val="auto"/>
          <w:sz w:val="24"/>
          <w:szCs w:val="24"/>
        </w:rPr>
        <w:t>Il y a un ordre moral inhérent au travail actuel de la CVR</w:t>
      </w:r>
      <w:bookmarkEnd w:id="44"/>
      <w:bookmarkEnd w:id="45"/>
      <w:bookmarkEnd w:id="46"/>
    </w:p>
    <w:p w14:paraId="43B9B3D8" w14:textId="77777777" w:rsidR="001905B0" w:rsidRPr="00967063" w:rsidRDefault="001905B0" w:rsidP="001905B0">
      <w:pPr>
        <w:rPr>
          <w:rFonts w:ascii="Times New Roman" w:hAnsi="Times New Roman" w:cs="Times New Roman"/>
          <w:sz w:val="24"/>
          <w:szCs w:val="24"/>
        </w:rPr>
      </w:pPr>
    </w:p>
    <w:p w14:paraId="4635339E" w14:textId="77777777" w:rsidR="001905B0" w:rsidRPr="00967063" w:rsidRDefault="001905B0" w:rsidP="001905B0">
      <w:pPr>
        <w:spacing w:line="480" w:lineRule="auto"/>
        <w:ind w:firstLine="708"/>
        <w:jc w:val="both"/>
        <w:rPr>
          <w:rFonts w:ascii="Times New Roman" w:hAnsi="Times New Roman" w:cs="Times New Roman"/>
          <w:sz w:val="24"/>
          <w:szCs w:val="24"/>
        </w:rPr>
      </w:pPr>
      <w:r w:rsidRPr="00967063">
        <w:rPr>
          <w:rFonts w:ascii="Times New Roman" w:hAnsi="Times New Roman" w:cs="Times New Roman"/>
          <w:sz w:val="24"/>
          <w:szCs w:val="24"/>
        </w:rPr>
        <w:t xml:space="preserve">Nous commençons par présenter trois arguments en faveur d’un ordre moral inhérent au travail actuel de la CVR. Ils sont susceptibles d’être mobilisés par le gouvernement, le parti au pouvoir et même la CVR pour justifier ses résultats. Nous les classons en fonction de leur base de justification : la justice transitionnelle, l’utilitarisme de la règle et la théorie de l’action.  </w:t>
      </w:r>
    </w:p>
    <w:p w14:paraId="020A1F8D" w14:textId="4C5E2C86" w:rsidR="001905B0" w:rsidRPr="00967063" w:rsidRDefault="001905B0" w:rsidP="001905B0">
      <w:pPr>
        <w:spacing w:line="480" w:lineRule="auto"/>
        <w:ind w:firstLine="708"/>
        <w:jc w:val="both"/>
        <w:rPr>
          <w:rFonts w:ascii="Times New Roman" w:hAnsi="Times New Roman" w:cs="Times New Roman"/>
          <w:sz w:val="24"/>
          <w:szCs w:val="24"/>
        </w:rPr>
      </w:pPr>
      <w:r w:rsidRPr="00967063">
        <w:rPr>
          <w:rFonts w:ascii="Times New Roman" w:hAnsi="Times New Roman" w:cs="Times New Roman"/>
          <w:sz w:val="24"/>
          <w:szCs w:val="24"/>
        </w:rPr>
        <w:t>Le premier argument en faveur d’un ordre moral inhérent emprunte aux spécialistes de la justice transitionnelle. Ceux qui le mobilisent - nous nous référons ici à Christian Nadeau et Julie Saada</w:t>
      </w:r>
      <w:r w:rsidR="00B24597">
        <w:rPr>
          <w:rFonts w:ascii="Times New Roman" w:hAnsi="Times New Roman" w:cs="Times New Roman"/>
          <w:sz w:val="24"/>
          <w:szCs w:val="24"/>
        </w:rPr>
        <w:t xml:space="preserve"> -</w:t>
      </w:r>
      <w:r w:rsidRPr="00967063">
        <w:rPr>
          <w:rFonts w:ascii="Times New Roman" w:hAnsi="Times New Roman" w:cs="Times New Roman"/>
          <w:sz w:val="24"/>
          <w:szCs w:val="24"/>
        </w:rPr>
        <w:t xml:space="preserve"> disent d’abord qu’il est matériellement impossible de juger tous ceux qui sont impliqués dans les crimes de masse</w:t>
      </w:r>
      <w:r w:rsidR="004C5CEF">
        <w:rPr>
          <w:rStyle w:val="FootnoteReference"/>
          <w:rFonts w:ascii="Times New Roman" w:hAnsi="Times New Roman" w:cs="Times New Roman"/>
          <w:sz w:val="24"/>
          <w:szCs w:val="24"/>
        </w:rPr>
        <w:footnoteReference w:id="98"/>
      </w:r>
      <w:r w:rsidRPr="00967063">
        <w:rPr>
          <w:rFonts w:ascii="Times New Roman" w:hAnsi="Times New Roman" w:cs="Times New Roman"/>
          <w:sz w:val="24"/>
          <w:szCs w:val="24"/>
        </w:rPr>
        <w:t>. Ils disent ensuite que les tribunaux internationaux simplifient les données du conflit et radicalisent les positions en désignant des coupables et des victimes</w:t>
      </w:r>
      <w:r w:rsidR="00414EAB">
        <w:rPr>
          <w:rStyle w:val="FootnoteReference"/>
          <w:rFonts w:ascii="Times New Roman" w:hAnsi="Times New Roman" w:cs="Times New Roman"/>
          <w:sz w:val="24"/>
          <w:szCs w:val="24"/>
        </w:rPr>
        <w:footnoteReference w:id="99"/>
      </w:r>
      <w:r w:rsidRPr="00967063">
        <w:rPr>
          <w:rFonts w:ascii="Times New Roman" w:hAnsi="Times New Roman" w:cs="Times New Roman"/>
          <w:sz w:val="24"/>
          <w:szCs w:val="24"/>
        </w:rPr>
        <w:t>. Troisièmement, ils disent que l’on doit savoir que le pays est souverain et que vouloir imposer une justice internationale serait une atteinte à la souveraineté nationale</w:t>
      </w:r>
      <w:r w:rsidR="00414EAB">
        <w:rPr>
          <w:rStyle w:val="FootnoteReference"/>
          <w:rFonts w:ascii="Times New Roman" w:hAnsi="Times New Roman" w:cs="Times New Roman"/>
          <w:sz w:val="24"/>
          <w:szCs w:val="24"/>
        </w:rPr>
        <w:footnoteReference w:id="100"/>
      </w:r>
      <w:r w:rsidRPr="00967063">
        <w:rPr>
          <w:rFonts w:ascii="Times New Roman" w:hAnsi="Times New Roman" w:cs="Times New Roman"/>
          <w:sz w:val="24"/>
          <w:szCs w:val="24"/>
        </w:rPr>
        <w:t>. Et enfin, ils disent que la CVR est nécessaire, car elle permet d’examiner de manière globale les différents niveaux de responsabilité et d’imputabilité des agents liés aux crimes (auteurs, victimes, membres de la communauté concernée) et de saisir de manière plus compréhensive les facteurs ayant conduit aux crimes</w:t>
      </w:r>
      <w:r w:rsidR="00414EAB">
        <w:rPr>
          <w:rStyle w:val="FootnoteReference"/>
          <w:rFonts w:ascii="Times New Roman" w:hAnsi="Times New Roman" w:cs="Times New Roman"/>
          <w:sz w:val="24"/>
          <w:szCs w:val="24"/>
        </w:rPr>
        <w:footnoteReference w:id="101"/>
      </w:r>
      <w:r w:rsidRPr="00967063">
        <w:rPr>
          <w:rFonts w:ascii="Times New Roman" w:hAnsi="Times New Roman" w:cs="Times New Roman"/>
          <w:sz w:val="24"/>
          <w:szCs w:val="24"/>
        </w:rPr>
        <w:t>. Bref, la CVR peut permettre en tout temps de transformer les hostilités violentes en un pluralisme politique</w:t>
      </w:r>
      <w:r w:rsidR="00414EAB">
        <w:rPr>
          <w:rStyle w:val="FootnoteReference"/>
          <w:rFonts w:ascii="Times New Roman" w:hAnsi="Times New Roman" w:cs="Times New Roman"/>
          <w:sz w:val="24"/>
          <w:szCs w:val="24"/>
        </w:rPr>
        <w:footnoteReference w:id="102"/>
      </w:r>
      <w:r w:rsidRPr="00967063">
        <w:rPr>
          <w:rFonts w:ascii="Times New Roman" w:hAnsi="Times New Roman" w:cs="Times New Roman"/>
          <w:sz w:val="24"/>
          <w:szCs w:val="24"/>
        </w:rPr>
        <w:t>.</w:t>
      </w:r>
    </w:p>
    <w:p w14:paraId="59690DF5" w14:textId="77777777" w:rsidR="001905B0" w:rsidRPr="00967063" w:rsidRDefault="001905B0" w:rsidP="001905B0">
      <w:pPr>
        <w:spacing w:line="480" w:lineRule="auto"/>
        <w:ind w:firstLine="708"/>
        <w:jc w:val="both"/>
        <w:rPr>
          <w:rFonts w:ascii="Times New Roman" w:hAnsi="Times New Roman" w:cs="Times New Roman"/>
          <w:sz w:val="24"/>
          <w:szCs w:val="24"/>
        </w:rPr>
      </w:pPr>
      <w:r w:rsidRPr="00967063">
        <w:rPr>
          <w:rFonts w:ascii="Times New Roman" w:hAnsi="Times New Roman" w:cs="Times New Roman"/>
          <w:sz w:val="24"/>
          <w:szCs w:val="24"/>
        </w:rPr>
        <w:t>Le deuxième type d’argument emprunte à l’utilitarisme de la règle. Le Gouvernement burundais et la CVR, qui persistent à défendre que la CVR peut mener à bien son travail, le justifient par l’obligation de respecter le mandat. Selon eux, la CVR doit rester dans le cadre de son mandat. Le respect de cette règle doit avoir la priorité sur les calculs d’utilité « sauf dans les cas absolument exceptionnels où les conséquences négatives pour le bien commun seraient trop dramatiques »</w:t>
      </w:r>
      <w:r w:rsidRPr="00967063">
        <w:rPr>
          <w:rStyle w:val="FootnoteReference"/>
          <w:rFonts w:ascii="Times New Roman" w:hAnsi="Times New Roman" w:cs="Times New Roman"/>
          <w:sz w:val="24"/>
          <w:szCs w:val="24"/>
        </w:rPr>
        <w:footnoteReference w:id="103"/>
      </w:r>
      <w:r w:rsidRPr="00967063">
        <w:rPr>
          <w:rFonts w:ascii="Times New Roman" w:hAnsi="Times New Roman" w:cs="Times New Roman"/>
          <w:sz w:val="24"/>
          <w:szCs w:val="24"/>
        </w:rPr>
        <w:t xml:space="preserve">. Selon eux, la situation actuelle au Burundi ne représente pas un de ces cas exceptionnels. </w:t>
      </w:r>
    </w:p>
    <w:p w14:paraId="2E495084" w14:textId="77777777" w:rsidR="001905B0" w:rsidRPr="00967063" w:rsidRDefault="001905B0" w:rsidP="001905B0">
      <w:pPr>
        <w:spacing w:line="480" w:lineRule="auto"/>
        <w:ind w:firstLine="708"/>
        <w:jc w:val="both"/>
        <w:rPr>
          <w:rFonts w:ascii="Times New Roman" w:hAnsi="Times New Roman" w:cs="Times New Roman"/>
          <w:sz w:val="24"/>
          <w:szCs w:val="24"/>
        </w:rPr>
      </w:pPr>
      <w:r w:rsidRPr="00967063">
        <w:rPr>
          <w:rFonts w:ascii="Times New Roman" w:hAnsi="Times New Roman" w:cs="Times New Roman"/>
          <w:sz w:val="24"/>
          <w:szCs w:val="24"/>
        </w:rPr>
        <w:t xml:space="preserve">Le troisième type d’argument est plus profond. Il emprunte aux théoriciens de l’action. Par action, nous entendons avec </w:t>
      </w:r>
      <w:r w:rsidRPr="00967063">
        <w:rPr>
          <w:rFonts w:ascii="Times New Roman" w:hAnsi="Times New Roman" w:cs="Times New Roman"/>
          <w:sz w:val="24"/>
          <w:szCs w:val="24"/>
          <w:lang w:val="fr"/>
        </w:rPr>
        <w:t>Jean Ladrière</w:t>
      </w:r>
      <w:r w:rsidRPr="00967063">
        <w:rPr>
          <w:rFonts w:ascii="Times New Roman" w:hAnsi="Times New Roman" w:cs="Times New Roman"/>
          <w:sz w:val="24"/>
          <w:szCs w:val="24"/>
        </w:rPr>
        <w:t xml:space="preserve"> une </w:t>
      </w:r>
      <w:r w:rsidRPr="00967063">
        <w:rPr>
          <w:rFonts w:ascii="Times New Roman" w:hAnsi="Times New Roman" w:cs="Times New Roman"/>
          <w:sz w:val="24"/>
          <w:szCs w:val="24"/>
          <w:lang w:val="fr"/>
        </w:rPr>
        <w:t>force opérative capable de poser dans le monde des déterminations véritablement nouvelles. Voici ce que dit Jean Ladrière :</w:t>
      </w:r>
    </w:p>
    <w:p w14:paraId="4DA2A0A2" w14:textId="6269CA8B" w:rsidR="001905B0" w:rsidRPr="00967063" w:rsidRDefault="001905B0" w:rsidP="001905B0">
      <w:pPr>
        <w:ind w:left="283"/>
        <w:jc w:val="both"/>
        <w:rPr>
          <w:rFonts w:ascii="Times New Roman" w:hAnsi="Times New Roman" w:cs="Times New Roman"/>
          <w:sz w:val="24"/>
          <w:szCs w:val="24"/>
          <w:lang w:val="fr"/>
        </w:rPr>
      </w:pPr>
      <w:r w:rsidRPr="00967063">
        <w:rPr>
          <w:rFonts w:ascii="Times New Roman" w:hAnsi="Times New Roman" w:cs="Times New Roman"/>
          <w:sz w:val="24"/>
          <w:szCs w:val="24"/>
          <w:lang w:val="fr"/>
        </w:rPr>
        <w:t>La transition de l’État de puissance à la cité n’est pas un fait de nature, elle n’est commandée par</w:t>
      </w:r>
      <w:r w:rsidR="006F28E3">
        <w:rPr>
          <w:rFonts w:ascii="Times New Roman" w:hAnsi="Times New Roman" w:cs="Times New Roman"/>
          <w:sz w:val="24"/>
          <w:szCs w:val="24"/>
          <w:lang w:val="fr"/>
        </w:rPr>
        <w:t xml:space="preserve"> aucune loi, elle n’est pas pré</w:t>
      </w:r>
      <w:r w:rsidRPr="00967063">
        <w:rPr>
          <w:rFonts w:ascii="Times New Roman" w:hAnsi="Times New Roman" w:cs="Times New Roman"/>
          <w:sz w:val="24"/>
          <w:szCs w:val="24"/>
          <w:lang w:val="fr"/>
        </w:rPr>
        <w:t xml:space="preserve">contenu dans les conditions antécédentes ni commandées de quelque finalité </w:t>
      </w:r>
      <w:r w:rsidR="007A43E2" w:rsidRPr="00967063">
        <w:rPr>
          <w:rFonts w:ascii="Times New Roman" w:hAnsi="Times New Roman" w:cs="Times New Roman"/>
          <w:sz w:val="24"/>
          <w:szCs w:val="24"/>
          <w:lang w:val="fr"/>
        </w:rPr>
        <w:t>immanente ;</w:t>
      </w:r>
      <w:r w:rsidRPr="00967063">
        <w:rPr>
          <w:rFonts w:ascii="Times New Roman" w:hAnsi="Times New Roman" w:cs="Times New Roman"/>
          <w:sz w:val="24"/>
          <w:szCs w:val="24"/>
          <w:lang w:val="fr"/>
        </w:rPr>
        <w:t xml:space="preserve"> elle est purement contingente, ce qui implique qu’elle ne peut survenir que par la vertu d’une force opérative capable de poser dans le monde des déterminations véritablement nouvelles. Cette force, c’est celle de l’action</w:t>
      </w:r>
      <w:r w:rsidR="00115B37">
        <w:rPr>
          <w:rStyle w:val="FootnoteReference"/>
          <w:rFonts w:ascii="Times New Roman" w:hAnsi="Times New Roman" w:cs="Times New Roman"/>
          <w:sz w:val="24"/>
          <w:szCs w:val="24"/>
          <w:lang w:val="fr"/>
        </w:rPr>
        <w:footnoteReference w:id="104"/>
      </w:r>
      <w:r w:rsidRPr="00967063">
        <w:rPr>
          <w:rFonts w:ascii="Times New Roman" w:hAnsi="Times New Roman" w:cs="Times New Roman"/>
          <w:sz w:val="24"/>
          <w:szCs w:val="24"/>
          <w:lang w:val="fr"/>
        </w:rPr>
        <w:t xml:space="preserve">. </w:t>
      </w:r>
    </w:p>
    <w:p w14:paraId="72F94808" w14:textId="77777777" w:rsidR="001905B0" w:rsidRPr="00967063" w:rsidRDefault="001905B0" w:rsidP="001905B0">
      <w:pPr>
        <w:spacing w:line="480" w:lineRule="auto"/>
        <w:ind w:firstLine="708"/>
        <w:jc w:val="both"/>
        <w:rPr>
          <w:rFonts w:ascii="Times New Roman" w:hAnsi="Times New Roman" w:cs="Times New Roman"/>
          <w:sz w:val="24"/>
          <w:szCs w:val="24"/>
        </w:rPr>
      </w:pPr>
      <w:r w:rsidRPr="00967063">
        <w:rPr>
          <w:rFonts w:ascii="Times New Roman" w:hAnsi="Times New Roman" w:cs="Times New Roman"/>
          <w:sz w:val="24"/>
          <w:szCs w:val="24"/>
        </w:rPr>
        <w:t>Dans le même sens, Hannah Arendt dira que « le fait que l’homme est capable d’action signifie que de sa part on peut s’attendre à l’inattendu, qu’il est en mesure d’accomplir ce qui est infiniment improbable »</w:t>
      </w:r>
      <w:r w:rsidRPr="00967063">
        <w:rPr>
          <w:rStyle w:val="FootnoteReference"/>
          <w:rFonts w:ascii="Times New Roman" w:hAnsi="Times New Roman" w:cs="Times New Roman"/>
          <w:sz w:val="24"/>
          <w:szCs w:val="24"/>
        </w:rPr>
        <w:footnoteReference w:id="105"/>
      </w:r>
      <w:r w:rsidRPr="00967063">
        <w:rPr>
          <w:rFonts w:ascii="Times New Roman" w:hAnsi="Times New Roman" w:cs="Times New Roman"/>
          <w:sz w:val="24"/>
          <w:szCs w:val="24"/>
        </w:rPr>
        <w:t xml:space="preserve">. Ainsi malgré la situation de crise en cours au Burundi, le pardon en tant que forme d’action, reste quelque chose de possible </w:t>
      </w:r>
    </w:p>
    <w:p w14:paraId="604D4B4C" w14:textId="1DFE086E" w:rsidR="001905B0" w:rsidRPr="00967063" w:rsidRDefault="001905B0" w:rsidP="001905B0">
      <w:pPr>
        <w:spacing w:line="480" w:lineRule="auto"/>
        <w:ind w:firstLine="708"/>
        <w:jc w:val="both"/>
        <w:rPr>
          <w:rFonts w:ascii="Times New Roman" w:hAnsi="Times New Roman" w:cs="Times New Roman"/>
          <w:sz w:val="24"/>
          <w:szCs w:val="24"/>
        </w:rPr>
      </w:pPr>
      <w:r w:rsidRPr="00967063">
        <w:rPr>
          <w:rFonts w:ascii="Times New Roman" w:hAnsi="Times New Roman" w:cs="Times New Roman"/>
          <w:sz w:val="24"/>
          <w:szCs w:val="24"/>
        </w:rPr>
        <w:t>Rappelons que chez Arendt, le pardon et la promesse permettent de résoudre deux problèmes de l’action : l’irréversibilité et l’imprévisibilité</w:t>
      </w:r>
      <w:r w:rsidR="00501581">
        <w:rPr>
          <w:rStyle w:val="FootnoteReference"/>
          <w:rFonts w:ascii="Times New Roman" w:hAnsi="Times New Roman" w:cs="Times New Roman"/>
          <w:sz w:val="24"/>
          <w:szCs w:val="24"/>
        </w:rPr>
        <w:footnoteReference w:id="106"/>
      </w:r>
      <w:r w:rsidRPr="00967063">
        <w:rPr>
          <w:rFonts w:ascii="Times New Roman" w:hAnsi="Times New Roman" w:cs="Times New Roman"/>
          <w:sz w:val="24"/>
          <w:szCs w:val="24"/>
        </w:rPr>
        <w:t>. Il s’agit de remèdes internes à l’action, c’est-à-dire que le pardon et la promesse sont considérés comme des formes d’action. Arendt nous dit que « contre l’irréversibilité et l’imprévisibilité du processus déclenché par l’action, le remède ne vient pas d’une autre faculté éventuellement supérieure, c’est l’une des virtualités de l’action</w:t>
      </w:r>
      <w:r w:rsidR="00B24597">
        <w:rPr>
          <w:rFonts w:ascii="Times New Roman" w:hAnsi="Times New Roman" w:cs="Times New Roman"/>
          <w:sz w:val="24"/>
          <w:szCs w:val="24"/>
        </w:rPr>
        <w:t xml:space="preserve"> </w:t>
      </w:r>
      <w:r w:rsidRPr="00967063">
        <w:rPr>
          <w:rFonts w:ascii="Times New Roman" w:hAnsi="Times New Roman" w:cs="Times New Roman"/>
          <w:sz w:val="24"/>
          <w:szCs w:val="24"/>
        </w:rPr>
        <w:t>elle-même »</w:t>
      </w:r>
      <w:r w:rsidR="00501581">
        <w:rPr>
          <w:rStyle w:val="FootnoteReference"/>
          <w:rFonts w:ascii="Times New Roman" w:hAnsi="Times New Roman" w:cs="Times New Roman"/>
          <w:sz w:val="24"/>
          <w:szCs w:val="24"/>
        </w:rPr>
        <w:footnoteReference w:id="107"/>
      </w:r>
      <w:r w:rsidRPr="00967063">
        <w:rPr>
          <w:rFonts w:ascii="Times New Roman" w:hAnsi="Times New Roman" w:cs="Times New Roman"/>
          <w:sz w:val="24"/>
          <w:szCs w:val="24"/>
        </w:rPr>
        <w:t>. Elle ajoute que la « rédemption possible de la situation d’irréversibilité - dans laquelle on ne peut défaire ce que l’on a fait, alors que l’on ne savait pas et que l’on ne pouvait pas savoir ce que l’on faisait - c’est la faculté de pardonner »</w:t>
      </w:r>
      <w:r w:rsidR="00501581">
        <w:rPr>
          <w:rStyle w:val="FootnoteReference"/>
          <w:rFonts w:ascii="Times New Roman" w:hAnsi="Times New Roman" w:cs="Times New Roman"/>
          <w:sz w:val="24"/>
          <w:szCs w:val="24"/>
        </w:rPr>
        <w:footnoteReference w:id="108"/>
      </w:r>
      <w:r w:rsidRPr="00967063">
        <w:rPr>
          <w:rFonts w:ascii="Times New Roman" w:hAnsi="Times New Roman" w:cs="Times New Roman"/>
          <w:sz w:val="24"/>
          <w:szCs w:val="24"/>
        </w:rPr>
        <w:t>. Le pardon « sert à supprimer les actes du passé dont les fautes sont suspendues comme l’épée de Damoclès au-dessus de chaque génération nouvelle »</w:t>
      </w:r>
      <w:r w:rsidRPr="00967063">
        <w:rPr>
          <w:rStyle w:val="FootnoteReference"/>
          <w:rFonts w:ascii="Times New Roman" w:hAnsi="Times New Roman" w:cs="Times New Roman"/>
          <w:sz w:val="24"/>
          <w:szCs w:val="24"/>
        </w:rPr>
        <w:footnoteReference w:id="109"/>
      </w:r>
      <w:r w:rsidR="00B24597">
        <w:rPr>
          <w:rFonts w:ascii="Times New Roman" w:hAnsi="Times New Roman" w:cs="Times New Roman"/>
          <w:sz w:val="24"/>
          <w:szCs w:val="24"/>
        </w:rPr>
        <w:t>.</w:t>
      </w:r>
      <w:r w:rsidRPr="00967063">
        <w:rPr>
          <w:rFonts w:ascii="Times New Roman" w:hAnsi="Times New Roman" w:cs="Times New Roman"/>
          <w:sz w:val="24"/>
          <w:szCs w:val="24"/>
        </w:rPr>
        <w:t xml:space="preserve"> Comme on peut le comprendre, le fait de considérer, d’une part, le pardon comme une forme d’action au sens de Jean Ladrière et de Hannah Arendt et, d’autre part, de réaliser la puissance de cette faculté (empêcher que les actes du passé soient suspendus au-dessus de nous pour toujours) exige moralement de prêter suffisamment attention à l’argument en faveur d’un ordre moral inhérent au processus. </w:t>
      </w:r>
    </w:p>
    <w:p w14:paraId="104E8E22" w14:textId="47A47BC7" w:rsidR="001905B0" w:rsidRPr="00967063" w:rsidRDefault="001905B0" w:rsidP="001905B0">
      <w:pPr>
        <w:spacing w:line="480" w:lineRule="auto"/>
        <w:ind w:firstLine="708"/>
        <w:jc w:val="both"/>
        <w:rPr>
          <w:rFonts w:ascii="Times New Roman" w:hAnsi="Times New Roman" w:cs="Times New Roman"/>
          <w:sz w:val="24"/>
          <w:szCs w:val="24"/>
        </w:rPr>
      </w:pPr>
      <w:r w:rsidRPr="00967063">
        <w:rPr>
          <w:rFonts w:ascii="Times New Roman" w:hAnsi="Times New Roman" w:cs="Times New Roman"/>
          <w:sz w:val="24"/>
          <w:szCs w:val="24"/>
        </w:rPr>
        <w:t>Sauf que cela ne suffit pas. Car il y a une question posée concernant la garantie d’un tel geste pour l’avenir.  Arendt avertit en effet que l’action – et du même coup le pardon – est marquée par la fragilité, qui découle de son imprévisibilité. Or contre cette « imprévisibilité, contre la chaotique incertitude de l’avenir, le remède se trouve dans la faculté de faire et de tenir des promesses »</w:t>
      </w:r>
      <w:r w:rsidRPr="00967063">
        <w:rPr>
          <w:rStyle w:val="FootnoteReference"/>
          <w:rFonts w:ascii="Times New Roman" w:hAnsi="Times New Roman" w:cs="Times New Roman"/>
          <w:sz w:val="24"/>
          <w:szCs w:val="24"/>
        </w:rPr>
        <w:footnoteReference w:id="110"/>
      </w:r>
      <w:r w:rsidRPr="00967063">
        <w:rPr>
          <w:rFonts w:ascii="Times New Roman" w:hAnsi="Times New Roman" w:cs="Times New Roman"/>
          <w:sz w:val="24"/>
          <w:szCs w:val="24"/>
        </w:rPr>
        <w:t>. On a déjà vu que la promesse « sert à disposer, dans cet océan d’incertitude qu’est l’avenir par définition des îlots de sécurité sans lesquels aucune continuité, sans même parler de durée, ne serait possible dans les relations des humains entre eux ».</w:t>
      </w:r>
      <w:r w:rsidR="00501581">
        <w:rPr>
          <w:rStyle w:val="FootnoteReference"/>
          <w:rFonts w:ascii="Times New Roman" w:hAnsi="Times New Roman" w:cs="Times New Roman"/>
          <w:sz w:val="24"/>
          <w:szCs w:val="24"/>
        </w:rPr>
        <w:footnoteReference w:id="111"/>
      </w:r>
      <w:r w:rsidRPr="00967063">
        <w:rPr>
          <w:rFonts w:ascii="Times New Roman" w:hAnsi="Times New Roman" w:cs="Times New Roman"/>
          <w:sz w:val="24"/>
          <w:szCs w:val="24"/>
        </w:rPr>
        <w:t xml:space="preserve">  C’est le jeu, en politique, de ces deux facultés</w:t>
      </w:r>
      <w:r w:rsidR="00501581">
        <w:rPr>
          <w:rFonts w:ascii="Times New Roman" w:hAnsi="Times New Roman" w:cs="Times New Roman"/>
          <w:sz w:val="24"/>
          <w:szCs w:val="24"/>
        </w:rPr>
        <w:t xml:space="preserve"> (le pardon et la promesse)</w:t>
      </w:r>
      <w:r w:rsidRPr="00967063">
        <w:rPr>
          <w:rFonts w:ascii="Times New Roman" w:hAnsi="Times New Roman" w:cs="Times New Roman"/>
          <w:sz w:val="24"/>
          <w:szCs w:val="24"/>
        </w:rPr>
        <w:t xml:space="preserve"> qui fonde, nous dit Arendt, « une série de principes directeurs diamétralement différents des normes morales inhérentes à la notion platonicienne de gouvernement »</w:t>
      </w:r>
      <w:r w:rsidR="00501581">
        <w:rPr>
          <w:rStyle w:val="FootnoteReference"/>
          <w:rFonts w:ascii="Times New Roman" w:hAnsi="Times New Roman" w:cs="Times New Roman"/>
          <w:sz w:val="24"/>
          <w:szCs w:val="24"/>
        </w:rPr>
        <w:footnoteReference w:id="112"/>
      </w:r>
      <w:r w:rsidR="00B24597">
        <w:rPr>
          <w:rFonts w:ascii="Times New Roman" w:hAnsi="Times New Roman" w:cs="Times New Roman"/>
          <w:sz w:val="24"/>
          <w:szCs w:val="24"/>
        </w:rPr>
        <w:t>.</w:t>
      </w:r>
      <w:r w:rsidRPr="00967063">
        <w:rPr>
          <w:rFonts w:ascii="Times New Roman" w:hAnsi="Times New Roman" w:cs="Times New Roman"/>
          <w:sz w:val="24"/>
          <w:szCs w:val="24"/>
        </w:rPr>
        <w:t xml:space="preserve">  Cette nécessité de la promesse inspire une réserve par rapport à l’argument en faveur d’un ordre inhérent au travail actuel de la CVR</w:t>
      </w:r>
      <w:r w:rsidR="004F5A82">
        <w:rPr>
          <w:rFonts w:ascii="Times New Roman" w:hAnsi="Times New Roman" w:cs="Times New Roman"/>
          <w:sz w:val="24"/>
          <w:szCs w:val="24"/>
        </w:rPr>
        <w:t>, nous y reviendrons.</w:t>
      </w:r>
    </w:p>
    <w:p w14:paraId="30AF7AEE" w14:textId="11964B4E" w:rsidR="001905B0" w:rsidRPr="00967063" w:rsidRDefault="001905B0" w:rsidP="001905B0">
      <w:pPr>
        <w:spacing w:line="480" w:lineRule="auto"/>
        <w:ind w:firstLine="708"/>
        <w:jc w:val="both"/>
        <w:rPr>
          <w:rFonts w:ascii="Times New Roman" w:hAnsi="Times New Roman" w:cs="Times New Roman"/>
          <w:sz w:val="24"/>
          <w:szCs w:val="24"/>
        </w:rPr>
      </w:pPr>
      <w:r w:rsidRPr="00967063">
        <w:rPr>
          <w:rFonts w:ascii="Times New Roman" w:hAnsi="Times New Roman" w:cs="Times New Roman"/>
          <w:sz w:val="24"/>
          <w:szCs w:val="24"/>
        </w:rPr>
        <w:t>Une autre réserve par rapport à cet argument en faveur d’un ordre moral inhérent nous vient de Paul Ri</w:t>
      </w:r>
      <w:r w:rsidR="00B451C3">
        <w:rPr>
          <w:rFonts w:ascii="Times New Roman" w:hAnsi="Times New Roman" w:cs="Times New Roman"/>
          <w:sz w:val="24"/>
          <w:szCs w:val="24"/>
        </w:rPr>
        <w:t>cœur</w:t>
      </w:r>
      <w:r w:rsidRPr="00967063">
        <w:rPr>
          <w:rFonts w:ascii="Times New Roman" w:hAnsi="Times New Roman" w:cs="Times New Roman"/>
          <w:sz w:val="24"/>
          <w:szCs w:val="24"/>
        </w:rPr>
        <w:t xml:space="preserve">. Ce dernier nous dit que l’amour, donc le pardon aussi, ne doit pas être séparé de la justice. </w:t>
      </w:r>
      <w:r>
        <w:rPr>
          <w:rFonts w:ascii="Times New Roman" w:hAnsi="Times New Roman" w:cs="Times New Roman"/>
          <w:sz w:val="24"/>
          <w:szCs w:val="24"/>
        </w:rPr>
        <w:t>Au contraire, c’est la tâche de la philosophie et de la théologie de discerner sous l’équilibre réfléchi la secrète discordance entre la logique de surabondance et la logique d’équivalence</w:t>
      </w:r>
      <w:r>
        <w:rPr>
          <w:rStyle w:val="FootnoteReference"/>
          <w:rFonts w:ascii="Times New Roman" w:hAnsi="Times New Roman" w:cs="Times New Roman"/>
          <w:sz w:val="24"/>
          <w:szCs w:val="24"/>
        </w:rPr>
        <w:footnoteReference w:id="113"/>
      </w:r>
      <w:r>
        <w:rPr>
          <w:rFonts w:ascii="Times New Roman" w:hAnsi="Times New Roman" w:cs="Times New Roman"/>
          <w:sz w:val="24"/>
          <w:szCs w:val="24"/>
        </w:rPr>
        <w:t>. L’amour étant supra-moral, il n’entre dans la sphère pratique et éthique que sous l’égide de la justice</w:t>
      </w:r>
      <w:r>
        <w:rPr>
          <w:rStyle w:val="FootnoteReference"/>
          <w:rFonts w:ascii="Times New Roman" w:hAnsi="Times New Roman" w:cs="Times New Roman"/>
          <w:sz w:val="24"/>
          <w:szCs w:val="24"/>
        </w:rPr>
        <w:footnoteReference w:id="114"/>
      </w:r>
      <w:r>
        <w:rPr>
          <w:rFonts w:ascii="Times New Roman" w:hAnsi="Times New Roman" w:cs="Times New Roman"/>
          <w:sz w:val="24"/>
          <w:szCs w:val="24"/>
        </w:rPr>
        <w:t>. Selon Ri</w:t>
      </w:r>
      <w:r w:rsidR="00B451C3">
        <w:rPr>
          <w:rFonts w:ascii="Times New Roman" w:hAnsi="Times New Roman" w:cs="Times New Roman"/>
          <w:sz w:val="24"/>
          <w:szCs w:val="24"/>
        </w:rPr>
        <w:t>cœur</w:t>
      </w:r>
      <w:r>
        <w:rPr>
          <w:rFonts w:ascii="Times New Roman" w:hAnsi="Times New Roman" w:cs="Times New Roman"/>
          <w:sz w:val="24"/>
          <w:szCs w:val="24"/>
        </w:rPr>
        <w:t>, c’est seulement dans le jugement moral en situation que l’équilibre instable entre les deux logiques peut être instauré et protégé</w:t>
      </w:r>
      <w:r>
        <w:rPr>
          <w:rStyle w:val="FootnoteReference"/>
          <w:rFonts w:ascii="Times New Roman" w:hAnsi="Times New Roman" w:cs="Times New Roman"/>
          <w:sz w:val="24"/>
          <w:szCs w:val="24"/>
        </w:rPr>
        <w:footnoteReference w:id="115"/>
      </w:r>
      <w:r>
        <w:rPr>
          <w:rFonts w:ascii="Times New Roman" w:hAnsi="Times New Roman" w:cs="Times New Roman"/>
          <w:sz w:val="24"/>
          <w:szCs w:val="24"/>
        </w:rPr>
        <w:t>. Dans la vie quotidienne, et donc disons-nous dans le travail de la CVR, l’entreprise d’exprimer cet équilibre, au plan individuel, juridique, social et politique, est parfaitement praticable</w:t>
      </w:r>
      <w:r>
        <w:rPr>
          <w:rStyle w:val="FootnoteReference"/>
          <w:rFonts w:ascii="Times New Roman" w:hAnsi="Times New Roman" w:cs="Times New Roman"/>
          <w:sz w:val="24"/>
          <w:szCs w:val="24"/>
        </w:rPr>
        <w:footnoteReference w:id="116"/>
      </w:r>
      <w:r>
        <w:rPr>
          <w:rFonts w:ascii="Times New Roman" w:hAnsi="Times New Roman" w:cs="Times New Roman"/>
          <w:sz w:val="24"/>
          <w:szCs w:val="24"/>
        </w:rPr>
        <w:t xml:space="preserve">. Selon </w:t>
      </w:r>
      <w:r w:rsidR="00B451C3">
        <w:rPr>
          <w:rFonts w:ascii="Times New Roman" w:hAnsi="Times New Roman" w:cs="Times New Roman"/>
          <w:sz w:val="24"/>
          <w:szCs w:val="24"/>
        </w:rPr>
        <w:t>Ricœur</w:t>
      </w:r>
      <w:r>
        <w:rPr>
          <w:rFonts w:ascii="Times New Roman" w:hAnsi="Times New Roman" w:cs="Times New Roman"/>
          <w:sz w:val="24"/>
          <w:szCs w:val="24"/>
        </w:rPr>
        <w:t>, « l’incorporation tenace, pas à pas, d’un degré supplémentaire de compassion et de générosité dans nos codes</w:t>
      </w:r>
      <w:r w:rsidR="00B451C3">
        <w:rPr>
          <w:rFonts w:ascii="Times New Roman" w:hAnsi="Times New Roman" w:cs="Times New Roman"/>
          <w:sz w:val="24"/>
          <w:szCs w:val="24"/>
        </w:rPr>
        <w:t xml:space="preserve"> </w:t>
      </w:r>
      <w:r>
        <w:rPr>
          <w:rFonts w:ascii="Times New Roman" w:hAnsi="Times New Roman" w:cs="Times New Roman"/>
          <w:sz w:val="24"/>
          <w:szCs w:val="24"/>
        </w:rPr>
        <w:t>-</w:t>
      </w:r>
      <w:r w:rsidR="00B451C3">
        <w:rPr>
          <w:rFonts w:ascii="Times New Roman" w:hAnsi="Times New Roman" w:cs="Times New Roman"/>
          <w:sz w:val="24"/>
          <w:szCs w:val="24"/>
        </w:rPr>
        <w:t xml:space="preserve"> </w:t>
      </w:r>
      <w:r>
        <w:rPr>
          <w:rFonts w:ascii="Times New Roman" w:hAnsi="Times New Roman" w:cs="Times New Roman"/>
          <w:sz w:val="24"/>
          <w:szCs w:val="24"/>
        </w:rPr>
        <w:t>pénal et code de justice sociale</w:t>
      </w:r>
      <w:r w:rsidR="00B451C3">
        <w:rPr>
          <w:rFonts w:ascii="Times New Roman" w:hAnsi="Times New Roman" w:cs="Times New Roman"/>
          <w:sz w:val="24"/>
          <w:szCs w:val="24"/>
        </w:rPr>
        <w:t xml:space="preserve"> </w:t>
      </w:r>
      <w:r>
        <w:rPr>
          <w:rFonts w:ascii="Times New Roman" w:hAnsi="Times New Roman" w:cs="Times New Roman"/>
          <w:sz w:val="24"/>
          <w:szCs w:val="24"/>
        </w:rPr>
        <w:t>- constitue une tâche parfaitement raisonnable, bien que difficile et interminable. »</w:t>
      </w:r>
      <w:r>
        <w:rPr>
          <w:rStyle w:val="FootnoteReference"/>
          <w:rFonts w:ascii="Times New Roman" w:hAnsi="Times New Roman" w:cs="Times New Roman"/>
          <w:sz w:val="24"/>
          <w:szCs w:val="24"/>
        </w:rPr>
        <w:footnoteReference w:id="117"/>
      </w:r>
    </w:p>
    <w:p w14:paraId="570BC85D" w14:textId="77777777" w:rsidR="001905B0" w:rsidRPr="00967063" w:rsidRDefault="001905B0" w:rsidP="001905B0">
      <w:pPr>
        <w:spacing w:line="480" w:lineRule="auto"/>
        <w:ind w:firstLine="360"/>
        <w:jc w:val="both"/>
        <w:rPr>
          <w:rFonts w:ascii="Times New Roman" w:hAnsi="Times New Roman" w:cs="Times New Roman"/>
          <w:sz w:val="24"/>
          <w:szCs w:val="24"/>
        </w:rPr>
      </w:pPr>
      <w:r w:rsidRPr="00967063">
        <w:rPr>
          <w:rFonts w:ascii="Times New Roman" w:hAnsi="Times New Roman" w:cs="Times New Roman"/>
          <w:sz w:val="24"/>
          <w:szCs w:val="24"/>
        </w:rPr>
        <w:t>Pourtant, ce type d’argument présenté n’est pas accepté par tous les Burundais, en particulier ceux qui sont réfugiés à l’extérieur du pays, la société civile non gouvernementale ainsi que les vrais partis d’opposition. Selon eux, l’environnement de travail de la CVR n’offre pas de promesse.</w:t>
      </w:r>
    </w:p>
    <w:p w14:paraId="7A1271B2" w14:textId="77777777" w:rsidR="001905B0" w:rsidRPr="00967063" w:rsidRDefault="001905B0" w:rsidP="001905B0">
      <w:pPr>
        <w:pStyle w:val="Heading2"/>
        <w:ind w:left="360"/>
        <w:rPr>
          <w:rFonts w:ascii="Times New Roman" w:hAnsi="Times New Roman" w:cs="Times New Roman"/>
          <w:b w:val="0"/>
          <w:color w:val="auto"/>
          <w:sz w:val="24"/>
          <w:szCs w:val="24"/>
        </w:rPr>
      </w:pPr>
      <w:bookmarkStart w:id="47" w:name="_Toc536771120"/>
      <w:bookmarkStart w:id="48" w:name="_Toc3637619"/>
      <w:bookmarkStart w:id="49" w:name="_Toc6239817"/>
      <w:r w:rsidRPr="00967063">
        <w:rPr>
          <w:rFonts w:ascii="Times New Roman" w:hAnsi="Times New Roman" w:cs="Times New Roman"/>
          <w:color w:val="auto"/>
          <w:sz w:val="24"/>
          <w:szCs w:val="24"/>
        </w:rPr>
        <w:t>2. L’environnement de travail de la CVR n’offre pas de promesse</w:t>
      </w:r>
      <w:bookmarkEnd w:id="47"/>
      <w:bookmarkEnd w:id="48"/>
      <w:bookmarkEnd w:id="49"/>
    </w:p>
    <w:p w14:paraId="30A0B8AB" w14:textId="77777777" w:rsidR="001905B0" w:rsidRPr="00967063" w:rsidRDefault="001905B0" w:rsidP="001905B0">
      <w:pPr>
        <w:rPr>
          <w:rFonts w:ascii="Times New Roman" w:hAnsi="Times New Roman" w:cs="Times New Roman"/>
          <w:sz w:val="24"/>
          <w:szCs w:val="24"/>
        </w:rPr>
      </w:pPr>
    </w:p>
    <w:p w14:paraId="20D94D77" w14:textId="77777777" w:rsidR="001905B0" w:rsidRPr="00967063" w:rsidRDefault="001905B0" w:rsidP="001905B0">
      <w:pPr>
        <w:spacing w:line="480" w:lineRule="auto"/>
        <w:ind w:firstLine="708"/>
        <w:jc w:val="both"/>
        <w:rPr>
          <w:rFonts w:ascii="Times New Roman" w:hAnsi="Times New Roman" w:cs="Times New Roman"/>
          <w:sz w:val="24"/>
          <w:szCs w:val="24"/>
        </w:rPr>
      </w:pPr>
      <w:r w:rsidRPr="00967063">
        <w:rPr>
          <w:rFonts w:ascii="Times New Roman" w:hAnsi="Times New Roman" w:cs="Times New Roman"/>
          <w:sz w:val="24"/>
          <w:szCs w:val="24"/>
        </w:rPr>
        <w:t xml:space="preserve">Les Burundais qui soutiennent que le travail de la CRV n’offre aucune promesse mobilisent, eux-aussi, trois arguments que nous classons suivant leur base de justification : la justice transitionnelle, la déontologie et l’éthique de la discussion. </w:t>
      </w:r>
    </w:p>
    <w:p w14:paraId="4B7DA3CC" w14:textId="7888513A" w:rsidR="001905B0" w:rsidRPr="00967063" w:rsidRDefault="001905B0" w:rsidP="001905B0">
      <w:pPr>
        <w:spacing w:line="480" w:lineRule="auto"/>
        <w:ind w:firstLine="708"/>
        <w:jc w:val="both"/>
        <w:rPr>
          <w:rFonts w:ascii="Times New Roman" w:hAnsi="Times New Roman" w:cs="Times New Roman"/>
          <w:sz w:val="24"/>
          <w:szCs w:val="24"/>
        </w:rPr>
      </w:pPr>
      <w:r w:rsidRPr="00967063">
        <w:rPr>
          <w:rFonts w:ascii="Times New Roman" w:hAnsi="Times New Roman" w:cs="Times New Roman"/>
          <w:sz w:val="24"/>
          <w:szCs w:val="24"/>
        </w:rPr>
        <w:t>Le premier type d’argument, emprunté à la justice transitionnelle, dit d’abord que la justice des tribunaux permet la dissuasion et la prévention des crimes futurs. Elle permet la construction ou reconstruction d’un état de droit, du lien social et des institutions politiques.</w:t>
      </w:r>
      <w:r w:rsidR="001F213D">
        <w:rPr>
          <w:rStyle w:val="FootnoteReference"/>
          <w:rFonts w:ascii="Times New Roman" w:hAnsi="Times New Roman" w:cs="Times New Roman"/>
          <w:sz w:val="24"/>
          <w:szCs w:val="24"/>
        </w:rPr>
        <w:footnoteReference w:id="118"/>
      </w:r>
      <w:r w:rsidR="001F213D" w:rsidRPr="00967063">
        <w:rPr>
          <w:rFonts w:ascii="Times New Roman" w:hAnsi="Times New Roman" w:cs="Times New Roman"/>
          <w:sz w:val="24"/>
          <w:szCs w:val="24"/>
        </w:rPr>
        <w:t xml:space="preserve"> </w:t>
      </w:r>
      <w:r w:rsidRPr="00967063">
        <w:rPr>
          <w:rFonts w:ascii="Times New Roman" w:hAnsi="Times New Roman" w:cs="Times New Roman"/>
          <w:sz w:val="24"/>
          <w:szCs w:val="24"/>
        </w:rPr>
        <w:t>Le même type d’argument avance ensuite que « les juridictions jugeant les plus graves atteintes aux droits de l’homme » peuvent être considérées comme ayant « un rôle transitionnel à savoir : l’instruction du peuple, le développement d’une culture de responsabilité et d’une raison publique. »</w:t>
      </w:r>
      <w:r w:rsidR="001F213D">
        <w:rPr>
          <w:rStyle w:val="FootnoteReference"/>
          <w:rFonts w:ascii="Times New Roman" w:hAnsi="Times New Roman" w:cs="Times New Roman"/>
          <w:sz w:val="24"/>
          <w:szCs w:val="24"/>
        </w:rPr>
        <w:footnoteReference w:id="119"/>
      </w:r>
      <w:r w:rsidRPr="00967063">
        <w:rPr>
          <w:rFonts w:ascii="Times New Roman" w:hAnsi="Times New Roman" w:cs="Times New Roman"/>
          <w:sz w:val="24"/>
          <w:szCs w:val="24"/>
        </w:rPr>
        <w:t xml:space="preserve"> </w:t>
      </w:r>
    </w:p>
    <w:p w14:paraId="2E01B395" w14:textId="46F8EC14" w:rsidR="001905B0" w:rsidRPr="00967063" w:rsidRDefault="001905B0" w:rsidP="001905B0">
      <w:pPr>
        <w:spacing w:line="480" w:lineRule="auto"/>
        <w:ind w:firstLine="708"/>
        <w:jc w:val="both"/>
        <w:rPr>
          <w:rFonts w:ascii="Times New Roman" w:hAnsi="Times New Roman" w:cs="Times New Roman"/>
          <w:sz w:val="24"/>
          <w:szCs w:val="24"/>
        </w:rPr>
      </w:pPr>
      <w:r w:rsidRPr="00967063">
        <w:rPr>
          <w:rFonts w:ascii="Times New Roman" w:hAnsi="Times New Roman" w:cs="Times New Roman"/>
          <w:sz w:val="24"/>
          <w:szCs w:val="24"/>
        </w:rPr>
        <w:t xml:space="preserve">Le deuxième type d’argument est déontologique. Quelle crédibilité pourrait avoir une commission mise en place par un régime non crédible? Ne risque-t-elle pas d’être instrumentalisée? Ceux qui rejettent la moralité du processus expriment un soupçon : que le devoir de la CVR </w:t>
      </w:r>
      <w:r w:rsidR="00513947">
        <w:rPr>
          <w:rFonts w:ascii="Times New Roman" w:hAnsi="Times New Roman" w:cs="Times New Roman"/>
          <w:sz w:val="24"/>
          <w:szCs w:val="24"/>
        </w:rPr>
        <w:t>–</w:t>
      </w:r>
      <w:r w:rsidRPr="00967063">
        <w:rPr>
          <w:rFonts w:ascii="Times New Roman" w:hAnsi="Times New Roman" w:cs="Times New Roman"/>
          <w:sz w:val="24"/>
          <w:szCs w:val="24"/>
        </w:rPr>
        <w:t xml:space="preserve"> or</w:t>
      </w:r>
      <w:r w:rsidR="00513947">
        <w:rPr>
          <w:rFonts w:ascii="Times New Roman" w:hAnsi="Times New Roman" w:cs="Times New Roman"/>
          <w:sz w:val="24"/>
          <w:szCs w:val="24"/>
        </w:rPr>
        <w:t>,</w:t>
      </w:r>
      <w:r w:rsidRPr="00967063">
        <w:rPr>
          <w:rFonts w:ascii="Times New Roman" w:hAnsi="Times New Roman" w:cs="Times New Roman"/>
          <w:sz w:val="24"/>
          <w:szCs w:val="24"/>
        </w:rPr>
        <w:t xml:space="preserve"> le devoir chez Kant fonde l’éthique déontologique</w:t>
      </w:r>
      <w:r w:rsidRPr="00967063">
        <w:rPr>
          <w:rStyle w:val="FootnoteReference"/>
          <w:rFonts w:ascii="Times New Roman" w:hAnsi="Times New Roman" w:cs="Times New Roman"/>
          <w:sz w:val="24"/>
          <w:szCs w:val="24"/>
        </w:rPr>
        <w:footnoteReference w:id="120"/>
      </w:r>
      <w:r w:rsidR="00513947">
        <w:rPr>
          <w:rFonts w:ascii="Times New Roman" w:hAnsi="Times New Roman" w:cs="Times New Roman"/>
          <w:sz w:val="24"/>
          <w:szCs w:val="24"/>
        </w:rPr>
        <w:t xml:space="preserve"> –</w:t>
      </w:r>
      <w:r w:rsidRPr="00967063">
        <w:rPr>
          <w:rFonts w:ascii="Times New Roman" w:hAnsi="Times New Roman" w:cs="Times New Roman"/>
          <w:sz w:val="24"/>
          <w:szCs w:val="24"/>
        </w:rPr>
        <w:t xml:space="preserve"> ne s’impose pas absolument. Son impératif serait plutôt d’ordre hypothétique en ce sens que le travail de la CVR risque d’être évalué comme un moyen pour autre chose, à savoir sa conformité avec l’agenda du gouvernement. C’est en raison de ce soupçon,</w:t>
      </w:r>
      <w:r w:rsidR="00513947">
        <w:rPr>
          <w:rFonts w:ascii="Times New Roman" w:hAnsi="Times New Roman" w:cs="Times New Roman"/>
          <w:sz w:val="24"/>
          <w:szCs w:val="24"/>
        </w:rPr>
        <w:t xml:space="preserve"> à savoir</w:t>
      </w:r>
      <w:r w:rsidRPr="00967063">
        <w:rPr>
          <w:rFonts w:ascii="Times New Roman" w:hAnsi="Times New Roman" w:cs="Times New Roman"/>
          <w:sz w:val="24"/>
          <w:szCs w:val="24"/>
        </w:rPr>
        <w:t xml:space="preserve"> que le travail de la CVR soit là pour servir les intérêts du régime du CNDD-FDD, que les réfugiés, la société civile non gouvernementale et les partis d’opposition rejettent la moralité de tout le processus et de ses résultats. Dans les circonstances actuelles, la CVR selon eux est loin de prouver qu’elle obéit à l’impératif catégorique kantien : « Agis de telle sorte que tu traites l’humanité aussi bien dans ta personne que dans la personne de tout autre toujours en même temps comme une fin, et jamais simplement comme moyen ».</w:t>
      </w:r>
      <w:r w:rsidRPr="00967063">
        <w:rPr>
          <w:rStyle w:val="FootnoteReference"/>
          <w:rFonts w:ascii="Times New Roman" w:hAnsi="Times New Roman" w:cs="Times New Roman"/>
          <w:sz w:val="24"/>
          <w:szCs w:val="24"/>
        </w:rPr>
        <w:footnoteReference w:id="121"/>
      </w:r>
    </w:p>
    <w:p w14:paraId="1253393E" w14:textId="56858CC9" w:rsidR="001905B0" w:rsidRPr="00967063" w:rsidRDefault="001905B0" w:rsidP="001905B0">
      <w:pPr>
        <w:spacing w:line="480" w:lineRule="auto"/>
        <w:ind w:firstLine="708"/>
        <w:jc w:val="both"/>
        <w:rPr>
          <w:rFonts w:ascii="Times New Roman" w:hAnsi="Times New Roman" w:cs="Times New Roman"/>
          <w:sz w:val="24"/>
          <w:szCs w:val="24"/>
        </w:rPr>
      </w:pPr>
      <w:r w:rsidRPr="00967063">
        <w:rPr>
          <w:rFonts w:ascii="Times New Roman" w:hAnsi="Times New Roman" w:cs="Times New Roman"/>
          <w:sz w:val="24"/>
          <w:szCs w:val="24"/>
        </w:rPr>
        <w:t>Le troisième type d’argument emprunte à l’éthique de la discussion. Selon cet argument, on ne peut pas parler de processus de vérité et réconciliation dans une situation de distribution asymétrique des chances qui plus est, codifiée dans un système de normes. Le processus subirait en effet une violence symbolique et structurelle. Voici à ce propos ce que dit Ferry</w:t>
      </w:r>
      <w:r w:rsidR="00513947">
        <w:rPr>
          <w:rFonts w:ascii="Times New Roman" w:hAnsi="Times New Roman" w:cs="Times New Roman"/>
          <w:sz w:val="24"/>
          <w:szCs w:val="24"/>
        </w:rPr>
        <w:t> :</w:t>
      </w:r>
      <w:r w:rsidRPr="00967063">
        <w:rPr>
          <w:rFonts w:ascii="Times New Roman" w:hAnsi="Times New Roman" w:cs="Times New Roman"/>
          <w:sz w:val="24"/>
          <w:szCs w:val="24"/>
        </w:rPr>
        <w:t xml:space="preserve"> </w:t>
      </w:r>
    </w:p>
    <w:p w14:paraId="1DC7B865" w14:textId="77777777" w:rsidR="001905B0" w:rsidRPr="00967063" w:rsidRDefault="001905B0" w:rsidP="001905B0">
      <w:pPr>
        <w:spacing w:before="100" w:beforeAutospacing="1" w:after="100" w:afterAutospacing="1" w:line="240" w:lineRule="auto"/>
        <w:ind w:left="283"/>
        <w:jc w:val="both"/>
        <w:rPr>
          <w:rFonts w:ascii="Times New Roman" w:hAnsi="Times New Roman" w:cs="Times New Roman"/>
          <w:sz w:val="24"/>
          <w:szCs w:val="24"/>
        </w:rPr>
      </w:pPr>
      <w:r w:rsidRPr="00967063">
        <w:rPr>
          <w:rFonts w:ascii="Times New Roman" w:hAnsi="Times New Roman" w:cs="Times New Roman"/>
          <w:sz w:val="24"/>
          <w:szCs w:val="24"/>
        </w:rPr>
        <w:t>La violence structurelle réside dans le fait que la distribution asymétrique des chances et des besoins est codifiée dans un système de normes qui est respecté. Ce fait est évidemment soustrait à la discussion comme n’étant pas susceptible de faire l’objet d’un consensus. Il est ainsi institué selon un pseudo-compromis dont la légitimité est inséparable d’un effet de violence symbolique.</w:t>
      </w:r>
      <w:r w:rsidRPr="00967063">
        <w:rPr>
          <w:rStyle w:val="FootnoteReference"/>
          <w:rFonts w:ascii="Times New Roman" w:hAnsi="Times New Roman" w:cs="Times New Roman"/>
          <w:sz w:val="24"/>
          <w:szCs w:val="24"/>
        </w:rPr>
        <w:footnoteReference w:id="122"/>
      </w:r>
    </w:p>
    <w:p w14:paraId="11F9CF5D" w14:textId="77777777" w:rsidR="001905B0" w:rsidRPr="00967063" w:rsidRDefault="001905B0" w:rsidP="001905B0">
      <w:pPr>
        <w:spacing w:line="480" w:lineRule="auto"/>
        <w:ind w:firstLine="283"/>
        <w:jc w:val="both"/>
        <w:rPr>
          <w:rFonts w:ascii="Times New Roman" w:hAnsi="Times New Roman" w:cs="Times New Roman"/>
          <w:sz w:val="24"/>
          <w:szCs w:val="24"/>
        </w:rPr>
      </w:pPr>
      <w:r w:rsidRPr="00967063">
        <w:rPr>
          <w:rFonts w:ascii="Times New Roman" w:hAnsi="Times New Roman" w:cs="Times New Roman"/>
          <w:sz w:val="24"/>
          <w:szCs w:val="24"/>
        </w:rPr>
        <w:t>Selon cet argument, la CVR serait moralement justifiée, voire obligée de travailler à identifier la présence ou la non-présence d’un pseudo-compromis qui aurait un effet de violence symbolique</w:t>
      </w:r>
      <w:r w:rsidRPr="00967063">
        <w:rPr>
          <w:rStyle w:val="FootnoteReference"/>
          <w:rFonts w:ascii="Times New Roman" w:hAnsi="Times New Roman" w:cs="Times New Roman"/>
          <w:sz w:val="24"/>
          <w:szCs w:val="24"/>
        </w:rPr>
        <w:footnoteReference w:id="123"/>
      </w:r>
      <w:r w:rsidRPr="00967063">
        <w:rPr>
          <w:rFonts w:ascii="Times New Roman" w:hAnsi="Times New Roman" w:cs="Times New Roman"/>
          <w:sz w:val="24"/>
          <w:szCs w:val="24"/>
        </w:rPr>
        <w:t>. Pour cela, elle pourrait par exemple se guider sur les principes de la discussion que tous peuvent unanimement reconnaitre comme une norme universelle :</w:t>
      </w:r>
    </w:p>
    <w:p w14:paraId="3794E001" w14:textId="77777777" w:rsidR="001905B0" w:rsidRPr="00967063" w:rsidRDefault="001905B0" w:rsidP="001905B0">
      <w:pPr>
        <w:spacing w:line="240" w:lineRule="auto"/>
        <w:ind w:left="283"/>
        <w:jc w:val="both"/>
        <w:rPr>
          <w:rFonts w:ascii="Times New Roman" w:hAnsi="Times New Roman" w:cs="Times New Roman"/>
          <w:sz w:val="24"/>
          <w:szCs w:val="24"/>
        </w:rPr>
      </w:pPr>
      <w:r w:rsidRPr="00967063">
        <w:rPr>
          <w:rFonts w:ascii="Times New Roman" w:hAnsi="Times New Roman" w:cs="Times New Roman"/>
          <w:sz w:val="24"/>
          <w:szCs w:val="24"/>
        </w:rPr>
        <w:t>Au lieu d’imposer à tous les autres une maxime dont je veux qu’elle soit universelle, je dois soumettre ma maxime à tous les autres afin d’examiner par la discussion sa prétention à l’universalité. Ainsi s’opère un glissement : le centre de gravité ne réside plus dans ce que chacun peut souhaiter faire valoir sans être contredit comme étant une loi universelle, mais dans ce que tous peuvent unanimement reconnaitre comme une norme universelle</w:t>
      </w:r>
      <w:r w:rsidRPr="00967063">
        <w:rPr>
          <w:rStyle w:val="FootnoteReference"/>
          <w:rFonts w:ascii="Times New Roman" w:hAnsi="Times New Roman" w:cs="Times New Roman"/>
          <w:sz w:val="24"/>
          <w:szCs w:val="24"/>
        </w:rPr>
        <w:footnoteReference w:id="124"/>
      </w:r>
      <w:r w:rsidRPr="00967063">
        <w:rPr>
          <w:rFonts w:ascii="Times New Roman" w:hAnsi="Times New Roman" w:cs="Times New Roman"/>
          <w:sz w:val="24"/>
          <w:szCs w:val="24"/>
        </w:rPr>
        <w:t>.</w:t>
      </w:r>
    </w:p>
    <w:p w14:paraId="65624933" w14:textId="77777777" w:rsidR="001905B0" w:rsidRPr="00967063" w:rsidRDefault="001905B0" w:rsidP="001905B0">
      <w:pPr>
        <w:spacing w:line="480" w:lineRule="auto"/>
        <w:ind w:firstLine="283"/>
        <w:jc w:val="both"/>
        <w:rPr>
          <w:rFonts w:ascii="Times New Roman" w:hAnsi="Times New Roman" w:cs="Times New Roman"/>
          <w:sz w:val="24"/>
          <w:szCs w:val="24"/>
        </w:rPr>
      </w:pPr>
    </w:p>
    <w:p w14:paraId="069F0445" w14:textId="5968A435" w:rsidR="001905B0" w:rsidRPr="00967063" w:rsidRDefault="001905B0" w:rsidP="001905B0">
      <w:pPr>
        <w:spacing w:line="480" w:lineRule="auto"/>
        <w:ind w:firstLine="283"/>
        <w:jc w:val="both"/>
        <w:rPr>
          <w:rFonts w:ascii="Times New Roman" w:hAnsi="Times New Roman" w:cs="Times New Roman"/>
          <w:sz w:val="24"/>
          <w:szCs w:val="24"/>
        </w:rPr>
      </w:pPr>
      <w:r w:rsidRPr="00967063">
        <w:rPr>
          <w:rFonts w:ascii="Times New Roman" w:hAnsi="Times New Roman" w:cs="Times New Roman"/>
          <w:sz w:val="24"/>
          <w:szCs w:val="24"/>
        </w:rPr>
        <w:t xml:space="preserve">Comme </w:t>
      </w:r>
      <w:r w:rsidR="00513947">
        <w:rPr>
          <w:rFonts w:ascii="Times New Roman" w:hAnsi="Times New Roman" w:cs="Times New Roman"/>
          <w:sz w:val="24"/>
          <w:szCs w:val="24"/>
        </w:rPr>
        <w:t>nous pouvons</w:t>
      </w:r>
      <w:r w:rsidRPr="00967063">
        <w:rPr>
          <w:rFonts w:ascii="Times New Roman" w:hAnsi="Times New Roman" w:cs="Times New Roman"/>
          <w:sz w:val="24"/>
          <w:szCs w:val="24"/>
        </w:rPr>
        <w:t xml:space="preserve"> le voir, nous </w:t>
      </w:r>
      <w:r w:rsidR="00513947">
        <w:rPr>
          <w:rFonts w:ascii="Times New Roman" w:hAnsi="Times New Roman" w:cs="Times New Roman"/>
          <w:sz w:val="24"/>
          <w:szCs w:val="24"/>
        </w:rPr>
        <w:t>sommes face à</w:t>
      </w:r>
      <w:r w:rsidRPr="00967063">
        <w:rPr>
          <w:rFonts w:ascii="Times New Roman" w:hAnsi="Times New Roman" w:cs="Times New Roman"/>
          <w:sz w:val="24"/>
          <w:szCs w:val="24"/>
        </w:rPr>
        <w:t xml:space="preserve"> deux registres de justification valables. Un premier qui insiste sur la responsabilité morale d’accompagner le processus quel que soit l’état de dégradation du politique. Et un second qui insiste sur la responsabilité morale de créer un environnement favorable permettant d’assurer que le processus ne subisse pas de violence symbolique. Ils mettent en cause deux valeurs importantes, à savoir : le bien pour le premier type d’argument et le juste pour second type d’argument. A présent, c’est le moment de donner notre position, tout en répondant à notre question de recherche. </w:t>
      </w:r>
    </w:p>
    <w:p w14:paraId="1D737D45" w14:textId="77777777" w:rsidR="001905B0" w:rsidRPr="00967063" w:rsidRDefault="001905B0" w:rsidP="001905B0">
      <w:pPr>
        <w:rPr>
          <w:rFonts w:ascii="Times New Roman" w:eastAsia="Times New Roman" w:hAnsi="Times New Roman" w:cs="Times New Roman"/>
          <w:b/>
          <w:bCs/>
          <w:kern w:val="36"/>
          <w:sz w:val="24"/>
          <w:szCs w:val="24"/>
          <w:lang w:eastAsia="fr-CA"/>
        </w:rPr>
      </w:pPr>
      <w:r w:rsidRPr="00967063">
        <w:rPr>
          <w:rFonts w:ascii="Times New Roman" w:hAnsi="Times New Roman" w:cs="Times New Roman"/>
          <w:sz w:val="24"/>
          <w:szCs w:val="24"/>
        </w:rPr>
        <w:br w:type="page"/>
      </w:r>
    </w:p>
    <w:p w14:paraId="72998E5D" w14:textId="77777777" w:rsidR="001905B0" w:rsidRPr="00967063" w:rsidRDefault="001905B0" w:rsidP="001905B0">
      <w:pPr>
        <w:pStyle w:val="Heading1"/>
        <w:jc w:val="both"/>
        <w:rPr>
          <w:sz w:val="24"/>
          <w:szCs w:val="24"/>
        </w:rPr>
      </w:pPr>
      <w:bookmarkStart w:id="50" w:name="_Toc3637620"/>
      <w:bookmarkStart w:id="51" w:name="_Toc6239818"/>
      <w:r w:rsidRPr="00967063">
        <w:rPr>
          <w:sz w:val="24"/>
          <w:szCs w:val="24"/>
        </w:rPr>
        <w:t>Chapitre IV : Contribution de l’éthique reconstructive au travail de la CVR</w:t>
      </w:r>
      <w:bookmarkEnd w:id="50"/>
      <w:bookmarkEnd w:id="51"/>
    </w:p>
    <w:p w14:paraId="07F77EDF" w14:textId="77777777" w:rsidR="001905B0" w:rsidRPr="00967063" w:rsidRDefault="001905B0" w:rsidP="001905B0">
      <w:pPr>
        <w:spacing w:line="480" w:lineRule="auto"/>
        <w:ind w:firstLine="708"/>
        <w:jc w:val="both"/>
        <w:rPr>
          <w:rFonts w:ascii="Times New Roman" w:hAnsi="Times New Roman" w:cs="Times New Roman"/>
          <w:sz w:val="24"/>
          <w:szCs w:val="24"/>
        </w:rPr>
      </w:pPr>
      <w:r w:rsidRPr="00967063">
        <w:rPr>
          <w:rFonts w:ascii="Times New Roman" w:hAnsi="Times New Roman" w:cs="Times New Roman"/>
          <w:sz w:val="24"/>
          <w:szCs w:val="24"/>
        </w:rPr>
        <w:t>Notre question de recherche a été formulée comme suit : comment l’Éthique reconstructive de Jean-Marc Ferry peut-elle contribuer aussi bien au travail de la CVR qu’à la levée des blocages institutionnels en vue de la réconciliation au Burundi ? Le but de ce chapitre est d’y répondre. Pour ce faire, nous prenons d’emblée le parti que la CVR porte une responsabilité morale dans le fait d’accompagner le processus de vérité et réconciliation. Ensuite, nous mettons en lumière trois contributions possibles de l’éthique reconstructive : exposer le savoir tragique, instituer une communauté d’existence substantielle et révéler le mal structurel.</w:t>
      </w:r>
    </w:p>
    <w:p w14:paraId="3CCAF8DE" w14:textId="77777777" w:rsidR="001905B0" w:rsidRPr="00967063" w:rsidRDefault="001905B0" w:rsidP="001905B0">
      <w:pPr>
        <w:pStyle w:val="NoSpacing"/>
        <w:numPr>
          <w:ilvl w:val="0"/>
          <w:numId w:val="22"/>
        </w:numPr>
        <w:spacing w:line="480" w:lineRule="auto"/>
        <w:jc w:val="both"/>
        <w:outlineLvl w:val="1"/>
        <w:rPr>
          <w:rFonts w:ascii="Times New Roman" w:hAnsi="Times New Roman" w:cs="Times New Roman"/>
          <w:sz w:val="24"/>
          <w:szCs w:val="24"/>
        </w:rPr>
      </w:pPr>
      <w:bookmarkStart w:id="52" w:name="_Toc3637621"/>
      <w:bookmarkStart w:id="53" w:name="_Toc6239819"/>
      <w:r w:rsidRPr="00967063">
        <w:rPr>
          <w:rFonts w:ascii="Times New Roman" w:hAnsi="Times New Roman" w:cs="Times New Roman"/>
          <w:sz w:val="24"/>
          <w:szCs w:val="24"/>
        </w:rPr>
        <w:t>La CVR porte une responsabilité morale d’accompagner le processus de vérité et réconciliation</w:t>
      </w:r>
      <w:bookmarkEnd w:id="52"/>
      <w:bookmarkEnd w:id="53"/>
      <w:r w:rsidRPr="00967063">
        <w:rPr>
          <w:rFonts w:ascii="Times New Roman" w:hAnsi="Times New Roman" w:cs="Times New Roman"/>
          <w:sz w:val="24"/>
          <w:szCs w:val="24"/>
        </w:rPr>
        <w:t xml:space="preserve"> </w:t>
      </w:r>
    </w:p>
    <w:p w14:paraId="51BA3DE8" w14:textId="1E70769F" w:rsidR="001905B0" w:rsidRPr="00967063" w:rsidRDefault="001905B0" w:rsidP="001905B0">
      <w:pPr>
        <w:spacing w:line="480" w:lineRule="auto"/>
        <w:ind w:firstLine="708"/>
        <w:jc w:val="both"/>
        <w:rPr>
          <w:rFonts w:ascii="Times New Roman" w:hAnsi="Times New Roman" w:cs="Times New Roman"/>
          <w:sz w:val="24"/>
          <w:szCs w:val="24"/>
        </w:rPr>
      </w:pPr>
      <w:r w:rsidRPr="00967063">
        <w:rPr>
          <w:rFonts w:ascii="Times New Roman" w:hAnsi="Times New Roman" w:cs="Times New Roman"/>
          <w:sz w:val="24"/>
          <w:szCs w:val="24"/>
        </w:rPr>
        <w:t>Dans son témoignage, Monseigneur Jean-Louis, président de la CVR (entre 2014 et 2018) dit que les Burundais « n’ont pas attendu la mise sur pied de la CVR pour accorder ou demander le pardon »</w:t>
      </w:r>
      <w:r w:rsidRPr="00967063">
        <w:rPr>
          <w:rStyle w:val="FootnoteReference"/>
          <w:rFonts w:ascii="Times New Roman" w:hAnsi="Times New Roman" w:cs="Times New Roman"/>
          <w:sz w:val="24"/>
          <w:szCs w:val="24"/>
        </w:rPr>
        <w:footnoteReference w:id="125"/>
      </w:r>
      <w:r w:rsidRPr="00967063">
        <w:rPr>
          <w:rFonts w:ascii="Times New Roman" w:hAnsi="Times New Roman" w:cs="Times New Roman"/>
          <w:sz w:val="24"/>
          <w:szCs w:val="24"/>
        </w:rPr>
        <w:t xml:space="preserve">. Un tel témoignage, dans une perspective arendtienne, s’explique. </w:t>
      </w:r>
    </w:p>
    <w:p w14:paraId="70E5BE47" w14:textId="186BB7D5" w:rsidR="001905B0" w:rsidRPr="00967063" w:rsidRDefault="001905B0" w:rsidP="001905B0">
      <w:pPr>
        <w:spacing w:line="480" w:lineRule="auto"/>
        <w:ind w:firstLine="708"/>
        <w:jc w:val="both"/>
        <w:rPr>
          <w:rFonts w:ascii="Times New Roman" w:hAnsi="Times New Roman" w:cs="Times New Roman"/>
          <w:sz w:val="24"/>
          <w:szCs w:val="24"/>
        </w:rPr>
      </w:pPr>
      <w:r w:rsidRPr="00967063">
        <w:rPr>
          <w:rFonts w:ascii="Times New Roman" w:hAnsi="Times New Roman" w:cs="Times New Roman"/>
          <w:sz w:val="24"/>
          <w:szCs w:val="24"/>
        </w:rPr>
        <w:t>C’est qu’accorder le pardon ou le demander relève de l’action. Autrement dit</w:t>
      </w:r>
      <w:r w:rsidR="00B24438">
        <w:rPr>
          <w:rFonts w:ascii="Times New Roman" w:hAnsi="Times New Roman" w:cs="Times New Roman"/>
          <w:sz w:val="24"/>
          <w:szCs w:val="24"/>
        </w:rPr>
        <w:t>,</w:t>
      </w:r>
      <w:r w:rsidRPr="00967063">
        <w:rPr>
          <w:rFonts w:ascii="Times New Roman" w:hAnsi="Times New Roman" w:cs="Times New Roman"/>
          <w:sz w:val="24"/>
          <w:szCs w:val="24"/>
        </w:rPr>
        <w:t xml:space="preserve"> ces gestes sont des formes d’action en tant que force opérative </w:t>
      </w:r>
      <w:r w:rsidRPr="00967063">
        <w:rPr>
          <w:rFonts w:ascii="Times New Roman" w:hAnsi="Times New Roman" w:cs="Times New Roman"/>
          <w:sz w:val="24"/>
          <w:szCs w:val="24"/>
          <w:lang w:val="fr"/>
        </w:rPr>
        <w:t>capable de poser dans le monde des déterminations véritablement nouvelles</w:t>
      </w:r>
      <w:r w:rsidR="001F213D">
        <w:rPr>
          <w:rStyle w:val="FootnoteReference"/>
          <w:rFonts w:ascii="Times New Roman" w:hAnsi="Times New Roman" w:cs="Times New Roman"/>
          <w:sz w:val="24"/>
          <w:szCs w:val="24"/>
          <w:lang w:val="fr"/>
        </w:rPr>
        <w:footnoteReference w:id="126"/>
      </w:r>
      <w:r w:rsidRPr="00967063">
        <w:rPr>
          <w:rFonts w:ascii="Times New Roman" w:hAnsi="Times New Roman" w:cs="Times New Roman"/>
          <w:sz w:val="24"/>
          <w:szCs w:val="24"/>
          <w:lang w:val="fr"/>
        </w:rPr>
        <w:t>.</w:t>
      </w:r>
      <w:r w:rsidRPr="00967063">
        <w:rPr>
          <w:rFonts w:ascii="Times New Roman" w:hAnsi="Times New Roman" w:cs="Times New Roman"/>
          <w:sz w:val="24"/>
          <w:szCs w:val="24"/>
        </w:rPr>
        <w:t xml:space="preserve"> N’importe quand et n’importe où</w:t>
      </w:r>
      <w:r w:rsidR="000E6C77">
        <w:rPr>
          <w:rFonts w:ascii="Times New Roman" w:hAnsi="Times New Roman" w:cs="Times New Roman"/>
          <w:sz w:val="24"/>
          <w:szCs w:val="24"/>
        </w:rPr>
        <w:t>,</w:t>
      </w:r>
      <w:r w:rsidRPr="00967063">
        <w:rPr>
          <w:rFonts w:ascii="Times New Roman" w:hAnsi="Times New Roman" w:cs="Times New Roman"/>
          <w:sz w:val="24"/>
          <w:szCs w:val="24"/>
        </w:rPr>
        <w:t xml:space="preserve"> on peut observer ce pouvoir « d’agir, de déclencher nous-même des processus »</w:t>
      </w:r>
      <w:r w:rsidRPr="00967063">
        <w:rPr>
          <w:rStyle w:val="FootnoteReference"/>
          <w:rFonts w:ascii="Times New Roman" w:hAnsi="Times New Roman" w:cs="Times New Roman"/>
          <w:sz w:val="24"/>
          <w:szCs w:val="24"/>
        </w:rPr>
        <w:footnoteReference w:id="127"/>
      </w:r>
      <w:r w:rsidRPr="00967063">
        <w:rPr>
          <w:rFonts w:ascii="Times New Roman" w:hAnsi="Times New Roman" w:cs="Times New Roman"/>
          <w:sz w:val="24"/>
          <w:szCs w:val="24"/>
        </w:rPr>
        <w:t xml:space="preserve"> dont l’issue est </w:t>
      </w:r>
      <w:r w:rsidRPr="00967063">
        <w:rPr>
          <w:rFonts w:ascii="Times New Roman" w:hAnsi="Times New Roman" w:cs="Times New Roman"/>
          <w:sz w:val="24"/>
          <w:szCs w:val="24"/>
          <w:lang w:val="fr"/>
        </w:rPr>
        <w:t>imprévisible</w:t>
      </w:r>
      <w:r w:rsidR="001F213D">
        <w:rPr>
          <w:rStyle w:val="FootnoteReference"/>
          <w:rFonts w:ascii="Times New Roman" w:hAnsi="Times New Roman" w:cs="Times New Roman"/>
          <w:sz w:val="24"/>
          <w:szCs w:val="24"/>
          <w:lang w:val="fr"/>
        </w:rPr>
        <w:footnoteReference w:id="128"/>
      </w:r>
      <w:r w:rsidRPr="00967063">
        <w:rPr>
          <w:rFonts w:ascii="Times New Roman" w:hAnsi="Times New Roman" w:cs="Times New Roman"/>
          <w:sz w:val="24"/>
          <w:szCs w:val="24"/>
          <w:lang w:val="fr"/>
        </w:rPr>
        <w:t xml:space="preserve">. De plus, il nous semble que le processus de vérité et réconciliation peut échapper à l’instrumentalisation puisque « l’instrumentalisation de l’action et la dégradation de la politique devenue </w:t>
      </w:r>
      <w:r w:rsidRPr="00967063">
        <w:rPr>
          <w:rFonts w:ascii="Times New Roman" w:hAnsi="Times New Roman" w:cs="Times New Roman"/>
          <w:sz w:val="24"/>
          <w:szCs w:val="24"/>
        </w:rPr>
        <w:t>moyen en vue d’autre chose n’ont évidemment pas réussi à supprimer tout à fait l’action »</w:t>
      </w:r>
      <w:r w:rsidR="001F213D">
        <w:rPr>
          <w:rStyle w:val="FootnoteReference"/>
          <w:rFonts w:ascii="Times New Roman" w:hAnsi="Times New Roman" w:cs="Times New Roman"/>
          <w:sz w:val="24"/>
          <w:szCs w:val="24"/>
        </w:rPr>
        <w:footnoteReference w:id="129"/>
      </w:r>
      <w:r w:rsidR="00B24438">
        <w:rPr>
          <w:rFonts w:ascii="Times New Roman" w:hAnsi="Times New Roman" w:cs="Times New Roman"/>
          <w:sz w:val="24"/>
          <w:szCs w:val="24"/>
        </w:rPr>
        <w:t>.</w:t>
      </w:r>
      <w:r w:rsidRPr="00967063">
        <w:rPr>
          <w:rFonts w:ascii="Times New Roman" w:hAnsi="Times New Roman" w:cs="Times New Roman"/>
          <w:sz w:val="24"/>
          <w:szCs w:val="24"/>
        </w:rPr>
        <w:t xml:space="preserve"> En d’autres mots, les citoyens ont conservé leur liberté d’agir, de pardonner et de promettre.</w:t>
      </w:r>
    </w:p>
    <w:p w14:paraId="38C19132" w14:textId="3AE7570B" w:rsidR="001905B0" w:rsidRPr="00967063" w:rsidRDefault="001905B0" w:rsidP="001905B0">
      <w:pPr>
        <w:pStyle w:val="NoSpacing"/>
        <w:spacing w:line="480" w:lineRule="auto"/>
        <w:ind w:firstLine="708"/>
        <w:jc w:val="both"/>
        <w:rPr>
          <w:rFonts w:ascii="Times New Roman" w:hAnsi="Times New Roman" w:cs="Times New Roman"/>
          <w:sz w:val="24"/>
          <w:szCs w:val="24"/>
        </w:rPr>
      </w:pPr>
      <w:r w:rsidRPr="00967063">
        <w:rPr>
          <w:rFonts w:ascii="Times New Roman" w:hAnsi="Times New Roman" w:cs="Times New Roman"/>
          <w:sz w:val="24"/>
          <w:szCs w:val="24"/>
        </w:rPr>
        <w:t>Or, avons-nous vu, ces processus sont fragiles en raison de leur imprévisibilité et de leur irréversibilité. Nous nous intéressons ici à l’imprévisibilité</w:t>
      </w:r>
      <w:r w:rsidR="00853934">
        <w:rPr>
          <w:rFonts w:ascii="Times New Roman" w:hAnsi="Times New Roman" w:cs="Times New Roman"/>
          <w:sz w:val="24"/>
          <w:szCs w:val="24"/>
        </w:rPr>
        <w:t xml:space="preserve">. Et la raison en est que nous prenons au sérieux le fait rapporté selon lequel </w:t>
      </w:r>
      <w:r w:rsidRPr="00967063">
        <w:rPr>
          <w:rFonts w:ascii="Times New Roman" w:hAnsi="Times New Roman" w:cs="Times New Roman"/>
          <w:sz w:val="24"/>
          <w:szCs w:val="24"/>
        </w:rPr>
        <w:t xml:space="preserve">des Burundais demandent et s’accordent le pardon sans tenir compte de la crise. </w:t>
      </w:r>
      <w:r w:rsidR="005A3889">
        <w:rPr>
          <w:rFonts w:ascii="Times New Roman" w:hAnsi="Times New Roman" w:cs="Times New Roman"/>
          <w:sz w:val="24"/>
          <w:szCs w:val="24"/>
        </w:rPr>
        <w:t>En termes arendtiens, cela signifie qu’il y a des Burundais qui sont en mode action, c’est-à-dire qui déclenchent des processus imprévisibles. Or, s</w:t>
      </w:r>
      <w:r w:rsidRPr="00967063">
        <w:rPr>
          <w:rFonts w:ascii="Times New Roman" w:hAnsi="Times New Roman" w:cs="Times New Roman"/>
          <w:sz w:val="24"/>
          <w:szCs w:val="24"/>
        </w:rPr>
        <w:t xml:space="preserve">elon Hannah Arendt, </w:t>
      </w:r>
      <w:r w:rsidR="005A3889">
        <w:rPr>
          <w:rFonts w:ascii="Times New Roman" w:hAnsi="Times New Roman" w:cs="Times New Roman"/>
          <w:sz w:val="24"/>
          <w:szCs w:val="24"/>
        </w:rPr>
        <w:t xml:space="preserve">cette </w:t>
      </w:r>
      <w:r w:rsidRPr="00967063">
        <w:rPr>
          <w:rFonts w:ascii="Times New Roman" w:hAnsi="Times New Roman" w:cs="Times New Roman"/>
          <w:sz w:val="24"/>
          <w:szCs w:val="24"/>
        </w:rPr>
        <w:t xml:space="preserve">imprévisibilité a une double nature. </w:t>
      </w:r>
      <w:r w:rsidR="005A3889">
        <w:rPr>
          <w:rFonts w:ascii="Times New Roman" w:hAnsi="Times New Roman" w:cs="Times New Roman"/>
          <w:sz w:val="24"/>
          <w:szCs w:val="24"/>
        </w:rPr>
        <w:t>E</w:t>
      </w:r>
      <w:r w:rsidR="005A3889" w:rsidRPr="00967063">
        <w:rPr>
          <w:rFonts w:ascii="Times New Roman" w:hAnsi="Times New Roman" w:cs="Times New Roman"/>
          <w:sz w:val="24"/>
          <w:szCs w:val="24"/>
        </w:rPr>
        <w:t xml:space="preserve">lle </w:t>
      </w:r>
      <w:r w:rsidR="005A3889">
        <w:rPr>
          <w:rFonts w:ascii="Times New Roman" w:hAnsi="Times New Roman" w:cs="Times New Roman"/>
          <w:sz w:val="24"/>
          <w:szCs w:val="24"/>
        </w:rPr>
        <w:t xml:space="preserve">signifie d’abord </w:t>
      </w:r>
      <w:r w:rsidRPr="00967063">
        <w:rPr>
          <w:rFonts w:ascii="Times New Roman" w:hAnsi="Times New Roman" w:cs="Times New Roman"/>
          <w:sz w:val="24"/>
          <w:szCs w:val="24"/>
        </w:rPr>
        <w:t>que nous ne pouvons jamais garantir aujourd’hui qui nous seron</w:t>
      </w:r>
      <w:r w:rsidR="00B24438">
        <w:rPr>
          <w:rFonts w:ascii="Times New Roman" w:hAnsi="Times New Roman" w:cs="Times New Roman"/>
          <w:sz w:val="24"/>
          <w:szCs w:val="24"/>
        </w:rPr>
        <w:t>s</w:t>
      </w:r>
      <w:r w:rsidRPr="00967063">
        <w:rPr>
          <w:rFonts w:ascii="Times New Roman" w:hAnsi="Times New Roman" w:cs="Times New Roman"/>
          <w:sz w:val="24"/>
          <w:szCs w:val="24"/>
        </w:rPr>
        <w:t xml:space="preserve"> demain</w:t>
      </w:r>
      <w:r w:rsidR="005A3889">
        <w:rPr>
          <w:rFonts w:ascii="Times New Roman" w:hAnsi="Times New Roman" w:cs="Times New Roman"/>
          <w:sz w:val="24"/>
          <w:szCs w:val="24"/>
        </w:rPr>
        <w:t xml:space="preserve">. </w:t>
      </w:r>
      <w:r w:rsidR="00444ECB">
        <w:rPr>
          <w:rFonts w:ascii="Times New Roman" w:hAnsi="Times New Roman" w:cs="Times New Roman"/>
          <w:sz w:val="24"/>
          <w:szCs w:val="24"/>
        </w:rPr>
        <w:t xml:space="preserve">Et </w:t>
      </w:r>
      <w:r w:rsidR="005A3889">
        <w:rPr>
          <w:rFonts w:ascii="Times New Roman" w:hAnsi="Times New Roman" w:cs="Times New Roman"/>
          <w:sz w:val="24"/>
          <w:szCs w:val="24"/>
        </w:rPr>
        <w:t>ensuite que nous sommes incapables de</w:t>
      </w:r>
      <w:r w:rsidRPr="00967063">
        <w:rPr>
          <w:rFonts w:ascii="Times New Roman" w:hAnsi="Times New Roman" w:cs="Times New Roman"/>
          <w:sz w:val="24"/>
          <w:szCs w:val="24"/>
        </w:rPr>
        <w:t xml:space="preserve"> prédire les conséquences de nos actes. </w:t>
      </w:r>
      <w:r w:rsidR="00444ECB">
        <w:rPr>
          <w:rFonts w:ascii="Times New Roman" w:hAnsi="Times New Roman" w:cs="Times New Roman"/>
          <w:sz w:val="24"/>
          <w:szCs w:val="24"/>
        </w:rPr>
        <w:t xml:space="preserve">Or </w:t>
      </w:r>
      <w:r w:rsidR="00444ECB" w:rsidRPr="00967063">
        <w:rPr>
          <w:rFonts w:ascii="Times New Roman" w:hAnsi="Times New Roman" w:cs="Times New Roman"/>
          <w:sz w:val="24"/>
          <w:szCs w:val="24"/>
        </w:rPr>
        <w:t>la promesse</w:t>
      </w:r>
      <w:r w:rsidR="00444ECB">
        <w:rPr>
          <w:rFonts w:ascii="Times New Roman" w:hAnsi="Times New Roman" w:cs="Times New Roman"/>
          <w:sz w:val="24"/>
          <w:szCs w:val="24"/>
        </w:rPr>
        <w:t>,</w:t>
      </w:r>
      <w:r w:rsidR="00444ECB" w:rsidRPr="00967063">
        <w:rPr>
          <w:rFonts w:ascii="Times New Roman" w:hAnsi="Times New Roman" w:cs="Times New Roman"/>
          <w:sz w:val="24"/>
          <w:szCs w:val="24"/>
        </w:rPr>
        <w:t xml:space="preserve"> </w:t>
      </w:r>
      <w:r w:rsidR="00444ECB">
        <w:rPr>
          <w:rFonts w:ascii="Times New Roman" w:hAnsi="Times New Roman" w:cs="Times New Roman"/>
          <w:sz w:val="24"/>
          <w:szCs w:val="24"/>
        </w:rPr>
        <w:t>c</w:t>
      </w:r>
      <w:r w:rsidRPr="00967063">
        <w:rPr>
          <w:rFonts w:ascii="Times New Roman" w:hAnsi="Times New Roman" w:cs="Times New Roman"/>
          <w:sz w:val="24"/>
          <w:szCs w:val="24"/>
        </w:rPr>
        <w:t xml:space="preserve">omme l’explique Arendt, tente </w:t>
      </w:r>
      <w:r w:rsidR="00517476">
        <w:rPr>
          <w:rFonts w:ascii="Times New Roman" w:hAnsi="Times New Roman" w:cs="Times New Roman"/>
          <w:sz w:val="24"/>
          <w:szCs w:val="24"/>
        </w:rPr>
        <w:t xml:space="preserve">de </w:t>
      </w:r>
      <w:r w:rsidRPr="00967063">
        <w:rPr>
          <w:rFonts w:ascii="Times New Roman" w:hAnsi="Times New Roman" w:cs="Times New Roman"/>
          <w:sz w:val="24"/>
          <w:szCs w:val="24"/>
        </w:rPr>
        <w:t>répondre à cette fragilité :</w:t>
      </w:r>
    </w:p>
    <w:p w14:paraId="74EBF81D" w14:textId="2002C62B" w:rsidR="001905B0" w:rsidRPr="00967063" w:rsidRDefault="001905B0" w:rsidP="001905B0">
      <w:pPr>
        <w:pStyle w:val="NoSpacing"/>
        <w:ind w:left="283"/>
        <w:jc w:val="both"/>
        <w:rPr>
          <w:rFonts w:ascii="Times New Roman" w:hAnsi="Times New Roman" w:cs="Times New Roman"/>
          <w:sz w:val="24"/>
          <w:szCs w:val="24"/>
        </w:rPr>
      </w:pPr>
      <w:r w:rsidRPr="00967063">
        <w:rPr>
          <w:rFonts w:ascii="Times New Roman" w:hAnsi="Times New Roman" w:cs="Times New Roman"/>
          <w:sz w:val="24"/>
          <w:szCs w:val="24"/>
        </w:rPr>
        <w:t>L’imprévisibilité que l’acte de promettre dissipe au moins partiellement est d’une nature double : elle vient simultanément des ténèbres du cœur humains, c’est-à-dire de la faiblesse fondamentale des hommes qui ne peuvent jamais garantir aujourd’hui qui ils seront demain. Elle vient aussi de l’impossibilité de prédire les conséquences d’un acte dans une communauté d’égaux où tous ont la même faculté d’agir.</w:t>
      </w:r>
      <w:r w:rsidR="001F213D">
        <w:rPr>
          <w:rStyle w:val="FootnoteReference"/>
          <w:rFonts w:ascii="Times New Roman" w:hAnsi="Times New Roman" w:cs="Times New Roman"/>
          <w:sz w:val="24"/>
          <w:szCs w:val="24"/>
        </w:rPr>
        <w:footnoteReference w:id="130"/>
      </w:r>
    </w:p>
    <w:p w14:paraId="1B9A5F48" w14:textId="77777777" w:rsidR="001905B0" w:rsidRPr="00967063" w:rsidRDefault="001905B0" w:rsidP="001905B0">
      <w:pPr>
        <w:pStyle w:val="NoSpacing"/>
        <w:ind w:left="283"/>
        <w:jc w:val="both"/>
        <w:rPr>
          <w:rFonts w:ascii="Times New Roman" w:hAnsi="Times New Roman" w:cs="Times New Roman"/>
          <w:sz w:val="24"/>
          <w:szCs w:val="24"/>
        </w:rPr>
      </w:pPr>
    </w:p>
    <w:p w14:paraId="0C46129E" w14:textId="70B6ACB1" w:rsidR="001905B0" w:rsidRPr="00967063" w:rsidRDefault="001905B0" w:rsidP="001905B0">
      <w:pPr>
        <w:pStyle w:val="NoSpacing"/>
        <w:spacing w:line="480" w:lineRule="auto"/>
        <w:ind w:firstLine="708"/>
        <w:jc w:val="both"/>
        <w:rPr>
          <w:rFonts w:ascii="Times New Roman" w:hAnsi="Times New Roman" w:cs="Times New Roman"/>
          <w:sz w:val="24"/>
          <w:szCs w:val="24"/>
        </w:rPr>
      </w:pPr>
      <w:r w:rsidRPr="00967063">
        <w:rPr>
          <w:rFonts w:ascii="Times New Roman" w:hAnsi="Times New Roman" w:cs="Times New Roman"/>
          <w:sz w:val="24"/>
          <w:szCs w:val="24"/>
        </w:rPr>
        <w:t xml:space="preserve">Comme cette liberté d’agir nous est donnée et qu’elle est le prix à </w:t>
      </w:r>
      <w:r w:rsidR="00646229" w:rsidRPr="00967063">
        <w:rPr>
          <w:rFonts w:ascii="Times New Roman" w:hAnsi="Times New Roman" w:cs="Times New Roman"/>
          <w:sz w:val="24"/>
          <w:szCs w:val="24"/>
        </w:rPr>
        <w:t>payer</w:t>
      </w:r>
      <w:r w:rsidR="00646229">
        <w:rPr>
          <w:rFonts w:ascii="Times New Roman" w:hAnsi="Times New Roman" w:cs="Times New Roman"/>
          <w:sz w:val="24"/>
          <w:szCs w:val="24"/>
        </w:rPr>
        <w:t xml:space="preserve"> </w:t>
      </w:r>
      <w:r w:rsidR="00166A09">
        <w:rPr>
          <w:rFonts w:ascii="Times New Roman" w:hAnsi="Times New Roman" w:cs="Times New Roman"/>
          <w:sz w:val="24"/>
          <w:szCs w:val="24"/>
        </w:rPr>
        <w:t>d’une part</w:t>
      </w:r>
      <w:r w:rsidR="00166A09" w:rsidRPr="00967063">
        <w:rPr>
          <w:rFonts w:ascii="Times New Roman" w:hAnsi="Times New Roman" w:cs="Times New Roman"/>
          <w:sz w:val="24"/>
          <w:szCs w:val="24"/>
        </w:rPr>
        <w:t xml:space="preserve"> </w:t>
      </w:r>
      <w:r w:rsidR="00646229" w:rsidRPr="00967063">
        <w:rPr>
          <w:rFonts w:ascii="Times New Roman" w:hAnsi="Times New Roman" w:cs="Times New Roman"/>
          <w:sz w:val="24"/>
          <w:szCs w:val="24"/>
        </w:rPr>
        <w:t>pour</w:t>
      </w:r>
      <w:r w:rsidRPr="00967063">
        <w:rPr>
          <w:rFonts w:ascii="Times New Roman" w:hAnsi="Times New Roman" w:cs="Times New Roman"/>
          <w:sz w:val="24"/>
          <w:szCs w:val="24"/>
        </w:rPr>
        <w:t xml:space="preserve"> la pluralité et</w:t>
      </w:r>
      <w:r w:rsidR="002B0468">
        <w:rPr>
          <w:rFonts w:ascii="Times New Roman" w:hAnsi="Times New Roman" w:cs="Times New Roman"/>
          <w:sz w:val="24"/>
          <w:szCs w:val="24"/>
        </w:rPr>
        <w:t xml:space="preserve"> </w:t>
      </w:r>
      <w:r w:rsidR="00C63F8D">
        <w:rPr>
          <w:rFonts w:ascii="Times New Roman" w:hAnsi="Times New Roman" w:cs="Times New Roman"/>
          <w:sz w:val="24"/>
          <w:szCs w:val="24"/>
        </w:rPr>
        <w:t xml:space="preserve">d’autre part, </w:t>
      </w:r>
      <w:r w:rsidR="00F11511" w:rsidRPr="00967063">
        <w:rPr>
          <w:rFonts w:ascii="Times New Roman" w:hAnsi="Times New Roman" w:cs="Times New Roman"/>
          <w:sz w:val="24"/>
          <w:szCs w:val="24"/>
        </w:rPr>
        <w:t>«</w:t>
      </w:r>
      <w:r w:rsidRPr="00967063">
        <w:rPr>
          <w:rFonts w:ascii="Times New Roman" w:hAnsi="Times New Roman" w:cs="Times New Roman"/>
          <w:sz w:val="24"/>
          <w:szCs w:val="24"/>
        </w:rPr>
        <w:t xml:space="preserve"> pour la joie d’habiter ensemble un monde dont la réalité est garantie par la présence de tous »</w:t>
      </w:r>
      <w:r w:rsidR="001F213D">
        <w:rPr>
          <w:rStyle w:val="FootnoteReference"/>
          <w:rFonts w:ascii="Times New Roman" w:hAnsi="Times New Roman" w:cs="Times New Roman"/>
          <w:sz w:val="24"/>
          <w:szCs w:val="24"/>
        </w:rPr>
        <w:footnoteReference w:id="131"/>
      </w:r>
      <w:r w:rsidR="00C63F8D">
        <w:rPr>
          <w:rFonts w:ascii="Times New Roman" w:hAnsi="Times New Roman" w:cs="Times New Roman"/>
          <w:sz w:val="24"/>
          <w:szCs w:val="24"/>
        </w:rPr>
        <w:t xml:space="preserve">, </w:t>
      </w:r>
      <w:r w:rsidRPr="00967063">
        <w:rPr>
          <w:rFonts w:ascii="Times New Roman" w:hAnsi="Times New Roman" w:cs="Times New Roman"/>
          <w:sz w:val="24"/>
          <w:szCs w:val="24"/>
        </w:rPr>
        <w:t xml:space="preserve">il nous semble que la responsabilité morale de la CVR est engagée. En rejoignant ces processus, armée de l’éthique reconstructive, elle </w:t>
      </w:r>
      <w:r w:rsidR="002B0468">
        <w:rPr>
          <w:rFonts w:ascii="Times New Roman" w:hAnsi="Times New Roman" w:cs="Times New Roman"/>
          <w:sz w:val="24"/>
          <w:szCs w:val="24"/>
        </w:rPr>
        <w:t xml:space="preserve">peut </w:t>
      </w:r>
      <w:r w:rsidRPr="00967063">
        <w:rPr>
          <w:rFonts w:ascii="Times New Roman" w:hAnsi="Times New Roman" w:cs="Times New Roman"/>
          <w:sz w:val="24"/>
          <w:szCs w:val="24"/>
        </w:rPr>
        <w:t>garanti</w:t>
      </w:r>
      <w:r w:rsidR="002B0468">
        <w:rPr>
          <w:rFonts w:ascii="Times New Roman" w:hAnsi="Times New Roman" w:cs="Times New Roman"/>
          <w:sz w:val="24"/>
          <w:szCs w:val="24"/>
        </w:rPr>
        <w:t>r</w:t>
      </w:r>
      <w:r w:rsidRPr="00967063">
        <w:rPr>
          <w:rFonts w:ascii="Times New Roman" w:hAnsi="Times New Roman" w:cs="Times New Roman"/>
          <w:sz w:val="24"/>
          <w:szCs w:val="24"/>
        </w:rPr>
        <w:t xml:space="preserve"> que ces gestes soient en même temps des occasions d’accès au </w:t>
      </w:r>
      <w:r w:rsidRPr="00967063">
        <w:rPr>
          <w:rFonts w:ascii="Times New Roman" w:hAnsi="Times New Roman" w:cs="Times New Roman"/>
          <w:i/>
          <w:sz w:val="24"/>
          <w:szCs w:val="24"/>
        </w:rPr>
        <w:t>savoir tragique</w:t>
      </w:r>
      <w:r w:rsidRPr="00967063">
        <w:rPr>
          <w:rStyle w:val="FootnoteReference"/>
          <w:rFonts w:ascii="Times New Roman" w:hAnsi="Times New Roman" w:cs="Times New Roman"/>
          <w:sz w:val="24"/>
          <w:szCs w:val="24"/>
        </w:rPr>
        <w:footnoteReference w:id="132"/>
      </w:r>
      <w:r w:rsidRPr="00967063">
        <w:rPr>
          <w:rFonts w:ascii="Times New Roman" w:hAnsi="Times New Roman" w:cs="Times New Roman"/>
          <w:sz w:val="24"/>
          <w:szCs w:val="24"/>
        </w:rPr>
        <w:t>.</w:t>
      </w:r>
    </w:p>
    <w:p w14:paraId="7744F97B" w14:textId="77777777" w:rsidR="001905B0" w:rsidRPr="00967063" w:rsidRDefault="001905B0" w:rsidP="001905B0">
      <w:pPr>
        <w:pStyle w:val="NoSpacing"/>
        <w:spacing w:line="480" w:lineRule="auto"/>
        <w:ind w:firstLine="708"/>
        <w:jc w:val="both"/>
        <w:rPr>
          <w:rFonts w:ascii="Times New Roman" w:hAnsi="Times New Roman" w:cs="Times New Roman"/>
          <w:sz w:val="24"/>
          <w:szCs w:val="24"/>
        </w:rPr>
      </w:pPr>
    </w:p>
    <w:p w14:paraId="34609787" w14:textId="60D56405" w:rsidR="002B0468" w:rsidRDefault="001905B0" w:rsidP="002B0468">
      <w:pPr>
        <w:pStyle w:val="NoSpacing"/>
        <w:numPr>
          <w:ilvl w:val="0"/>
          <w:numId w:val="22"/>
        </w:numPr>
        <w:spacing w:line="480" w:lineRule="auto"/>
        <w:jc w:val="both"/>
        <w:outlineLvl w:val="1"/>
        <w:rPr>
          <w:rFonts w:ascii="Times New Roman" w:hAnsi="Times New Roman" w:cs="Times New Roman"/>
          <w:sz w:val="24"/>
          <w:szCs w:val="24"/>
        </w:rPr>
      </w:pPr>
      <w:bookmarkStart w:id="54" w:name="_Toc3637622"/>
      <w:bookmarkStart w:id="55" w:name="_Toc6239820"/>
      <w:r w:rsidRPr="00967063">
        <w:rPr>
          <w:rFonts w:ascii="Times New Roman" w:hAnsi="Times New Roman" w:cs="Times New Roman"/>
          <w:sz w:val="24"/>
          <w:szCs w:val="24"/>
        </w:rPr>
        <w:t>L’éthique reconstructive permet au processus de dévoiler le savoir tragique</w:t>
      </w:r>
      <w:bookmarkEnd w:id="54"/>
      <w:bookmarkEnd w:id="55"/>
    </w:p>
    <w:p w14:paraId="756AF299" w14:textId="77777777" w:rsidR="002B0468" w:rsidRPr="002B0468" w:rsidRDefault="002B0468" w:rsidP="002B0468">
      <w:pPr>
        <w:pStyle w:val="NoSpacing"/>
        <w:spacing w:line="480" w:lineRule="auto"/>
        <w:ind w:left="1068"/>
        <w:jc w:val="both"/>
        <w:outlineLvl w:val="1"/>
        <w:rPr>
          <w:rFonts w:ascii="Times New Roman" w:hAnsi="Times New Roman" w:cs="Times New Roman"/>
          <w:sz w:val="24"/>
          <w:szCs w:val="24"/>
        </w:rPr>
      </w:pPr>
    </w:p>
    <w:p w14:paraId="791AFF80" w14:textId="009CC329" w:rsidR="001905B0" w:rsidRPr="00967063" w:rsidRDefault="001905B0" w:rsidP="001905B0">
      <w:pPr>
        <w:pStyle w:val="NoSpacing"/>
        <w:spacing w:line="480" w:lineRule="auto"/>
        <w:ind w:firstLine="708"/>
        <w:jc w:val="both"/>
        <w:rPr>
          <w:rFonts w:ascii="Times New Roman" w:hAnsi="Times New Roman" w:cs="Times New Roman"/>
          <w:sz w:val="24"/>
          <w:szCs w:val="24"/>
        </w:rPr>
      </w:pPr>
      <w:r w:rsidRPr="00967063">
        <w:rPr>
          <w:rFonts w:ascii="Times New Roman" w:hAnsi="Times New Roman" w:cs="Times New Roman"/>
          <w:sz w:val="24"/>
          <w:szCs w:val="24"/>
        </w:rPr>
        <w:t>Par savoir tragique, nous entendons avec Karl Jaspers</w:t>
      </w:r>
      <w:r w:rsidRPr="00967063">
        <w:rPr>
          <w:rStyle w:val="FootnoteReference"/>
          <w:rFonts w:ascii="Times New Roman" w:hAnsi="Times New Roman" w:cs="Times New Roman"/>
          <w:sz w:val="24"/>
          <w:szCs w:val="24"/>
        </w:rPr>
        <w:footnoteReference w:id="133"/>
      </w:r>
      <w:r w:rsidRPr="00967063">
        <w:rPr>
          <w:rFonts w:ascii="Times New Roman" w:hAnsi="Times New Roman" w:cs="Times New Roman"/>
          <w:sz w:val="24"/>
          <w:szCs w:val="24"/>
        </w:rPr>
        <w:t xml:space="preserve">, la </w:t>
      </w:r>
      <w:r w:rsidRPr="00967063">
        <w:rPr>
          <w:rFonts w:ascii="Times New Roman" w:hAnsi="Times New Roman" w:cs="Times New Roman"/>
          <w:i/>
          <w:sz w:val="24"/>
          <w:szCs w:val="24"/>
        </w:rPr>
        <w:t>conscience tragique</w:t>
      </w:r>
      <w:r w:rsidRPr="00967063">
        <w:rPr>
          <w:rFonts w:ascii="Times New Roman" w:hAnsi="Times New Roman" w:cs="Times New Roman"/>
          <w:sz w:val="24"/>
          <w:szCs w:val="24"/>
        </w:rPr>
        <w:t xml:space="preserve"> qu’il oppose à la </w:t>
      </w:r>
      <w:r w:rsidRPr="00967063">
        <w:rPr>
          <w:rFonts w:ascii="Times New Roman" w:hAnsi="Times New Roman" w:cs="Times New Roman"/>
          <w:i/>
          <w:sz w:val="24"/>
          <w:szCs w:val="24"/>
        </w:rPr>
        <w:t>conscience pré-tragique</w:t>
      </w:r>
      <w:r w:rsidRPr="00967063">
        <w:rPr>
          <w:rFonts w:ascii="Times New Roman" w:hAnsi="Times New Roman" w:cs="Times New Roman"/>
          <w:sz w:val="24"/>
          <w:szCs w:val="24"/>
        </w:rPr>
        <w:t>. Cette dernière est « immobile, close dans la morne considération du glissement, de l’abolition de toute chose, de la perte dans le rythme sempiternel de la vie et de la mort »</w:t>
      </w:r>
      <w:r w:rsidRPr="00967063">
        <w:rPr>
          <w:rStyle w:val="FootnoteReference"/>
          <w:rFonts w:ascii="Times New Roman" w:hAnsi="Times New Roman" w:cs="Times New Roman"/>
          <w:sz w:val="24"/>
          <w:szCs w:val="24"/>
        </w:rPr>
        <w:footnoteReference w:id="134"/>
      </w:r>
      <w:r w:rsidRPr="00967063">
        <w:rPr>
          <w:rFonts w:ascii="Times New Roman" w:hAnsi="Times New Roman" w:cs="Times New Roman"/>
          <w:sz w:val="24"/>
          <w:szCs w:val="24"/>
        </w:rPr>
        <w:t xml:space="preserve">. Pour le cas du Burundi, la conscience pré-tragique se manifeste dans les mémoires rivales et hostiles dont nous avons parlé. </w:t>
      </w:r>
    </w:p>
    <w:p w14:paraId="1BC8C963" w14:textId="18F7AED9" w:rsidR="001905B0" w:rsidRPr="00967063" w:rsidRDefault="001905B0" w:rsidP="001905B0">
      <w:pPr>
        <w:pStyle w:val="NoSpacing"/>
        <w:spacing w:line="480" w:lineRule="auto"/>
        <w:ind w:firstLine="708"/>
        <w:jc w:val="both"/>
        <w:rPr>
          <w:rFonts w:ascii="Times New Roman" w:hAnsi="Times New Roman" w:cs="Times New Roman"/>
          <w:sz w:val="24"/>
          <w:szCs w:val="24"/>
        </w:rPr>
      </w:pPr>
      <w:r w:rsidRPr="00967063">
        <w:rPr>
          <w:rFonts w:ascii="Times New Roman" w:hAnsi="Times New Roman" w:cs="Times New Roman"/>
          <w:sz w:val="24"/>
          <w:szCs w:val="24"/>
        </w:rPr>
        <w:t>De son côté, la conscience du</w:t>
      </w:r>
      <w:r w:rsidRPr="00967063">
        <w:rPr>
          <w:rFonts w:ascii="Times New Roman" w:hAnsi="Times New Roman" w:cs="Times New Roman"/>
          <w:i/>
          <w:sz w:val="24"/>
          <w:szCs w:val="24"/>
        </w:rPr>
        <w:t xml:space="preserve"> savoir tragique</w:t>
      </w:r>
      <w:r w:rsidRPr="00967063">
        <w:rPr>
          <w:rFonts w:ascii="Times New Roman" w:hAnsi="Times New Roman" w:cs="Times New Roman"/>
          <w:sz w:val="24"/>
          <w:szCs w:val="24"/>
        </w:rPr>
        <w:t>, rappelle Ricœur citant Jaspers, « apporte un mouvement historique qui ne se déroule pas dans les événements extérieurs, mais dans la profondeur de l’être humain lui-même »</w:t>
      </w:r>
      <w:r w:rsidRPr="00967063">
        <w:rPr>
          <w:rStyle w:val="FootnoteReference"/>
          <w:rFonts w:ascii="Times New Roman" w:hAnsi="Times New Roman" w:cs="Times New Roman"/>
          <w:sz w:val="24"/>
          <w:szCs w:val="24"/>
        </w:rPr>
        <w:footnoteReference w:id="135"/>
      </w:r>
      <w:r w:rsidRPr="00967063">
        <w:rPr>
          <w:rFonts w:ascii="Times New Roman" w:hAnsi="Times New Roman" w:cs="Times New Roman"/>
          <w:sz w:val="24"/>
          <w:szCs w:val="24"/>
        </w:rPr>
        <w:t xml:space="preserve">. </w:t>
      </w:r>
    </w:p>
    <w:p w14:paraId="00E2A66C" w14:textId="1633FDF3" w:rsidR="001905B0" w:rsidRPr="00967063" w:rsidRDefault="001905B0" w:rsidP="001905B0">
      <w:pPr>
        <w:pStyle w:val="NoSpacing"/>
        <w:spacing w:line="480" w:lineRule="auto"/>
        <w:ind w:firstLine="708"/>
        <w:jc w:val="both"/>
        <w:rPr>
          <w:rFonts w:ascii="Times New Roman" w:hAnsi="Times New Roman" w:cs="Times New Roman"/>
          <w:sz w:val="24"/>
          <w:szCs w:val="24"/>
        </w:rPr>
      </w:pPr>
      <w:r w:rsidRPr="00967063">
        <w:rPr>
          <w:rFonts w:ascii="Times New Roman" w:hAnsi="Times New Roman" w:cs="Times New Roman"/>
          <w:sz w:val="24"/>
          <w:szCs w:val="24"/>
        </w:rPr>
        <w:t>Comment ce savoir ou ce mouvement historique intérieur est-il produit? Selon Karl Jaspers, il est « opéré par le héros tragique et répété par le spectateur »</w:t>
      </w:r>
      <w:r w:rsidRPr="00967063">
        <w:rPr>
          <w:rStyle w:val="FootnoteReference"/>
          <w:rFonts w:ascii="Times New Roman" w:hAnsi="Times New Roman" w:cs="Times New Roman"/>
          <w:sz w:val="24"/>
          <w:szCs w:val="24"/>
        </w:rPr>
        <w:footnoteReference w:id="136"/>
      </w:r>
      <w:r w:rsidRPr="00967063">
        <w:rPr>
          <w:rFonts w:ascii="Times New Roman" w:hAnsi="Times New Roman" w:cs="Times New Roman"/>
          <w:sz w:val="24"/>
          <w:szCs w:val="24"/>
        </w:rPr>
        <w:t xml:space="preserve"> comme dans le théâtre tragique lorsque le spectateur s’identifie au héros.</w:t>
      </w:r>
      <w:r w:rsidRPr="00967063">
        <w:rPr>
          <w:rFonts w:ascii="Times New Roman" w:eastAsia="Times New Roman" w:hAnsi="Times New Roman" w:cs="Times New Roman"/>
          <w:sz w:val="24"/>
          <w:szCs w:val="24"/>
          <w:lang w:eastAsia="fr-CA"/>
        </w:rPr>
        <w:t xml:space="preserve"> </w:t>
      </w:r>
      <w:r w:rsidRPr="00967063">
        <w:rPr>
          <w:rFonts w:ascii="Times New Roman" w:hAnsi="Times New Roman" w:cs="Times New Roman"/>
          <w:sz w:val="24"/>
          <w:szCs w:val="24"/>
        </w:rPr>
        <w:t xml:space="preserve">La tragédie illustre en effet un processus de reconnaissance par lequel le héros tragique parvient au savoir en </w:t>
      </w:r>
      <w:r w:rsidR="002B0468" w:rsidRPr="00967063">
        <w:rPr>
          <w:rFonts w:ascii="Times New Roman" w:hAnsi="Times New Roman" w:cs="Times New Roman"/>
          <w:sz w:val="24"/>
          <w:szCs w:val="24"/>
        </w:rPr>
        <w:t>réexpérimentant</w:t>
      </w:r>
      <w:r w:rsidRPr="00967063">
        <w:rPr>
          <w:rFonts w:ascii="Times New Roman" w:hAnsi="Times New Roman" w:cs="Times New Roman"/>
          <w:sz w:val="24"/>
          <w:szCs w:val="24"/>
        </w:rPr>
        <w:t xml:space="preserve"> sa vie sur le mode du pâtir. L’agent se transforme en patient de sa propre histoire. Cette reconnaissance fait naître chez le spectateur ce qu’Aristote nomme le « plaisir tragique »</w:t>
      </w:r>
      <w:r w:rsidR="002B0468">
        <w:rPr>
          <w:rFonts w:ascii="Times New Roman" w:hAnsi="Times New Roman" w:cs="Times New Roman"/>
          <w:sz w:val="24"/>
          <w:szCs w:val="24"/>
        </w:rPr>
        <w:t xml:space="preserve">, plaisir </w:t>
      </w:r>
      <w:r w:rsidRPr="00967063">
        <w:rPr>
          <w:rFonts w:ascii="Times New Roman" w:hAnsi="Times New Roman" w:cs="Times New Roman"/>
          <w:sz w:val="24"/>
          <w:szCs w:val="24"/>
        </w:rPr>
        <w:t>par lequel s’opère la catharsis. Jaspers nomme ce processus de reconnaissance le savoir tragique</w:t>
      </w:r>
      <w:r w:rsidR="002B0468">
        <w:rPr>
          <w:rFonts w:ascii="Times New Roman" w:hAnsi="Times New Roman" w:cs="Times New Roman"/>
          <w:sz w:val="24"/>
          <w:szCs w:val="24"/>
        </w:rPr>
        <w:t xml:space="preserve">. En effet </w:t>
      </w:r>
      <w:r w:rsidR="002B0468" w:rsidRPr="00967063">
        <w:rPr>
          <w:rFonts w:ascii="Times New Roman" w:hAnsi="Times New Roman" w:cs="Times New Roman"/>
          <w:sz w:val="24"/>
          <w:szCs w:val="24"/>
        </w:rPr>
        <w:t>« d’une</w:t>
      </w:r>
      <w:r w:rsidRPr="00967063">
        <w:rPr>
          <w:rFonts w:ascii="Times New Roman" w:hAnsi="Times New Roman" w:cs="Times New Roman"/>
          <w:sz w:val="24"/>
          <w:szCs w:val="24"/>
        </w:rPr>
        <w:t xml:space="preserve"> part, il procède d’une volonté du héros de savoir » et</w:t>
      </w:r>
      <w:r w:rsidR="002B0468">
        <w:rPr>
          <w:rFonts w:ascii="Times New Roman" w:hAnsi="Times New Roman" w:cs="Times New Roman"/>
          <w:sz w:val="24"/>
          <w:szCs w:val="24"/>
        </w:rPr>
        <w:t xml:space="preserve"> d’autre part, </w:t>
      </w:r>
      <w:r w:rsidR="002B0468" w:rsidRPr="00967063">
        <w:rPr>
          <w:rFonts w:ascii="Times New Roman" w:hAnsi="Times New Roman" w:cs="Times New Roman"/>
          <w:sz w:val="24"/>
          <w:szCs w:val="24"/>
        </w:rPr>
        <w:t>cette</w:t>
      </w:r>
      <w:r w:rsidR="002B0468">
        <w:rPr>
          <w:rFonts w:ascii="Times New Roman" w:hAnsi="Times New Roman" w:cs="Times New Roman"/>
          <w:sz w:val="24"/>
          <w:szCs w:val="24"/>
        </w:rPr>
        <w:t xml:space="preserve"> volonté de savoir </w:t>
      </w:r>
      <w:r w:rsidRPr="00967063">
        <w:rPr>
          <w:rFonts w:ascii="Times New Roman" w:hAnsi="Times New Roman" w:cs="Times New Roman"/>
          <w:sz w:val="24"/>
          <w:szCs w:val="24"/>
        </w:rPr>
        <w:t>«</w:t>
      </w:r>
      <w:r w:rsidR="002B0468">
        <w:rPr>
          <w:rFonts w:ascii="Times New Roman" w:hAnsi="Times New Roman" w:cs="Times New Roman"/>
          <w:sz w:val="24"/>
          <w:szCs w:val="24"/>
        </w:rPr>
        <w:t xml:space="preserve"> </w:t>
      </w:r>
      <w:r w:rsidRPr="00967063">
        <w:rPr>
          <w:rFonts w:ascii="Times New Roman" w:hAnsi="Times New Roman" w:cs="Times New Roman"/>
          <w:sz w:val="24"/>
          <w:szCs w:val="24"/>
        </w:rPr>
        <w:t>coopère avec l’accomplissement du malheur qui les brise »</w:t>
      </w:r>
      <w:r w:rsidRPr="00967063">
        <w:rPr>
          <w:rStyle w:val="FootnoteReference"/>
          <w:rFonts w:ascii="Times New Roman" w:hAnsi="Times New Roman" w:cs="Times New Roman"/>
          <w:sz w:val="24"/>
          <w:szCs w:val="24"/>
        </w:rPr>
        <w:footnoteReference w:id="137"/>
      </w:r>
      <w:r w:rsidRPr="00967063">
        <w:rPr>
          <w:rFonts w:ascii="Times New Roman" w:hAnsi="Times New Roman" w:cs="Times New Roman"/>
          <w:sz w:val="24"/>
          <w:szCs w:val="24"/>
        </w:rPr>
        <w:t>. La vertu du tragique tient dans la « délivrance »</w:t>
      </w:r>
      <w:r w:rsidRPr="00967063">
        <w:rPr>
          <w:rStyle w:val="FootnoteReference"/>
          <w:rFonts w:ascii="Times New Roman" w:hAnsi="Times New Roman" w:cs="Times New Roman"/>
          <w:sz w:val="24"/>
          <w:szCs w:val="24"/>
        </w:rPr>
        <w:footnoteReference w:id="138"/>
      </w:r>
      <w:r w:rsidR="002B0468">
        <w:rPr>
          <w:rFonts w:ascii="Times New Roman" w:hAnsi="Times New Roman" w:cs="Times New Roman"/>
          <w:sz w:val="24"/>
          <w:szCs w:val="24"/>
        </w:rPr>
        <w:t xml:space="preserve">, c’est-à-dire </w:t>
      </w:r>
      <w:r w:rsidRPr="00967063">
        <w:rPr>
          <w:rFonts w:ascii="Times New Roman" w:hAnsi="Times New Roman" w:cs="Times New Roman"/>
          <w:sz w:val="24"/>
          <w:szCs w:val="24"/>
        </w:rPr>
        <w:t>« la mise en œuvre d’une catharsis, purification ou purgation de toutes les passions qui peuvent empêcher l’homme d’agir »</w:t>
      </w:r>
      <w:r w:rsidRPr="00967063">
        <w:rPr>
          <w:rStyle w:val="FootnoteReference"/>
          <w:rFonts w:ascii="Times New Roman" w:hAnsi="Times New Roman" w:cs="Times New Roman"/>
          <w:sz w:val="24"/>
          <w:szCs w:val="24"/>
        </w:rPr>
        <w:footnoteReference w:id="139"/>
      </w:r>
      <w:r w:rsidRPr="00967063">
        <w:rPr>
          <w:rFonts w:ascii="Times New Roman" w:hAnsi="Times New Roman" w:cs="Times New Roman"/>
          <w:sz w:val="24"/>
          <w:szCs w:val="24"/>
        </w:rPr>
        <w:t xml:space="preserve">. </w:t>
      </w:r>
    </w:p>
    <w:p w14:paraId="12172D57" w14:textId="3B80BAF5" w:rsidR="001905B0" w:rsidRPr="00967063" w:rsidRDefault="001905B0" w:rsidP="001905B0">
      <w:pPr>
        <w:pStyle w:val="NoSpacing"/>
        <w:spacing w:line="480" w:lineRule="auto"/>
        <w:ind w:firstLine="708"/>
        <w:jc w:val="both"/>
        <w:rPr>
          <w:rFonts w:ascii="Times New Roman" w:hAnsi="Times New Roman" w:cs="Times New Roman"/>
          <w:sz w:val="24"/>
          <w:szCs w:val="24"/>
        </w:rPr>
      </w:pPr>
      <w:r w:rsidRPr="00967063">
        <w:rPr>
          <w:rFonts w:ascii="Times New Roman" w:hAnsi="Times New Roman" w:cs="Times New Roman"/>
          <w:sz w:val="24"/>
          <w:szCs w:val="24"/>
        </w:rPr>
        <w:t>En s’appuyant sur la reconstruction, c’est-à-dire en utilisant « les catégories de l’histoire et du langage »</w:t>
      </w:r>
      <w:r w:rsidRPr="00967063">
        <w:rPr>
          <w:rStyle w:val="FootnoteReference"/>
          <w:rFonts w:ascii="Times New Roman" w:hAnsi="Times New Roman" w:cs="Times New Roman"/>
          <w:sz w:val="24"/>
          <w:szCs w:val="24"/>
        </w:rPr>
        <w:footnoteReference w:id="140"/>
      </w:r>
      <w:r w:rsidRPr="00967063">
        <w:rPr>
          <w:rFonts w:ascii="Times New Roman" w:hAnsi="Times New Roman" w:cs="Times New Roman"/>
          <w:sz w:val="24"/>
          <w:szCs w:val="24"/>
        </w:rPr>
        <w:t xml:space="preserve"> sans « cesser d’être réflexif à l’égard de la narration, l’interprétation et l’argumentation »</w:t>
      </w:r>
      <w:r w:rsidRPr="00967063">
        <w:rPr>
          <w:rStyle w:val="FootnoteReference"/>
          <w:rFonts w:ascii="Times New Roman" w:hAnsi="Times New Roman" w:cs="Times New Roman"/>
          <w:sz w:val="24"/>
          <w:szCs w:val="24"/>
        </w:rPr>
        <w:footnoteReference w:id="141"/>
      </w:r>
      <w:r w:rsidRPr="00967063">
        <w:rPr>
          <w:rFonts w:ascii="Times New Roman" w:hAnsi="Times New Roman" w:cs="Times New Roman"/>
          <w:sz w:val="24"/>
          <w:szCs w:val="24"/>
        </w:rPr>
        <w:t>,</w:t>
      </w:r>
      <w:r w:rsidR="00904C97">
        <w:rPr>
          <w:rFonts w:ascii="Times New Roman" w:hAnsi="Times New Roman" w:cs="Times New Roman"/>
          <w:sz w:val="24"/>
          <w:szCs w:val="24"/>
        </w:rPr>
        <w:t xml:space="preserve"> nous pensons ici </w:t>
      </w:r>
      <w:r w:rsidRPr="00967063">
        <w:rPr>
          <w:rFonts w:ascii="Times New Roman" w:hAnsi="Times New Roman" w:cs="Times New Roman"/>
          <w:sz w:val="24"/>
          <w:szCs w:val="24"/>
        </w:rPr>
        <w:t>au moment de l’élucidation et de la qualification des violations, la CVR peut amener les participants, héros (ceux qui prennent la parole comme victimes, auteurs de crimes ou témoins) aussi bien que spectateurs (tous ceux qui assistent à ces processus), à quitter le registre de la morne considération du glissement de toute chose</w:t>
      </w:r>
      <w:r w:rsidR="00904C97">
        <w:rPr>
          <w:rFonts w:ascii="Times New Roman" w:hAnsi="Times New Roman" w:cs="Times New Roman"/>
          <w:sz w:val="24"/>
          <w:szCs w:val="24"/>
        </w:rPr>
        <w:t xml:space="preserve"> (reconnaissable notamment dans les dogmatismes de la facticités) </w:t>
      </w:r>
      <w:r w:rsidRPr="00967063">
        <w:rPr>
          <w:rFonts w:ascii="Times New Roman" w:hAnsi="Times New Roman" w:cs="Times New Roman"/>
          <w:sz w:val="24"/>
          <w:szCs w:val="24"/>
        </w:rPr>
        <w:t xml:space="preserve"> pour les faire vivre ce savoir tragique qui brise et qui délivre tout le monde. C’est cette conscience tragique qui rend possible l’apparition d’une communauté d’existence substantielle. </w:t>
      </w:r>
    </w:p>
    <w:p w14:paraId="1E332D9D" w14:textId="77777777" w:rsidR="001905B0" w:rsidRPr="00967063" w:rsidRDefault="001905B0" w:rsidP="001905B0">
      <w:pPr>
        <w:pStyle w:val="NoSpacing"/>
        <w:numPr>
          <w:ilvl w:val="0"/>
          <w:numId w:val="22"/>
        </w:numPr>
        <w:spacing w:line="480" w:lineRule="auto"/>
        <w:jc w:val="both"/>
        <w:outlineLvl w:val="1"/>
        <w:rPr>
          <w:rFonts w:ascii="Times New Roman" w:hAnsi="Times New Roman" w:cs="Times New Roman"/>
          <w:sz w:val="24"/>
          <w:szCs w:val="24"/>
        </w:rPr>
      </w:pPr>
      <w:bookmarkStart w:id="56" w:name="_Toc3637623"/>
      <w:bookmarkStart w:id="57" w:name="_Toc6239821"/>
      <w:r w:rsidRPr="00967063">
        <w:rPr>
          <w:rFonts w:ascii="Times New Roman" w:hAnsi="Times New Roman" w:cs="Times New Roman"/>
          <w:sz w:val="24"/>
          <w:szCs w:val="24"/>
        </w:rPr>
        <w:t>L‘éthique reconstructive permet à la CVR d’instituer une communauté d’existence substantielle</w:t>
      </w:r>
      <w:bookmarkEnd w:id="56"/>
      <w:bookmarkEnd w:id="57"/>
      <w:r w:rsidRPr="00967063">
        <w:rPr>
          <w:rFonts w:ascii="Times New Roman" w:hAnsi="Times New Roman" w:cs="Times New Roman"/>
          <w:sz w:val="24"/>
          <w:szCs w:val="24"/>
        </w:rPr>
        <w:t xml:space="preserve"> </w:t>
      </w:r>
    </w:p>
    <w:p w14:paraId="2C699832" w14:textId="77777777" w:rsidR="001905B0" w:rsidRPr="00967063" w:rsidRDefault="001905B0" w:rsidP="001905B0">
      <w:pPr>
        <w:pStyle w:val="NoSpacing"/>
        <w:spacing w:line="480" w:lineRule="auto"/>
        <w:ind w:firstLine="708"/>
        <w:jc w:val="both"/>
        <w:rPr>
          <w:rFonts w:ascii="Times New Roman" w:hAnsi="Times New Roman" w:cs="Times New Roman"/>
          <w:sz w:val="24"/>
          <w:szCs w:val="24"/>
        </w:rPr>
      </w:pPr>
      <w:r w:rsidRPr="00967063">
        <w:rPr>
          <w:rFonts w:ascii="Times New Roman" w:hAnsi="Times New Roman" w:cs="Times New Roman"/>
          <w:sz w:val="24"/>
          <w:szCs w:val="24"/>
        </w:rPr>
        <w:t xml:space="preserve">Par </w:t>
      </w:r>
      <w:r w:rsidRPr="00967063">
        <w:rPr>
          <w:rFonts w:ascii="Times New Roman" w:hAnsi="Times New Roman" w:cs="Times New Roman"/>
          <w:i/>
          <w:sz w:val="24"/>
          <w:szCs w:val="24"/>
        </w:rPr>
        <w:t>communauté d’existence substantielle</w:t>
      </w:r>
      <w:r w:rsidRPr="00967063">
        <w:rPr>
          <w:rFonts w:ascii="Times New Roman" w:hAnsi="Times New Roman" w:cs="Times New Roman"/>
          <w:sz w:val="24"/>
          <w:szCs w:val="24"/>
        </w:rPr>
        <w:t xml:space="preserve">, nous entendons un vivre ensemble apaisé, la réconciliation au sens minimal « </w:t>
      </w:r>
      <w:r w:rsidRPr="00967063">
        <w:rPr>
          <w:rFonts w:ascii="Times New Roman" w:hAnsi="Times New Roman" w:cs="Times New Roman"/>
          <w:bCs/>
          <w:sz w:val="24"/>
          <w:szCs w:val="24"/>
        </w:rPr>
        <w:t xml:space="preserve">d’une </w:t>
      </w:r>
      <w:r w:rsidRPr="00967063">
        <w:rPr>
          <w:rFonts w:ascii="Times New Roman" w:hAnsi="Times New Roman" w:cs="Times New Roman"/>
          <w:sz w:val="24"/>
          <w:szCs w:val="24"/>
        </w:rPr>
        <w:t>coopération</w:t>
      </w:r>
      <w:r w:rsidRPr="00967063">
        <w:rPr>
          <w:rFonts w:ascii="Times New Roman" w:hAnsi="Times New Roman" w:cs="Times New Roman"/>
          <w:bCs/>
          <w:iCs/>
          <w:sz w:val="24"/>
          <w:szCs w:val="24"/>
        </w:rPr>
        <w:t xml:space="preserve"> suffisamment inclusive pour garantir une stabilité issue de la reconnaissance sociale de sa propre légitimité</w:t>
      </w:r>
      <w:r w:rsidRPr="00967063">
        <w:rPr>
          <w:rFonts w:ascii="Times New Roman" w:hAnsi="Times New Roman" w:cs="Times New Roman"/>
          <w:sz w:val="24"/>
          <w:szCs w:val="24"/>
        </w:rPr>
        <w:t xml:space="preserve"> »</w:t>
      </w:r>
      <w:r w:rsidRPr="00967063">
        <w:rPr>
          <w:rStyle w:val="FootnoteReference"/>
          <w:rFonts w:ascii="Times New Roman" w:hAnsi="Times New Roman" w:cs="Times New Roman"/>
          <w:sz w:val="24"/>
          <w:szCs w:val="24"/>
        </w:rPr>
        <w:footnoteReference w:id="142"/>
      </w:r>
      <w:r w:rsidRPr="00967063">
        <w:rPr>
          <w:rFonts w:ascii="Times New Roman" w:hAnsi="Times New Roman" w:cs="Times New Roman"/>
          <w:sz w:val="24"/>
          <w:szCs w:val="24"/>
        </w:rPr>
        <w:t xml:space="preserve">. </w:t>
      </w:r>
    </w:p>
    <w:p w14:paraId="6A00822D" w14:textId="1E6000C4" w:rsidR="001905B0" w:rsidRPr="00967063" w:rsidRDefault="001905B0" w:rsidP="001905B0">
      <w:pPr>
        <w:pStyle w:val="NoSpacing"/>
        <w:spacing w:line="480" w:lineRule="auto"/>
        <w:ind w:firstLine="708"/>
        <w:jc w:val="both"/>
        <w:rPr>
          <w:rFonts w:ascii="Times New Roman" w:hAnsi="Times New Roman" w:cs="Times New Roman"/>
          <w:sz w:val="24"/>
          <w:szCs w:val="24"/>
        </w:rPr>
      </w:pPr>
      <w:r w:rsidRPr="00967063">
        <w:rPr>
          <w:rFonts w:ascii="Times New Roman" w:hAnsi="Times New Roman" w:cs="Times New Roman"/>
          <w:sz w:val="24"/>
          <w:szCs w:val="24"/>
        </w:rPr>
        <w:t>Dans une perspective reconstructive, il est admis qu’on ne peut sortir de la causalité du destin</w:t>
      </w:r>
      <w:r w:rsidR="00550CC5">
        <w:rPr>
          <w:rFonts w:ascii="Times New Roman" w:hAnsi="Times New Roman" w:cs="Times New Roman"/>
          <w:sz w:val="24"/>
          <w:szCs w:val="24"/>
        </w:rPr>
        <w:t xml:space="preserve"> – </w:t>
      </w:r>
      <w:r w:rsidRPr="00967063">
        <w:rPr>
          <w:rFonts w:ascii="Times New Roman" w:hAnsi="Times New Roman" w:cs="Times New Roman"/>
          <w:sz w:val="24"/>
          <w:szCs w:val="24"/>
        </w:rPr>
        <w:t>le mauvais infini selon Hegel</w:t>
      </w:r>
      <w:r w:rsidR="00550CC5">
        <w:rPr>
          <w:rFonts w:ascii="Times New Roman" w:hAnsi="Times New Roman" w:cs="Times New Roman"/>
          <w:sz w:val="24"/>
          <w:szCs w:val="24"/>
        </w:rPr>
        <w:t xml:space="preserve"> –</w:t>
      </w:r>
      <w:r w:rsidRPr="00967063">
        <w:rPr>
          <w:rFonts w:ascii="Times New Roman" w:hAnsi="Times New Roman" w:cs="Times New Roman"/>
          <w:sz w:val="24"/>
          <w:szCs w:val="24"/>
        </w:rPr>
        <w:t xml:space="preserve"> par le simple fait de dire la vérité ou de se pardonner. Pour en sortir, il est nécessaire d’instituer politiquement un monde commun de vie, de travail et de langage. Comme le souligne Edouard Delruelle :</w:t>
      </w:r>
    </w:p>
    <w:p w14:paraId="308EEFE6" w14:textId="640A1F44" w:rsidR="001905B0" w:rsidRPr="00967063" w:rsidRDefault="001905B0" w:rsidP="001905B0">
      <w:pPr>
        <w:pStyle w:val="NoSpacing"/>
        <w:ind w:left="283"/>
        <w:jc w:val="both"/>
        <w:rPr>
          <w:rFonts w:ascii="Times New Roman" w:hAnsi="Times New Roman" w:cs="Times New Roman"/>
          <w:sz w:val="24"/>
          <w:szCs w:val="24"/>
        </w:rPr>
      </w:pPr>
      <w:r w:rsidRPr="00967063">
        <w:rPr>
          <w:rFonts w:ascii="Times New Roman" w:hAnsi="Times New Roman" w:cs="Times New Roman"/>
          <w:sz w:val="24"/>
          <w:szCs w:val="24"/>
        </w:rPr>
        <w:t>Or Hegel lui-même nous montre qu’on ne sort pas du mauvais infini de la dialectique du Maître et de l’Esclave par un simple engagement éthique de reconnaissance de l’autre, mais que par l’institution politique d’un monde commun de vie, de travail et de langage : famille, société civile, État</w:t>
      </w:r>
      <w:r w:rsidR="00AA5B08">
        <w:rPr>
          <w:rFonts w:ascii="Times New Roman" w:hAnsi="Times New Roman" w:cs="Times New Roman"/>
          <w:sz w:val="24"/>
          <w:szCs w:val="24"/>
        </w:rPr>
        <w:t>.</w:t>
      </w:r>
      <w:r w:rsidRPr="00967063">
        <w:rPr>
          <w:rStyle w:val="FootnoteReference"/>
          <w:rFonts w:ascii="Times New Roman" w:hAnsi="Times New Roman" w:cs="Times New Roman"/>
          <w:sz w:val="24"/>
          <w:szCs w:val="24"/>
        </w:rPr>
        <w:footnoteReference w:id="143"/>
      </w:r>
    </w:p>
    <w:p w14:paraId="769609CB" w14:textId="77777777" w:rsidR="001905B0" w:rsidRPr="00967063" w:rsidRDefault="001905B0" w:rsidP="001905B0">
      <w:pPr>
        <w:pStyle w:val="NoSpacing"/>
        <w:ind w:firstLine="708"/>
        <w:jc w:val="both"/>
        <w:rPr>
          <w:rFonts w:ascii="Times New Roman" w:hAnsi="Times New Roman" w:cs="Times New Roman"/>
          <w:sz w:val="24"/>
          <w:szCs w:val="24"/>
        </w:rPr>
      </w:pPr>
    </w:p>
    <w:p w14:paraId="75029645" w14:textId="3C17856F" w:rsidR="001905B0" w:rsidRPr="00967063" w:rsidRDefault="001905B0" w:rsidP="001905B0">
      <w:pPr>
        <w:spacing w:line="480" w:lineRule="auto"/>
        <w:ind w:firstLine="283"/>
        <w:jc w:val="both"/>
        <w:rPr>
          <w:rFonts w:ascii="Times New Roman" w:hAnsi="Times New Roman" w:cs="Times New Roman"/>
          <w:sz w:val="24"/>
          <w:szCs w:val="24"/>
        </w:rPr>
      </w:pPr>
      <w:r w:rsidRPr="00967063">
        <w:rPr>
          <w:rFonts w:ascii="Times New Roman" w:hAnsi="Times New Roman" w:cs="Times New Roman"/>
          <w:sz w:val="24"/>
          <w:szCs w:val="24"/>
        </w:rPr>
        <w:t>La communauté d’existence substantielle que permet le travail de la CVR n’est pas</w:t>
      </w:r>
      <w:r w:rsidR="00904C97">
        <w:rPr>
          <w:rFonts w:ascii="Times New Roman" w:hAnsi="Times New Roman" w:cs="Times New Roman"/>
          <w:sz w:val="24"/>
          <w:szCs w:val="24"/>
        </w:rPr>
        <w:t xml:space="preserve"> </w:t>
      </w:r>
      <w:r w:rsidRPr="00967063">
        <w:rPr>
          <w:rFonts w:ascii="Times New Roman" w:hAnsi="Times New Roman" w:cs="Times New Roman"/>
          <w:sz w:val="24"/>
          <w:szCs w:val="24"/>
        </w:rPr>
        <w:t xml:space="preserve">un état réconcilié à titre définitif. Il s’agit d’un type de communauté plus résignée qui apparaît simplement par un engagement dans la lutte perpétuelle pour empêcher le mal politique de gagner du terrain. Voici comment Ferry nous résume le projet de l’éthique reconstructive : </w:t>
      </w:r>
    </w:p>
    <w:p w14:paraId="7F4BDA10" w14:textId="735E5927" w:rsidR="001905B0" w:rsidRPr="00967063" w:rsidRDefault="001905B0" w:rsidP="001905B0">
      <w:pPr>
        <w:spacing w:line="240" w:lineRule="auto"/>
        <w:ind w:left="283"/>
        <w:jc w:val="both"/>
        <w:rPr>
          <w:rFonts w:ascii="Times New Roman" w:hAnsi="Times New Roman" w:cs="Times New Roman"/>
          <w:sz w:val="24"/>
          <w:szCs w:val="24"/>
        </w:rPr>
      </w:pPr>
      <w:r w:rsidRPr="00967063">
        <w:rPr>
          <w:rFonts w:ascii="Times New Roman" w:hAnsi="Times New Roman" w:cs="Times New Roman"/>
          <w:sz w:val="24"/>
          <w:szCs w:val="24"/>
        </w:rPr>
        <w:t>Ce projet n’est pas la fin de toute guerre, de tout conflit violent en général; il n’y a en vue nul état réconcilié à titre définitif, mais plutôt une lutte perpétuelle pour empêcher le mal politique de gagner du terrain. C’est l’horizon d’un tel combat éternel, qui pourrait alors fonder l’éthique reconstructive à resituer la question de l’histoire universelle. Il ne sera cependant pas question de ruse, mais de la force qui somme le Mal de se révéler au terme d’une thématisation rétrospective et coopérative des maux infligés</w:t>
      </w:r>
      <w:r w:rsidRPr="00967063">
        <w:rPr>
          <w:rStyle w:val="FootnoteReference"/>
          <w:rFonts w:ascii="Times New Roman" w:hAnsi="Times New Roman" w:cs="Times New Roman"/>
          <w:sz w:val="24"/>
          <w:szCs w:val="24"/>
        </w:rPr>
        <w:footnoteReference w:id="144"/>
      </w:r>
      <w:r w:rsidRPr="00967063">
        <w:rPr>
          <w:rFonts w:ascii="Times New Roman" w:hAnsi="Times New Roman" w:cs="Times New Roman"/>
          <w:sz w:val="24"/>
          <w:szCs w:val="24"/>
        </w:rPr>
        <w:t>.</w:t>
      </w:r>
    </w:p>
    <w:p w14:paraId="4DEB49FF" w14:textId="798629E9" w:rsidR="001905B0" w:rsidRPr="00967063" w:rsidRDefault="001905B0" w:rsidP="00904C97">
      <w:pPr>
        <w:spacing w:line="480" w:lineRule="auto"/>
        <w:ind w:firstLine="283"/>
        <w:jc w:val="both"/>
        <w:rPr>
          <w:rFonts w:ascii="Times New Roman" w:hAnsi="Times New Roman" w:cs="Times New Roman"/>
          <w:sz w:val="24"/>
          <w:szCs w:val="24"/>
        </w:rPr>
      </w:pPr>
      <w:r w:rsidRPr="00967063">
        <w:rPr>
          <w:rFonts w:ascii="Times New Roman" w:hAnsi="Times New Roman" w:cs="Times New Roman"/>
          <w:sz w:val="24"/>
          <w:szCs w:val="24"/>
        </w:rPr>
        <w:t xml:space="preserve">En s’appuyant sur l’éthique reconstructive, la CVR se donne </w:t>
      </w:r>
      <w:r w:rsidR="00904C97">
        <w:rPr>
          <w:rFonts w:ascii="Times New Roman" w:hAnsi="Times New Roman" w:cs="Times New Roman"/>
          <w:sz w:val="24"/>
          <w:szCs w:val="24"/>
        </w:rPr>
        <w:t xml:space="preserve">ainsi </w:t>
      </w:r>
      <w:r w:rsidRPr="00967063">
        <w:rPr>
          <w:rFonts w:ascii="Times New Roman" w:hAnsi="Times New Roman" w:cs="Times New Roman"/>
          <w:sz w:val="24"/>
          <w:szCs w:val="24"/>
        </w:rPr>
        <w:t>les moyens de maintenir une distance entre la communion et la communication. Cette distance, par les confrontations agencées dans le processus reconstructif, permet de mener « à l’authentique révélation historique d’un mal politique déterminé »</w:t>
      </w:r>
      <w:r w:rsidRPr="00967063">
        <w:rPr>
          <w:rStyle w:val="FootnoteReference"/>
          <w:rFonts w:ascii="Times New Roman" w:hAnsi="Times New Roman" w:cs="Times New Roman"/>
          <w:sz w:val="24"/>
          <w:szCs w:val="24"/>
        </w:rPr>
        <w:footnoteReference w:id="145"/>
      </w:r>
      <w:r w:rsidRPr="00967063">
        <w:rPr>
          <w:rFonts w:ascii="Times New Roman" w:hAnsi="Times New Roman" w:cs="Times New Roman"/>
          <w:sz w:val="24"/>
          <w:szCs w:val="24"/>
        </w:rPr>
        <w:t xml:space="preserve">. </w:t>
      </w:r>
      <w:r w:rsidR="00904C97">
        <w:rPr>
          <w:rFonts w:ascii="Times New Roman" w:hAnsi="Times New Roman" w:cs="Times New Roman"/>
          <w:sz w:val="24"/>
          <w:szCs w:val="24"/>
        </w:rPr>
        <w:t>Or est-il que c’est dans</w:t>
      </w:r>
      <w:r w:rsidRPr="00967063">
        <w:rPr>
          <w:rFonts w:ascii="Times New Roman" w:hAnsi="Times New Roman" w:cs="Times New Roman"/>
          <w:sz w:val="24"/>
          <w:szCs w:val="24"/>
        </w:rPr>
        <w:t xml:space="preserve"> cette réalisation d’une mentalité élargie</w:t>
      </w:r>
      <w:r w:rsidR="00904C97">
        <w:rPr>
          <w:rFonts w:ascii="Times New Roman" w:hAnsi="Times New Roman" w:cs="Times New Roman"/>
          <w:sz w:val="24"/>
          <w:szCs w:val="24"/>
        </w:rPr>
        <w:t xml:space="preserve"> que</w:t>
      </w:r>
      <w:r w:rsidRPr="00967063">
        <w:rPr>
          <w:rFonts w:ascii="Times New Roman" w:hAnsi="Times New Roman" w:cs="Times New Roman"/>
          <w:sz w:val="24"/>
          <w:szCs w:val="24"/>
        </w:rPr>
        <w:t xml:space="preserve"> s’atteste, nous dit Ferry,</w:t>
      </w:r>
      <w:r w:rsidR="00904C97">
        <w:rPr>
          <w:rFonts w:ascii="Times New Roman" w:hAnsi="Times New Roman" w:cs="Times New Roman"/>
          <w:sz w:val="24"/>
          <w:szCs w:val="24"/>
        </w:rPr>
        <w:t xml:space="preserve"> </w:t>
      </w:r>
      <w:r w:rsidRPr="00967063">
        <w:rPr>
          <w:rFonts w:ascii="Times New Roman" w:hAnsi="Times New Roman" w:cs="Times New Roman"/>
          <w:sz w:val="24"/>
          <w:szCs w:val="24"/>
        </w:rPr>
        <w:t>le succès de la reconstruction</w:t>
      </w:r>
      <w:r w:rsidRPr="00967063">
        <w:rPr>
          <w:rStyle w:val="FootnoteReference"/>
          <w:rFonts w:ascii="Times New Roman" w:hAnsi="Times New Roman" w:cs="Times New Roman"/>
          <w:sz w:val="24"/>
          <w:szCs w:val="24"/>
        </w:rPr>
        <w:footnoteReference w:id="146"/>
      </w:r>
      <w:r w:rsidRPr="00967063">
        <w:rPr>
          <w:rFonts w:ascii="Times New Roman" w:hAnsi="Times New Roman" w:cs="Times New Roman"/>
          <w:sz w:val="24"/>
          <w:szCs w:val="24"/>
        </w:rPr>
        <w:t xml:space="preserve">. C’est </w:t>
      </w:r>
      <w:r w:rsidR="00904C97">
        <w:rPr>
          <w:rFonts w:ascii="Times New Roman" w:hAnsi="Times New Roman" w:cs="Times New Roman"/>
          <w:sz w:val="24"/>
          <w:szCs w:val="24"/>
        </w:rPr>
        <w:t>cette</w:t>
      </w:r>
      <w:r w:rsidRPr="00967063">
        <w:rPr>
          <w:rFonts w:ascii="Times New Roman" w:hAnsi="Times New Roman" w:cs="Times New Roman"/>
          <w:sz w:val="24"/>
          <w:szCs w:val="24"/>
        </w:rPr>
        <w:t xml:space="preserve"> mentalité élargie qui constitue </w:t>
      </w:r>
      <w:r w:rsidR="00904C97">
        <w:rPr>
          <w:rFonts w:ascii="Times New Roman" w:hAnsi="Times New Roman" w:cs="Times New Roman"/>
          <w:sz w:val="24"/>
          <w:szCs w:val="24"/>
        </w:rPr>
        <w:t xml:space="preserve">la </w:t>
      </w:r>
      <w:r w:rsidRPr="00967063">
        <w:rPr>
          <w:rFonts w:ascii="Times New Roman" w:hAnsi="Times New Roman" w:cs="Times New Roman"/>
          <w:sz w:val="24"/>
          <w:szCs w:val="24"/>
        </w:rPr>
        <w:t>communauté d’existence substantielle</w:t>
      </w:r>
      <w:r w:rsidR="00904C97">
        <w:rPr>
          <w:rFonts w:ascii="Times New Roman" w:hAnsi="Times New Roman" w:cs="Times New Roman"/>
          <w:sz w:val="24"/>
          <w:szCs w:val="24"/>
        </w:rPr>
        <w:t xml:space="preserve">. Son </w:t>
      </w:r>
      <w:r w:rsidRPr="00967063">
        <w:rPr>
          <w:rFonts w:ascii="Times New Roman" w:hAnsi="Times New Roman" w:cs="Times New Roman"/>
          <w:sz w:val="24"/>
          <w:szCs w:val="24"/>
        </w:rPr>
        <w:t>apparition n’est possible qu</w:t>
      </w:r>
      <w:r w:rsidR="0045353F">
        <w:rPr>
          <w:rFonts w:ascii="Times New Roman" w:hAnsi="Times New Roman" w:cs="Times New Roman"/>
          <w:sz w:val="24"/>
          <w:szCs w:val="24"/>
        </w:rPr>
        <w:t>e</w:t>
      </w:r>
      <w:r w:rsidRPr="00967063">
        <w:rPr>
          <w:rFonts w:ascii="Times New Roman" w:hAnsi="Times New Roman" w:cs="Times New Roman"/>
          <w:sz w:val="24"/>
          <w:szCs w:val="24"/>
        </w:rPr>
        <w:t xml:space="preserve"> si le processus est libre de toute violence structurelle. </w:t>
      </w:r>
    </w:p>
    <w:p w14:paraId="5682A4AF" w14:textId="2B02CC40" w:rsidR="001905B0" w:rsidRDefault="001905B0" w:rsidP="001905B0">
      <w:pPr>
        <w:pStyle w:val="NoSpacing"/>
        <w:numPr>
          <w:ilvl w:val="0"/>
          <w:numId w:val="22"/>
        </w:numPr>
        <w:spacing w:line="480" w:lineRule="auto"/>
        <w:jc w:val="both"/>
        <w:outlineLvl w:val="1"/>
        <w:rPr>
          <w:rFonts w:ascii="Times New Roman" w:hAnsi="Times New Roman" w:cs="Times New Roman"/>
          <w:sz w:val="24"/>
          <w:szCs w:val="24"/>
        </w:rPr>
      </w:pPr>
      <w:bookmarkStart w:id="58" w:name="_Toc3637624"/>
      <w:bookmarkStart w:id="59" w:name="_Toc6239822"/>
      <w:r w:rsidRPr="00967063">
        <w:rPr>
          <w:rFonts w:ascii="Times New Roman" w:hAnsi="Times New Roman" w:cs="Times New Roman"/>
          <w:sz w:val="24"/>
          <w:szCs w:val="24"/>
        </w:rPr>
        <w:t>L’éthique reconstructive permet à la CVR de révéler le mal structurel et de prévenir ainsi la violence symbolique</w:t>
      </w:r>
      <w:bookmarkEnd w:id="58"/>
      <w:bookmarkEnd w:id="59"/>
    </w:p>
    <w:p w14:paraId="25628FCA" w14:textId="77777777" w:rsidR="00904C97" w:rsidRPr="00967063" w:rsidRDefault="00904C97" w:rsidP="00904C97">
      <w:pPr>
        <w:pStyle w:val="NoSpacing"/>
        <w:spacing w:line="480" w:lineRule="auto"/>
        <w:ind w:left="1068"/>
        <w:jc w:val="both"/>
        <w:outlineLvl w:val="1"/>
        <w:rPr>
          <w:rFonts w:ascii="Times New Roman" w:hAnsi="Times New Roman" w:cs="Times New Roman"/>
          <w:sz w:val="24"/>
          <w:szCs w:val="24"/>
        </w:rPr>
      </w:pPr>
    </w:p>
    <w:p w14:paraId="6CF4C0BD" w14:textId="3061C69E" w:rsidR="001905B0" w:rsidRPr="00967063" w:rsidRDefault="001905B0" w:rsidP="001905B0">
      <w:pPr>
        <w:pStyle w:val="NoSpacing"/>
        <w:spacing w:line="480" w:lineRule="auto"/>
        <w:ind w:firstLine="708"/>
        <w:jc w:val="both"/>
        <w:rPr>
          <w:rFonts w:ascii="Times New Roman" w:hAnsi="Times New Roman" w:cs="Times New Roman"/>
          <w:sz w:val="24"/>
          <w:szCs w:val="24"/>
        </w:rPr>
      </w:pPr>
      <w:r w:rsidRPr="00967063">
        <w:rPr>
          <w:rFonts w:ascii="Times New Roman" w:hAnsi="Times New Roman" w:cs="Times New Roman"/>
          <w:sz w:val="24"/>
          <w:szCs w:val="24"/>
        </w:rPr>
        <w:t>Par mal structurel, nous entendons « toute distribution asymétrique des chances codifiée dans un système de normes et exigeant d’être respecté par tous les participants »</w:t>
      </w:r>
      <w:r w:rsidRPr="00967063">
        <w:rPr>
          <w:rStyle w:val="FootnoteReference"/>
          <w:rFonts w:ascii="Times New Roman" w:hAnsi="Times New Roman" w:cs="Times New Roman"/>
          <w:sz w:val="24"/>
          <w:szCs w:val="24"/>
        </w:rPr>
        <w:footnoteReference w:id="147"/>
      </w:r>
      <w:r w:rsidRPr="00967063">
        <w:rPr>
          <w:rFonts w:ascii="Times New Roman" w:hAnsi="Times New Roman" w:cs="Times New Roman"/>
          <w:sz w:val="24"/>
          <w:szCs w:val="24"/>
        </w:rPr>
        <w:t xml:space="preserve">. </w:t>
      </w:r>
      <w:r w:rsidR="0045353F">
        <w:rPr>
          <w:rFonts w:ascii="Times New Roman" w:hAnsi="Times New Roman" w:cs="Times New Roman"/>
          <w:sz w:val="24"/>
          <w:szCs w:val="24"/>
        </w:rPr>
        <w:t>Est-ce qu’il y a un</w:t>
      </w:r>
      <w:r w:rsidRPr="00967063">
        <w:rPr>
          <w:rFonts w:ascii="Times New Roman" w:hAnsi="Times New Roman" w:cs="Times New Roman"/>
          <w:sz w:val="24"/>
          <w:szCs w:val="24"/>
        </w:rPr>
        <w:t xml:space="preserve"> risque que le processus de vérité et réconciliation subisse ce genre de mal structurel? Notre réponse est oui. </w:t>
      </w:r>
    </w:p>
    <w:p w14:paraId="0492F379" w14:textId="320D5A44" w:rsidR="001905B0" w:rsidRPr="00967063" w:rsidRDefault="001905B0" w:rsidP="001905B0">
      <w:pPr>
        <w:pStyle w:val="NoSpacing"/>
        <w:spacing w:line="480" w:lineRule="auto"/>
        <w:ind w:firstLine="708"/>
        <w:jc w:val="both"/>
        <w:rPr>
          <w:rFonts w:ascii="Times New Roman" w:hAnsi="Times New Roman" w:cs="Times New Roman"/>
          <w:sz w:val="24"/>
          <w:szCs w:val="24"/>
        </w:rPr>
      </w:pPr>
      <w:r w:rsidRPr="00967063">
        <w:rPr>
          <w:rFonts w:ascii="Times New Roman" w:hAnsi="Times New Roman" w:cs="Times New Roman"/>
          <w:sz w:val="24"/>
          <w:szCs w:val="24"/>
        </w:rPr>
        <w:t>En suivant le processus reconstructif, la CVR «</w:t>
      </w:r>
      <w:r w:rsidRPr="00967063">
        <w:rPr>
          <w:rFonts w:ascii="Times New Roman" w:eastAsia="Times New Roman" w:hAnsi="Times New Roman" w:cs="Times New Roman"/>
          <w:iCs/>
          <w:sz w:val="24"/>
          <w:szCs w:val="24"/>
          <w:lang w:val="fr" w:eastAsia="fr-CA"/>
        </w:rPr>
        <w:t xml:space="preserve"> aide à reprendre, en vue de sa résolution, la dialectique du malentendu, qui a pu jalonner les procès d’entente »</w:t>
      </w:r>
      <w:r w:rsidRPr="00967063">
        <w:rPr>
          <w:rStyle w:val="FootnoteReference"/>
          <w:rFonts w:ascii="Times New Roman" w:hAnsi="Times New Roman" w:cs="Times New Roman"/>
          <w:sz w:val="24"/>
          <w:szCs w:val="24"/>
        </w:rPr>
        <w:footnoteReference w:id="148"/>
      </w:r>
      <w:r w:rsidRPr="00967063">
        <w:rPr>
          <w:rFonts w:ascii="Times New Roman" w:eastAsia="Times New Roman" w:hAnsi="Times New Roman" w:cs="Times New Roman"/>
          <w:iCs/>
          <w:sz w:val="24"/>
          <w:szCs w:val="24"/>
          <w:lang w:val="fr" w:eastAsia="fr-CA"/>
        </w:rPr>
        <w:t xml:space="preserve">. Dans ce cas-ci, il s’agit de reconstruire pour thématiser la présence ou non d’une </w:t>
      </w:r>
      <w:r w:rsidRPr="00967063">
        <w:rPr>
          <w:rFonts w:ascii="Times New Roman" w:hAnsi="Times New Roman" w:cs="Times New Roman"/>
          <w:sz w:val="24"/>
          <w:szCs w:val="24"/>
        </w:rPr>
        <w:t>asymétrie des chances entre les participants et qui plus est, qui aurait été codifiée dans les normes. Nous pensons par exemple, à une reprise des conditions de nomination des membres de la CVR, à l’implication des personnes ayant bénéficié des amnisties entre 2003 et 2006, à la collaboration avec le conseil consultatif international ou à l’impossibilité de participer au processus pour les réfugiés.</w:t>
      </w:r>
    </w:p>
    <w:p w14:paraId="14931026" w14:textId="77777777" w:rsidR="001905B0" w:rsidRPr="00967063" w:rsidRDefault="001905B0" w:rsidP="001905B0">
      <w:pPr>
        <w:pStyle w:val="NoSpacing"/>
        <w:spacing w:line="480" w:lineRule="auto"/>
        <w:ind w:firstLine="708"/>
        <w:jc w:val="both"/>
        <w:rPr>
          <w:rFonts w:ascii="Times New Roman" w:hAnsi="Times New Roman" w:cs="Times New Roman"/>
          <w:sz w:val="24"/>
          <w:szCs w:val="24"/>
        </w:rPr>
      </w:pPr>
      <w:r w:rsidRPr="00967063">
        <w:rPr>
          <w:rFonts w:ascii="Times New Roman" w:hAnsi="Times New Roman" w:cs="Times New Roman"/>
          <w:sz w:val="24"/>
          <w:szCs w:val="24"/>
        </w:rPr>
        <w:t>A défaut de pouvoir thématiser ce qui a été soustrait au processus de vérité et réconciliation, il est à craindre que le processus actuel soit en train de subir une violence symbolique qui ne peut qu’ouvrir la voie aux injustices dont parle Ferry : « omissions mensongères dans les narrations, les déformations malveillantes dans les interprétations et les conclusions répressives dans les argumentations »</w:t>
      </w:r>
      <w:r w:rsidRPr="00967063">
        <w:rPr>
          <w:rStyle w:val="FootnoteReference"/>
          <w:rFonts w:ascii="Times New Roman" w:hAnsi="Times New Roman" w:cs="Times New Roman"/>
          <w:sz w:val="24"/>
          <w:szCs w:val="24"/>
        </w:rPr>
        <w:footnoteReference w:id="149"/>
      </w:r>
      <w:r w:rsidRPr="00967063">
        <w:rPr>
          <w:rFonts w:ascii="Times New Roman" w:hAnsi="Times New Roman" w:cs="Times New Roman"/>
          <w:sz w:val="24"/>
          <w:szCs w:val="24"/>
        </w:rPr>
        <w:t xml:space="preserve">. Bref, des injustices qui nécessiteront plus tard un autre processus reconstructif.  </w:t>
      </w:r>
    </w:p>
    <w:p w14:paraId="68DF3534" w14:textId="2DFE64CC" w:rsidR="001905B0" w:rsidRPr="00967063" w:rsidRDefault="001905B0" w:rsidP="001905B0">
      <w:pPr>
        <w:pStyle w:val="NoSpacing"/>
        <w:spacing w:line="480" w:lineRule="auto"/>
        <w:ind w:firstLine="708"/>
        <w:jc w:val="both"/>
        <w:rPr>
          <w:rFonts w:ascii="Times New Roman" w:hAnsi="Times New Roman" w:cs="Times New Roman"/>
          <w:sz w:val="24"/>
          <w:szCs w:val="24"/>
        </w:rPr>
      </w:pPr>
      <w:r w:rsidRPr="00967063">
        <w:rPr>
          <w:rFonts w:ascii="Times New Roman" w:hAnsi="Times New Roman" w:cs="Times New Roman"/>
          <w:bCs/>
          <w:sz w:val="24"/>
          <w:szCs w:val="24"/>
        </w:rPr>
        <w:t xml:space="preserve">On peut retenir de ce chapitre trois éléments. Premièrement, la CVR est engagée moralement à rejoindre le processus de vérité et réconciliation. C’est que </w:t>
      </w:r>
      <w:r w:rsidR="00D030BF">
        <w:rPr>
          <w:rFonts w:ascii="Times New Roman" w:hAnsi="Times New Roman" w:cs="Times New Roman"/>
          <w:sz w:val="24"/>
          <w:szCs w:val="24"/>
        </w:rPr>
        <w:t>le pardon</w:t>
      </w:r>
      <w:r w:rsidRPr="00967063">
        <w:rPr>
          <w:rFonts w:ascii="Times New Roman" w:hAnsi="Times New Roman" w:cs="Times New Roman"/>
          <w:sz w:val="24"/>
          <w:szCs w:val="24"/>
        </w:rPr>
        <w:t xml:space="preserve"> et la réconciliation sont des formes d’action que l’on ne peut ni empêcher ni prévoir. Deuxièmement, en s’appuyant sur la reconstruction, la CVR peut aider les participants </w:t>
      </w:r>
      <w:r w:rsidR="00D030BF">
        <w:rPr>
          <w:rFonts w:ascii="Times New Roman" w:hAnsi="Times New Roman" w:cs="Times New Roman"/>
          <w:sz w:val="24"/>
          <w:szCs w:val="24"/>
        </w:rPr>
        <w:t>aussi bien que les</w:t>
      </w:r>
      <w:r w:rsidR="00D030BF" w:rsidRPr="00967063">
        <w:rPr>
          <w:rFonts w:ascii="Times New Roman" w:hAnsi="Times New Roman" w:cs="Times New Roman"/>
          <w:sz w:val="24"/>
          <w:szCs w:val="24"/>
        </w:rPr>
        <w:t xml:space="preserve"> </w:t>
      </w:r>
      <w:r w:rsidRPr="00967063">
        <w:rPr>
          <w:rFonts w:ascii="Times New Roman" w:hAnsi="Times New Roman" w:cs="Times New Roman"/>
          <w:sz w:val="24"/>
          <w:szCs w:val="24"/>
        </w:rPr>
        <w:t>spectateurs du processus à accéder au savoir tragique. Ils pourront certes être brisés par leur tragédie</w:t>
      </w:r>
      <w:r w:rsidR="00D030BF">
        <w:rPr>
          <w:rFonts w:ascii="Times New Roman" w:hAnsi="Times New Roman" w:cs="Times New Roman"/>
          <w:sz w:val="24"/>
          <w:szCs w:val="24"/>
        </w:rPr>
        <w:t>,</w:t>
      </w:r>
      <w:r w:rsidRPr="00967063">
        <w:rPr>
          <w:rFonts w:ascii="Times New Roman" w:hAnsi="Times New Roman" w:cs="Times New Roman"/>
          <w:sz w:val="24"/>
          <w:szCs w:val="24"/>
        </w:rPr>
        <w:t xml:space="preserve"> mais ils seront délivrés dans cette reconnaissance. Troisièmement, la CVR pourra aider à faire en sorte qu’apparaisse une mentalité élargie ou une communauté d’existence substantielle constituée par la lutte ensemble pour empêcher que le mal politique ne gagne du terrain. Par la reconstruction, </w:t>
      </w:r>
      <w:r w:rsidR="00D030BF">
        <w:rPr>
          <w:rFonts w:ascii="Times New Roman" w:hAnsi="Times New Roman" w:cs="Times New Roman"/>
          <w:sz w:val="24"/>
          <w:szCs w:val="24"/>
        </w:rPr>
        <w:t>la Commission</w:t>
      </w:r>
      <w:r w:rsidR="00D030BF" w:rsidRPr="00967063">
        <w:rPr>
          <w:rFonts w:ascii="Times New Roman" w:hAnsi="Times New Roman" w:cs="Times New Roman"/>
          <w:sz w:val="24"/>
          <w:szCs w:val="24"/>
        </w:rPr>
        <w:t xml:space="preserve"> </w:t>
      </w:r>
      <w:r w:rsidRPr="00967063">
        <w:rPr>
          <w:rFonts w:ascii="Times New Roman" w:hAnsi="Times New Roman" w:cs="Times New Roman"/>
          <w:sz w:val="24"/>
          <w:szCs w:val="24"/>
        </w:rPr>
        <w:t xml:space="preserve">pourra aider à faire en sorte que tout ce qui a été soustrait au processus soit thématisé en vue de l’intercompréhension. </w:t>
      </w:r>
    </w:p>
    <w:p w14:paraId="471BB7A1" w14:textId="77777777" w:rsidR="00DD675E" w:rsidRDefault="00DD675E">
      <w:pPr>
        <w:rPr>
          <w:rFonts w:ascii="Times New Roman" w:hAnsi="Times New Roman" w:cs="Times New Roman"/>
          <w:b/>
          <w:bCs/>
          <w:iCs/>
          <w:kern w:val="36"/>
          <w:sz w:val="24"/>
          <w:szCs w:val="24"/>
          <w:lang w:eastAsia="fr-CA"/>
        </w:rPr>
      </w:pPr>
      <w:bookmarkStart w:id="60" w:name="_Toc3637625"/>
      <w:r>
        <w:rPr>
          <w:iCs/>
          <w:sz w:val="24"/>
          <w:szCs w:val="24"/>
        </w:rPr>
        <w:br w:type="page"/>
      </w:r>
    </w:p>
    <w:p w14:paraId="5608FCF5" w14:textId="586F7656" w:rsidR="001905B0" w:rsidRPr="00967063" w:rsidRDefault="001905B0" w:rsidP="001905B0">
      <w:pPr>
        <w:pStyle w:val="Heading1"/>
        <w:rPr>
          <w:rFonts w:eastAsiaTheme="minorHAnsi"/>
          <w:b w:val="0"/>
          <w:iCs/>
          <w:sz w:val="24"/>
          <w:szCs w:val="24"/>
        </w:rPr>
      </w:pPr>
      <w:bookmarkStart w:id="61" w:name="_Toc6239823"/>
      <w:r w:rsidRPr="00967063">
        <w:rPr>
          <w:rFonts w:eastAsiaTheme="minorHAnsi"/>
          <w:iCs/>
          <w:sz w:val="24"/>
          <w:szCs w:val="24"/>
        </w:rPr>
        <w:t>Conclusion</w:t>
      </w:r>
      <w:bookmarkEnd w:id="60"/>
      <w:bookmarkEnd w:id="61"/>
    </w:p>
    <w:p w14:paraId="31DD2084" w14:textId="77777777" w:rsidR="001905B0" w:rsidRPr="00967063" w:rsidRDefault="001905B0" w:rsidP="001905B0">
      <w:pPr>
        <w:rPr>
          <w:rFonts w:ascii="Times New Roman" w:hAnsi="Times New Roman" w:cs="Times New Roman"/>
          <w:sz w:val="24"/>
          <w:szCs w:val="24"/>
        </w:rPr>
      </w:pPr>
    </w:p>
    <w:p w14:paraId="0B3535CF" w14:textId="2C023034" w:rsidR="001905B0" w:rsidRPr="00967063" w:rsidRDefault="001905B0" w:rsidP="001905B0">
      <w:pPr>
        <w:spacing w:line="480" w:lineRule="auto"/>
        <w:ind w:firstLine="708"/>
        <w:jc w:val="both"/>
        <w:rPr>
          <w:rFonts w:ascii="Times New Roman" w:hAnsi="Times New Roman" w:cs="Times New Roman"/>
          <w:sz w:val="24"/>
          <w:szCs w:val="24"/>
        </w:rPr>
      </w:pPr>
      <w:r w:rsidRPr="00967063">
        <w:rPr>
          <w:rFonts w:ascii="Times New Roman" w:hAnsi="Times New Roman" w:cs="Times New Roman"/>
          <w:sz w:val="24"/>
          <w:szCs w:val="24"/>
        </w:rPr>
        <w:t xml:space="preserve">Notre </w:t>
      </w:r>
      <w:r w:rsidR="0045353F">
        <w:rPr>
          <w:rFonts w:ascii="Times New Roman" w:hAnsi="Times New Roman" w:cs="Times New Roman"/>
          <w:sz w:val="24"/>
          <w:szCs w:val="24"/>
        </w:rPr>
        <w:t>mémoire de</w:t>
      </w:r>
      <w:r w:rsidRPr="00967063">
        <w:rPr>
          <w:rFonts w:ascii="Times New Roman" w:hAnsi="Times New Roman" w:cs="Times New Roman"/>
          <w:sz w:val="24"/>
          <w:szCs w:val="24"/>
        </w:rPr>
        <w:t xml:space="preserve"> maitrise a mis à contribution l’éthique reconstructive de Jean-Marc Ferry </w:t>
      </w:r>
      <w:r w:rsidR="0045353F">
        <w:rPr>
          <w:rFonts w:ascii="Times New Roman" w:hAnsi="Times New Roman" w:cs="Times New Roman"/>
          <w:sz w:val="24"/>
          <w:szCs w:val="24"/>
        </w:rPr>
        <w:t>afin de réfléchir et d’analyser les</w:t>
      </w:r>
      <w:r w:rsidRPr="00967063">
        <w:rPr>
          <w:rFonts w:ascii="Times New Roman" w:hAnsi="Times New Roman" w:cs="Times New Roman"/>
          <w:sz w:val="24"/>
          <w:szCs w:val="24"/>
        </w:rPr>
        <w:t xml:space="preserve"> défis que connaît le processus burundais de vérité et réconciliation. Nous n’avons ni la prétention d’avoir épuisé ce cadre éthique</w:t>
      </w:r>
      <w:r w:rsidR="00E1597A">
        <w:rPr>
          <w:rFonts w:ascii="Times New Roman" w:hAnsi="Times New Roman" w:cs="Times New Roman"/>
          <w:sz w:val="24"/>
          <w:szCs w:val="24"/>
        </w:rPr>
        <w:t xml:space="preserve"> si</w:t>
      </w:r>
      <w:r w:rsidRPr="00967063">
        <w:rPr>
          <w:rFonts w:ascii="Times New Roman" w:hAnsi="Times New Roman" w:cs="Times New Roman"/>
          <w:sz w:val="24"/>
          <w:szCs w:val="24"/>
        </w:rPr>
        <w:t xml:space="preserve"> riche </w:t>
      </w:r>
      <w:r w:rsidR="00E1597A">
        <w:rPr>
          <w:rFonts w:ascii="Times New Roman" w:hAnsi="Times New Roman" w:cs="Times New Roman"/>
          <w:sz w:val="24"/>
          <w:szCs w:val="24"/>
        </w:rPr>
        <w:t xml:space="preserve">et </w:t>
      </w:r>
      <w:r w:rsidRPr="00967063">
        <w:rPr>
          <w:rFonts w:ascii="Times New Roman" w:hAnsi="Times New Roman" w:cs="Times New Roman"/>
          <w:sz w:val="24"/>
          <w:szCs w:val="24"/>
        </w:rPr>
        <w:t>qui, nous l’espérons, s’imposera de plus en plus comme cadre de référence</w:t>
      </w:r>
      <w:r w:rsidR="00E1597A">
        <w:rPr>
          <w:rFonts w:ascii="Times New Roman" w:hAnsi="Times New Roman" w:cs="Times New Roman"/>
          <w:sz w:val="24"/>
          <w:szCs w:val="24"/>
        </w:rPr>
        <w:t xml:space="preserve"> d’une part </w:t>
      </w:r>
      <w:r w:rsidRPr="00967063">
        <w:rPr>
          <w:rFonts w:ascii="Times New Roman" w:hAnsi="Times New Roman" w:cs="Times New Roman"/>
          <w:sz w:val="24"/>
          <w:szCs w:val="24"/>
        </w:rPr>
        <w:t>ni d’avoir épuisé l’enquête sur le processus</w:t>
      </w:r>
      <w:r w:rsidR="00E1597A">
        <w:rPr>
          <w:rFonts w:ascii="Times New Roman" w:hAnsi="Times New Roman" w:cs="Times New Roman"/>
          <w:sz w:val="24"/>
          <w:szCs w:val="24"/>
        </w:rPr>
        <w:t xml:space="preserve"> d’autre part</w:t>
      </w:r>
      <w:r w:rsidRPr="00967063">
        <w:rPr>
          <w:rFonts w:ascii="Times New Roman" w:hAnsi="Times New Roman" w:cs="Times New Roman"/>
          <w:sz w:val="24"/>
          <w:szCs w:val="24"/>
        </w:rPr>
        <w:t xml:space="preserve">. Cela aurait exigé </w:t>
      </w:r>
      <w:r w:rsidR="00E1597A">
        <w:rPr>
          <w:rFonts w:ascii="Times New Roman" w:hAnsi="Times New Roman" w:cs="Times New Roman"/>
          <w:sz w:val="24"/>
          <w:szCs w:val="24"/>
        </w:rPr>
        <w:t xml:space="preserve">en effet </w:t>
      </w:r>
      <w:r w:rsidRPr="00967063">
        <w:rPr>
          <w:rFonts w:ascii="Times New Roman" w:hAnsi="Times New Roman" w:cs="Times New Roman"/>
          <w:sz w:val="24"/>
          <w:szCs w:val="24"/>
        </w:rPr>
        <w:t xml:space="preserve">d’être sur </w:t>
      </w:r>
      <w:r w:rsidR="00BC5269">
        <w:rPr>
          <w:rFonts w:ascii="Times New Roman" w:hAnsi="Times New Roman" w:cs="Times New Roman"/>
          <w:sz w:val="24"/>
          <w:szCs w:val="24"/>
        </w:rPr>
        <w:t xml:space="preserve">le </w:t>
      </w:r>
      <w:r w:rsidRPr="00967063">
        <w:rPr>
          <w:rFonts w:ascii="Times New Roman" w:hAnsi="Times New Roman" w:cs="Times New Roman"/>
          <w:sz w:val="24"/>
          <w:szCs w:val="24"/>
        </w:rPr>
        <w:t xml:space="preserve">terrain pour croiser les données dans une enquête aussi bien qualitative que quantitative.  </w:t>
      </w:r>
    </w:p>
    <w:p w14:paraId="135DEF1D" w14:textId="70C403BA" w:rsidR="001905B0" w:rsidRPr="00967063" w:rsidRDefault="001905B0" w:rsidP="001905B0">
      <w:pPr>
        <w:spacing w:line="480" w:lineRule="auto"/>
        <w:ind w:firstLine="708"/>
        <w:jc w:val="both"/>
        <w:rPr>
          <w:rFonts w:ascii="Times New Roman" w:hAnsi="Times New Roman" w:cs="Times New Roman"/>
          <w:sz w:val="24"/>
          <w:szCs w:val="24"/>
        </w:rPr>
      </w:pPr>
      <w:r w:rsidRPr="00967063">
        <w:rPr>
          <w:rFonts w:ascii="Times New Roman" w:hAnsi="Times New Roman" w:cs="Times New Roman"/>
          <w:sz w:val="24"/>
          <w:szCs w:val="24"/>
        </w:rPr>
        <w:t xml:space="preserve">La limite étant posée, il convient de faire maintenant un retour </w:t>
      </w:r>
      <w:r w:rsidR="0045353F">
        <w:rPr>
          <w:rFonts w:ascii="Times New Roman" w:hAnsi="Times New Roman" w:cs="Times New Roman"/>
          <w:sz w:val="24"/>
          <w:szCs w:val="24"/>
        </w:rPr>
        <w:t xml:space="preserve">sur </w:t>
      </w:r>
      <w:r w:rsidRPr="00967063">
        <w:rPr>
          <w:rFonts w:ascii="Times New Roman" w:hAnsi="Times New Roman" w:cs="Times New Roman"/>
          <w:sz w:val="24"/>
          <w:szCs w:val="24"/>
        </w:rPr>
        <w:t xml:space="preserve">l’ensemble de notre travail. Au travers des chapitres qui précèdent, nous nous sommes mis à l’écoute de deux références importantes pour une bonne saisie de la contribution de l’éthique reconstructive au travail de la CVR au Burundi.  </w:t>
      </w:r>
    </w:p>
    <w:p w14:paraId="15AAE5C2" w14:textId="2E00A654" w:rsidR="001905B0" w:rsidRPr="00967063" w:rsidRDefault="001905B0" w:rsidP="001905B0">
      <w:pPr>
        <w:spacing w:line="480" w:lineRule="auto"/>
        <w:ind w:firstLine="708"/>
        <w:jc w:val="both"/>
        <w:rPr>
          <w:rFonts w:ascii="Times New Roman" w:hAnsi="Times New Roman" w:cs="Times New Roman"/>
          <w:sz w:val="24"/>
          <w:szCs w:val="24"/>
          <w:lang w:val="fr"/>
        </w:rPr>
      </w:pPr>
      <w:r w:rsidRPr="00967063">
        <w:rPr>
          <w:rFonts w:ascii="Times New Roman" w:hAnsi="Times New Roman" w:cs="Times New Roman"/>
          <w:sz w:val="24"/>
          <w:szCs w:val="24"/>
        </w:rPr>
        <w:t>À l’écoute d’abord</w:t>
      </w:r>
      <w:r w:rsidR="0045353F">
        <w:rPr>
          <w:rFonts w:ascii="Times New Roman" w:hAnsi="Times New Roman" w:cs="Times New Roman"/>
          <w:sz w:val="24"/>
          <w:szCs w:val="24"/>
        </w:rPr>
        <w:t xml:space="preserve"> de</w:t>
      </w:r>
      <w:r w:rsidRPr="00967063">
        <w:rPr>
          <w:rFonts w:ascii="Times New Roman" w:hAnsi="Times New Roman" w:cs="Times New Roman"/>
          <w:sz w:val="24"/>
          <w:szCs w:val="24"/>
        </w:rPr>
        <w:t xml:space="preserve"> Stef Vandengiste, un constitutionnaliste belge, chercheur à l'Université d'Anvers (Belgique) qui s’intéresse particulièrement à l'histoire contemporaine de l'Afrique centrale et au Burundi. Sa contribution a été essentielle pour l’éclairage des circonstances de travail de la commission. Même si l’article auquel nous faisons référence date de 2009, c’est-à-dire donc, bien avant la mise en place de la CVR (2014), il nous a permis de saisir l’histoire des relations déchirée</w:t>
      </w:r>
      <w:r w:rsidR="0045353F">
        <w:rPr>
          <w:rFonts w:ascii="Times New Roman" w:hAnsi="Times New Roman" w:cs="Times New Roman"/>
          <w:sz w:val="24"/>
          <w:szCs w:val="24"/>
        </w:rPr>
        <w:t>s</w:t>
      </w:r>
      <w:r w:rsidRPr="00967063">
        <w:rPr>
          <w:rFonts w:ascii="Times New Roman" w:hAnsi="Times New Roman" w:cs="Times New Roman"/>
          <w:sz w:val="24"/>
          <w:szCs w:val="24"/>
        </w:rPr>
        <w:t xml:space="preserve"> entre Hutus et Tutsi</w:t>
      </w:r>
      <w:r w:rsidR="0045353F">
        <w:rPr>
          <w:rFonts w:ascii="Times New Roman" w:hAnsi="Times New Roman" w:cs="Times New Roman"/>
          <w:sz w:val="24"/>
          <w:szCs w:val="24"/>
        </w:rPr>
        <w:t>s</w:t>
      </w:r>
      <w:r w:rsidRPr="00967063">
        <w:rPr>
          <w:rFonts w:ascii="Times New Roman" w:hAnsi="Times New Roman" w:cs="Times New Roman"/>
          <w:sz w:val="24"/>
          <w:szCs w:val="24"/>
        </w:rPr>
        <w:t>, celle d’un processus de paix signé au forceps, d’une transition sans mécanismes transitionnels avec des accords globaux de cessez-le-feu et des amnisties problématiques, le refus du pôle</w:t>
      </w:r>
      <w:r w:rsidR="0045353F">
        <w:rPr>
          <w:rFonts w:ascii="Times New Roman" w:hAnsi="Times New Roman" w:cs="Times New Roman"/>
          <w:sz w:val="24"/>
          <w:szCs w:val="24"/>
        </w:rPr>
        <w:t xml:space="preserve"> de la</w:t>
      </w:r>
      <w:r w:rsidRPr="00967063">
        <w:rPr>
          <w:rFonts w:ascii="Times New Roman" w:hAnsi="Times New Roman" w:cs="Times New Roman"/>
          <w:sz w:val="24"/>
          <w:szCs w:val="24"/>
        </w:rPr>
        <w:t xml:space="preserve"> justice et finalement le choix d’une CVR sans volet judiciaire comme mécanisme transitionnel. En plus de ce problème de conflits au sujet des préférences normatives (les pôles réparation et réconciliation contre le pôle justice), nous avons vu que la CVR, depuis avril 2015, affronte deux autres problèmes. D’un côté une incertitude stratégique eu égard à l’enquête en</w:t>
      </w:r>
      <w:r w:rsidR="0045353F">
        <w:rPr>
          <w:rFonts w:ascii="Times New Roman" w:hAnsi="Times New Roman" w:cs="Times New Roman"/>
          <w:sz w:val="24"/>
          <w:szCs w:val="24"/>
        </w:rPr>
        <w:t xml:space="preserve"> </w:t>
      </w:r>
      <w:r w:rsidRPr="00967063">
        <w:rPr>
          <w:rFonts w:ascii="Times New Roman" w:hAnsi="Times New Roman" w:cs="Times New Roman"/>
          <w:sz w:val="24"/>
          <w:szCs w:val="24"/>
        </w:rPr>
        <w:t xml:space="preserve">cours de la CPI sur les violations graves commises par le gouvernement, lesquelles violations sont à l’origine du phénomène des réfugiés depuis 2015. En d’autres termes, les participants au processus actuel de la CVR sont ceux-là même qui sont touchés par la crise en cours depuis 2015.  </w:t>
      </w:r>
    </w:p>
    <w:p w14:paraId="583CFC1F" w14:textId="7E6B395E" w:rsidR="001905B0" w:rsidRPr="00967063" w:rsidRDefault="001905B0" w:rsidP="001905B0">
      <w:pPr>
        <w:spacing w:line="480" w:lineRule="auto"/>
        <w:ind w:firstLine="708"/>
        <w:jc w:val="both"/>
        <w:rPr>
          <w:rFonts w:ascii="Times New Roman" w:hAnsi="Times New Roman" w:cs="Times New Roman"/>
          <w:sz w:val="24"/>
          <w:szCs w:val="24"/>
          <w:lang w:val="fr"/>
        </w:rPr>
      </w:pPr>
      <w:r w:rsidRPr="00967063">
        <w:rPr>
          <w:rFonts w:ascii="Times New Roman" w:hAnsi="Times New Roman" w:cs="Times New Roman"/>
          <w:sz w:val="24"/>
          <w:szCs w:val="24"/>
          <w:lang w:val="fr"/>
        </w:rPr>
        <w:t>À l’écoute ensuite de Jean-Marc</w:t>
      </w:r>
      <w:r w:rsidR="008C5DAA">
        <w:rPr>
          <w:rFonts w:ascii="Times New Roman" w:hAnsi="Times New Roman" w:cs="Times New Roman"/>
          <w:sz w:val="24"/>
          <w:szCs w:val="24"/>
          <w:lang w:val="fr"/>
        </w:rPr>
        <w:t xml:space="preserve"> Ferry</w:t>
      </w:r>
      <w:r w:rsidRPr="00967063">
        <w:rPr>
          <w:rFonts w:ascii="Times New Roman" w:hAnsi="Times New Roman" w:cs="Times New Roman"/>
          <w:sz w:val="24"/>
          <w:szCs w:val="24"/>
          <w:lang w:val="fr"/>
        </w:rPr>
        <w:t xml:space="preserve"> qui nous propose un cadre éthique</w:t>
      </w:r>
      <w:r w:rsidR="008C5DAA">
        <w:rPr>
          <w:rFonts w:ascii="Times New Roman" w:hAnsi="Times New Roman" w:cs="Times New Roman"/>
          <w:sz w:val="24"/>
          <w:szCs w:val="24"/>
          <w:lang w:val="fr"/>
        </w:rPr>
        <w:t xml:space="preserve"> qui peut s’</w:t>
      </w:r>
      <w:r w:rsidRPr="00967063">
        <w:rPr>
          <w:rFonts w:ascii="Times New Roman" w:hAnsi="Times New Roman" w:cs="Times New Roman"/>
          <w:sz w:val="24"/>
          <w:szCs w:val="24"/>
          <w:lang w:val="fr"/>
        </w:rPr>
        <w:t>arrim</w:t>
      </w:r>
      <w:r w:rsidR="008C5DAA">
        <w:rPr>
          <w:rFonts w:ascii="Times New Roman" w:hAnsi="Times New Roman" w:cs="Times New Roman"/>
          <w:sz w:val="24"/>
          <w:szCs w:val="24"/>
          <w:lang w:val="fr"/>
        </w:rPr>
        <w:t>er</w:t>
      </w:r>
      <w:r w:rsidRPr="00967063">
        <w:rPr>
          <w:rFonts w:ascii="Times New Roman" w:hAnsi="Times New Roman" w:cs="Times New Roman"/>
          <w:sz w:val="24"/>
          <w:szCs w:val="24"/>
          <w:lang w:val="fr"/>
        </w:rPr>
        <w:t xml:space="preserve"> aux circonstances de travail de la CVR. Il nous a permis de comprendre que l’éthique reconstructrice est une éthique qui propose de partir de la structure des relations déchirées et qui vise, à travers un processus fait de phases (narratives, interprétatives, argumentatives et reconstructives) à lever le destin hostile. Nous avons compris que le destin et sa causalité sont levés non pas par le droit mais par le pardon. En nous appuyant sur Hannah Arendt et sa notion de l’action, nous avons compris que le pardon va de pair avec la promesse. Or celle-ci n’est possible, avons-nous vu, que si le processus burundais expose tout ce qui lui a été soustrait jusqu’à ce jour. Sinon il est à appréhender fortement qu’il ne subisse une violence symbolique et soit par conséquent sans valeur. </w:t>
      </w:r>
    </w:p>
    <w:p w14:paraId="36A11764" w14:textId="7284BDB6" w:rsidR="001905B0" w:rsidRPr="00967063" w:rsidRDefault="001905B0" w:rsidP="001905B0">
      <w:pPr>
        <w:spacing w:line="480" w:lineRule="auto"/>
        <w:ind w:firstLine="708"/>
        <w:jc w:val="both"/>
        <w:rPr>
          <w:rFonts w:ascii="Times New Roman" w:hAnsi="Times New Roman" w:cs="Times New Roman"/>
          <w:iCs/>
          <w:sz w:val="24"/>
          <w:szCs w:val="24"/>
          <w:lang w:val="fr"/>
        </w:rPr>
      </w:pPr>
      <w:r w:rsidRPr="00967063">
        <w:rPr>
          <w:rFonts w:ascii="Times New Roman" w:hAnsi="Times New Roman" w:cs="Times New Roman"/>
          <w:sz w:val="24"/>
          <w:szCs w:val="24"/>
          <w:lang w:val="fr"/>
        </w:rPr>
        <w:t xml:space="preserve">A la question « </w:t>
      </w:r>
      <w:r w:rsidRPr="00967063">
        <w:rPr>
          <w:rFonts w:ascii="Times New Roman" w:eastAsia="Times New Roman" w:hAnsi="Times New Roman" w:cs="Times New Roman"/>
          <w:iCs/>
          <w:sz w:val="24"/>
          <w:szCs w:val="24"/>
          <w:lang w:val="fr" w:eastAsia="fr-CA"/>
        </w:rPr>
        <w:t xml:space="preserve">dans quelle mesure </w:t>
      </w:r>
      <w:r w:rsidRPr="00967063">
        <w:rPr>
          <w:rFonts w:ascii="Times New Roman" w:hAnsi="Times New Roman" w:cs="Times New Roman"/>
          <w:iCs/>
          <w:sz w:val="24"/>
          <w:szCs w:val="24"/>
          <w:lang w:val="fr"/>
        </w:rPr>
        <w:t>l’Éthique reconstructive de Jean-Marc Ferry peut-elle contribuer au travail de la CVR d’une part et à la levée des blocages institutionnels en vue de la réconciliation au Burundi d’autre part</w:t>
      </w:r>
      <w:r w:rsidR="008C5DAA">
        <w:rPr>
          <w:rFonts w:ascii="Times New Roman" w:hAnsi="Times New Roman" w:cs="Times New Roman"/>
          <w:iCs/>
          <w:sz w:val="24"/>
          <w:szCs w:val="24"/>
          <w:lang w:val="fr"/>
        </w:rPr>
        <w:t> »</w:t>
      </w:r>
      <w:r w:rsidRPr="00967063">
        <w:rPr>
          <w:rFonts w:ascii="Times New Roman" w:hAnsi="Times New Roman" w:cs="Times New Roman"/>
          <w:sz w:val="24"/>
          <w:szCs w:val="24"/>
          <w:lang w:val="fr"/>
        </w:rPr>
        <w:t xml:space="preserve">, nous avons répondu ceci : </w:t>
      </w:r>
      <w:r w:rsidRPr="00967063">
        <w:rPr>
          <w:rFonts w:ascii="Times New Roman" w:hAnsi="Times New Roman" w:cs="Times New Roman"/>
          <w:iCs/>
          <w:sz w:val="24"/>
          <w:szCs w:val="24"/>
          <w:lang w:val="fr"/>
        </w:rPr>
        <w:t xml:space="preserve">la CVR, à condition de s’appuyer sur l’éthique reconstructive, peut rendre trois services importants au processus burundais de vérité et réconciliation. Elle peut d’abord aider les acteurs aussi bien que les spectateurs à accéder au savoir tragique. Elle peut ensuite aider à faire en sorte qu’apparaisse un monde commun constitué sans cesse de luttes pour empêcher que le mal politique ne gagne du terrain. Enfin, elle peut empêcher que le processus actuel ne subisse la violence symbolique. </w:t>
      </w:r>
    </w:p>
    <w:p w14:paraId="5D0B20E8" w14:textId="77777777" w:rsidR="001905B0" w:rsidRPr="00967063" w:rsidRDefault="001905B0" w:rsidP="001905B0">
      <w:pPr>
        <w:rPr>
          <w:rFonts w:ascii="Times New Roman" w:hAnsi="Times New Roman" w:cs="Times New Roman"/>
          <w:iCs/>
          <w:sz w:val="24"/>
          <w:szCs w:val="24"/>
          <w:lang w:val="fr"/>
        </w:rPr>
      </w:pPr>
      <w:r w:rsidRPr="00967063">
        <w:rPr>
          <w:rFonts w:ascii="Times New Roman" w:hAnsi="Times New Roman" w:cs="Times New Roman"/>
          <w:iCs/>
          <w:sz w:val="24"/>
          <w:szCs w:val="24"/>
          <w:lang w:val="fr"/>
        </w:rPr>
        <w:br w:type="page"/>
      </w:r>
    </w:p>
    <w:p w14:paraId="0EFA4C5C" w14:textId="77777777" w:rsidR="001905B0" w:rsidRPr="00967063" w:rsidRDefault="001905B0" w:rsidP="001905B0">
      <w:pPr>
        <w:pStyle w:val="Heading1"/>
        <w:rPr>
          <w:iCs/>
          <w:sz w:val="24"/>
          <w:szCs w:val="24"/>
        </w:rPr>
      </w:pPr>
      <w:bookmarkStart w:id="62" w:name="_Toc3637626"/>
      <w:bookmarkStart w:id="63" w:name="_Toc6239824"/>
      <w:r w:rsidRPr="00967063">
        <w:rPr>
          <w:rFonts w:eastAsiaTheme="minorHAnsi"/>
          <w:iCs/>
          <w:sz w:val="24"/>
          <w:szCs w:val="24"/>
        </w:rPr>
        <w:t>Bibliographie</w:t>
      </w:r>
      <w:bookmarkEnd w:id="62"/>
      <w:bookmarkEnd w:id="63"/>
    </w:p>
    <w:p w14:paraId="161969B4" w14:textId="343CD7DB" w:rsidR="00BA15BD" w:rsidRPr="00401FFE" w:rsidRDefault="001905B0" w:rsidP="00401FFE">
      <w:pPr>
        <w:pStyle w:val="Bibliography"/>
        <w:ind w:firstLine="0"/>
        <w:jc w:val="both"/>
        <w:rPr>
          <w:rFonts w:ascii="Times New Roman" w:hAnsi="Times New Roman" w:cs="Times New Roman"/>
          <w:sz w:val="24"/>
          <w:szCs w:val="24"/>
        </w:rPr>
      </w:pPr>
      <w:r w:rsidRPr="00401FFE">
        <w:rPr>
          <w:rFonts w:ascii="Times New Roman" w:hAnsi="Times New Roman" w:cs="Times New Roman"/>
          <w:sz w:val="24"/>
          <w:szCs w:val="24"/>
          <w:lang w:val="fr"/>
        </w:rPr>
        <w:fldChar w:fldCharType="begin"/>
      </w:r>
      <w:r w:rsidR="00BA15BD" w:rsidRPr="00401FFE">
        <w:rPr>
          <w:rFonts w:ascii="Times New Roman" w:hAnsi="Times New Roman" w:cs="Times New Roman"/>
          <w:sz w:val="24"/>
          <w:szCs w:val="24"/>
          <w:lang w:val="fr"/>
        </w:rPr>
        <w:instrText xml:space="preserve"> ADDIN ZOTERO_BIBL {"uncited":[],"omitted":[],"custom":[]} CSL_BIBLIOGRAPHY </w:instrText>
      </w:r>
      <w:r w:rsidRPr="00401FFE">
        <w:rPr>
          <w:rFonts w:ascii="Times New Roman" w:hAnsi="Times New Roman" w:cs="Times New Roman"/>
          <w:sz w:val="24"/>
          <w:szCs w:val="24"/>
          <w:lang w:val="fr"/>
        </w:rPr>
        <w:fldChar w:fldCharType="separate"/>
      </w:r>
    </w:p>
    <w:p w14:paraId="1A7714C2" w14:textId="187989C2" w:rsidR="00BA15BD" w:rsidRPr="00401FFE" w:rsidRDefault="00BA15BD" w:rsidP="00401FFE">
      <w:pPr>
        <w:pStyle w:val="Bibliography"/>
        <w:numPr>
          <w:ilvl w:val="0"/>
          <w:numId w:val="27"/>
        </w:numPr>
        <w:jc w:val="both"/>
        <w:rPr>
          <w:rFonts w:ascii="Times New Roman" w:hAnsi="Times New Roman" w:cs="Times New Roman"/>
          <w:sz w:val="24"/>
          <w:szCs w:val="24"/>
        </w:rPr>
      </w:pPr>
      <w:r w:rsidRPr="00401FFE">
        <w:rPr>
          <w:rFonts w:ascii="Times New Roman" w:hAnsi="Times New Roman" w:cs="Times New Roman"/>
          <w:sz w:val="24"/>
          <w:szCs w:val="24"/>
        </w:rPr>
        <w:t xml:space="preserve">Abensour, Miguel, et Jacques Taminiaux, éd. </w:t>
      </w:r>
      <w:r w:rsidRPr="00401FFE">
        <w:rPr>
          <w:rFonts w:ascii="Times New Roman" w:hAnsi="Times New Roman" w:cs="Times New Roman"/>
          <w:i/>
          <w:iCs/>
          <w:sz w:val="24"/>
          <w:szCs w:val="24"/>
        </w:rPr>
        <w:t>Phénoménologie et politique: mélanges offerts à Jacques Taminiaux</w:t>
      </w:r>
      <w:r w:rsidRPr="00401FFE">
        <w:rPr>
          <w:rFonts w:ascii="Times New Roman" w:hAnsi="Times New Roman" w:cs="Times New Roman"/>
          <w:sz w:val="24"/>
          <w:szCs w:val="24"/>
        </w:rPr>
        <w:t>. Recueil 2. Bruxelles: Ousia, 1989.</w:t>
      </w:r>
    </w:p>
    <w:p w14:paraId="09A68FE7" w14:textId="77777777" w:rsidR="00BA15BD" w:rsidRPr="00401FFE" w:rsidRDefault="00BA15BD" w:rsidP="00401FFE">
      <w:pPr>
        <w:jc w:val="both"/>
        <w:rPr>
          <w:rFonts w:ascii="Times New Roman" w:hAnsi="Times New Roman" w:cs="Times New Roman"/>
          <w:sz w:val="24"/>
          <w:szCs w:val="24"/>
        </w:rPr>
      </w:pPr>
    </w:p>
    <w:p w14:paraId="6564065B" w14:textId="55EB3BC7" w:rsidR="00BA15BD" w:rsidRPr="00401FFE" w:rsidRDefault="00BA15BD" w:rsidP="00401FFE">
      <w:pPr>
        <w:pStyle w:val="Bibliography"/>
        <w:numPr>
          <w:ilvl w:val="0"/>
          <w:numId w:val="27"/>
        </w:numPr>
        <w:jc w:val="both"/>
        <w:rPr>
          <w:rFonts w:ascii="Times New Roman" w:hAnsi="Times New Roman" w:cs="Times New Roman"/>
          <w:sz w:val="24"/>
          <w:szCs w:val="24"/>
        </w:rPr>
      </w:pPr>
      <w:r w:rsidRPr="00401FFE">
        <w:rPr>
          <w:rFonts w:ascii="Times New Roman" w:hAnsi="Times New Roman" w:cs="Times New Roman"/>
          <w:sz w:val="24"/>
          <w:szCs w:val="24"/>
        </w:rPr>
        <w:t xml:space="preserve">Adam, Heribert. « Les politiques de l’identité. Nationalisme, patriotisme et multiculturalisme ». </w:t>
      </w:r>
      <w:r w:rsidRPr="00401FFE">
        <w:rPr>
          <w:rFonts w:ascii="Times New Roman" w:hAnsi="Times New Roman" w:cs="Times New Roman"/>
          <w:i/>
          <w:iCs/>
          <w:sz w:val="24"/>
          <w:szCs w:val="24"/>
        </w:rPr>
        <w:t>Anthropologie et Sociétés</w:t>
      </w:r>
      <w:r w:rsidRPr="00401FFE">
        <w:rPr>
          <w:rFonts w:ascii="Times New Roman" w:hAnsi="Times New Roman" w:cs="Times New Roman"/>
          <w:sz w:val="24"/>
          <w:szCs w:val="24"/>
        </w:rPr>
        <w:t xml:space="preserve"> 19, n</w:t>
      </w:r>
      <w:r w:rsidRPr="00401FFE">
        <w:rPr>
          <w:rFonts w:ascii="Times New Roman" w:hAnsi="Times New Roman" w:cs="Times New Roman"/>
          <w:sz w:val="24"/>
          <w:szCs w:val="24"/>
          <w:vertAlign w:val="superscript"/>
        </w:rPr>
        <w:t>o</w:t>
      </w:r>
      <w:r w:rsidRPr="00401FFE">
        <w:rPr>
          <w:rFonts w:ascii="Times New Roman" w:hAnsi="Times New Roman" w:cs="Times New Roman"/>
          <w:sz w:val="24"/>
          <w:szCs w:val="24"/>
        </w:rPr>
        <w:t xml:space="preserve"> 3 (1995): 87. https://doi.org/10.7202/015371ar.</w:t>
      </w:r>
    </w:p>
    <w:p w14:paraId="3C61173C" w14:textId="77777777" w:rsidR="00BA15BD" w:rsidRPr="00401FFE" w:rsidRDefault="00BA15BD" w:rsidP="00401FFE">
      <w:pPr>
        <w:jc w:val="both"/>
        <w:rPr>
          <w:rFonts w:ascii="Times New Roman" w:hAnsi="Times New Roman" w:cs="Times New Roman"/>
          <w:sz w:val="24"/>
          <w:szCs w:val="24"/>
        </w:rPr>
      </w:pPr>
    </w:p>
    <w:p w14:paraId="6B43D934" w14:textId="397D810B" w:rsidR="00BA15BD" w:rsidRPr="00401FFE" w:rsidRDefault="00BA15BD" w:rsidP="00401FFE">
      <w:pPr>
        <w:pStyle w:val="Bibliography"/>
        <w:numPr>
          <w:ilvl w:val="0"/>
          <w:numId w:val="27"/>
        </w:numPr>
        <w:jc w:val="both"/>
        <w:rPr>
          <w:rFonts w:ascii="Times New Roman" w:hAnsi="Times New Roman" w:cs="Times New Roman"/>
          <w:sz w:val="24"/>
          <w:szCs w:val="24"/>
        </w:rPr>
      </w:pPr>
      <w:r w:rsidRPr="00401FFE">
        <w:rPr>
          <w:rFonts w:ascii="Times New Roman" w:hAnsi="Times New Roman" w:cs="Times New Roman"/>
          <w:sz w:val="24"/>
          <w:szCs w:val="24"/>
        </w:rPr>
        <w:t xml:space="preserve">Arendt, Hannah, </w:t>
      </w:r>
      <w:r w:rsidRPr="00401FFE">
        <w:rPr>
          <w:rFonts w:ascii="Times New Roman" w:hAnsi="Times New Roman" w:cs="Times New Roman"/>
          <w:i/>
          <w:sz w:val="24"/>
          <w:szCs w:val="24"/>
        </w:rPr>
        <w:t>La crise de la culture</w:t>
      </w:r>
      <w:r w:rsidRPr="00401FFE">
        <w:rPr>
          <w:rFonts w:ascii="Times New Roman" w:hAnsi="Times New Roman" w:cs="Times New Roman"/>
          <w:sz w:val="24"/>
          <w:szCs w:val="24"/>
        </w:rPr>
        <w:t>, Paris, Gallimard, 1972.</w:t>
      </w:r>
    </w:p>
    <w:p w14:paraId="1ECC49BB" w14:textId="77777777" w:rsidR="00BA15BD" w:rsidRPr="00401FFE" w:rsidRDefault="00BA15BD" w:rsidP="00401FFE">
      <w:pPr>
        <w:jc w:val="both"/>
        <w:rPr>
          <w:rFonts w:ascii="Times New Roman" w:hAnsi="Times New Roman" w:cs="Times New Roman"/>
          <w:sz w:val="24"/>
          <w:szCs w:val="24"/>
        </w:rPr>
      </w:pPr>
    </w:p>
    <w:p w14:paraId="4A1D4437" w14:textId="39F8C921" w:rsidR="00BA15BD" w:rsidRPr="00401FFE" w:rsidRDefault="00BA15BD" w:rsidP="00401FFE">
      <w:pPr>
        <w:pStyle w:val="Bibliography"/>
        <w:numPr>
          <w:ilvl w:val="0"/>
          <w:numId w:val="27"/>
        </w:numPr>
        <w:jc w:val="both"/>
        <w:rPr>
          <w:rFonts w:ascii="Times New Roman" w:hAnsi="Times New Roman" w:cs="Times New Roman"/>
          <w:sz w:val="24"/>
          <w:szCs w:val="24"/>
        </w:rPr>
      </w:pPr>
      <w:r w:rsidRPr="004B4503">
        <w:rPr>
          <w:rFonts w:ascii="Times New Roman" w:hAnsi="Times New Roman" w:cs="Times New Roman"/>
          <w:sz w:val="24"/>
          <w:szCs w:val="24"/>
        </w:rPr>
        <w:t xml:space="preserve">Arendt, Hannah, </w:t>
      </w:r>
      <w:r w:rsidR="008B0C4F" w:rsidRPr="004B4503">
        <w:rPr>
          <w:rFonts w:ascii="Times New Roman" w:hAnsi="Times New Roman" w:cs="Times New Roman"/>
          <w:sz w:val="24"/>
          <w:szCs w:val="24"/>
        </w:rPr>
        <w:t xml:space="preserve">trad. </w:t>
      </w:r>
      <w:r w:rsidR="008B0C4F" w:rsidRPr="008B0C4F">
        <w:rPr>
          <w:rFonts w:ascii="Times New Roman" w:hAnsi="Times New Roman" w:cs="Times New Roman"/>
          <w:sz w:val="24"/>
          <w:szCs w:val="24"/>
        </w:rPr>
        <w:t xml:space="preserve">Georges </w:t>
      </w:r>
      <w:r w:rsidRPr="00401FFE">
        <w:rPr>
          <w:rFonts w:ascii="Times New Roman" w:hAnsi="Times New Roman" w:cs="Times New Roman"/>
          <w:sz w:val="24"/>
          <w:szCs w:val="24"/>
        </w:rPr>
        <w:t xml:space="preserve">Fradier, et </w:t>
      </w:r>
      <w:r w:rsidR="008B0C4F">
        <w:rPr>
          <w:rFonts w:ascii="Times New Roman" w:hAnsi="Times New Roman" w:cs="Times New Roman"/>
          <w:sz w:val="24"/>
          <w:szCs w:val="24"/>
        </w:rPr>
        <w:t xml:space="preserve">préface de Paul </w:t>
      </w:r>
      <w:r w:rsidRPr="00401FFE">
        <w:rPr>
          <w:rFonts w:ascii="Times New Roman" w:hAnsi="Times New Roman" w:cs="Times New Roman"/>
          <w:sz w:val="24"/>
          <w:szCs w:val="24"/>
        </w:rPr>
        <w:t xml:space="preserve">Ricoeur. </w:t>
      </w:r>
      <w:r w:rsidRPr="00401FFE">
        <w:rPr>
          <w:rFonts w:ascii="Times New Roman" w:hAnsi="Times New Roman" w:cs="Times New Roman"/>
          <w:i/>
          <w:iCs/>
          <w:sz w:val="24"/>
          <w:szCs w:val="24"/>
        </w:rPr>
        <w:t>Condition de l’homme moderne</w:t>
      </w:r>
      <w:r w:rsidRPr="00401FFE">
        <w:rPr>
          <w:rFonts w:ascii="Times New Roman" w:hAnsi="Times New Roman" w:cs="Times New Roman"/>
          <w:sz w:val="24"/>
          <w:szCs w:val="24"/>
        </w:rPr>
        <w:t>. Paris: Calmann-Lévy, 2014.</w:t>
      </w:r>
    </w:p>
    <w:p w14:paraId="712B7241" w14:textId="77777777" w:rsidR="00BA15BD" w:rsidRPr="00401FFE" w:rsidRDefault="00BA15BD" w:rsidP="00401FFE">
      <w:pPr>
        <w:jc w:val="both"/>
        <w:rPr>
          <w:rFonts w:ascii="Times New Roman" w:hAnsi="Times New Roman" w:cs="Times New Roman"/>
          <w:sz w:val="24"/>
          <w:szCs w:val="24"/>
        </w:rPr>
      </w:pPr>
    </w:p>
    <w:p w14:paraId="5091A6B3" w14:textId="2D63A7EF" w:rsidR="00BA15BD" w:rsidRPr="00401FFE" w:rsidRDefault="00BA15BD" w:rsidP="00401FFE">
      <w:pPr>
        <w:pStyle w:val="Bibliography"/>
        <w:numPr>
          <w:ilvl w:val="0"/>
          <w:numId w:val="27"/>
        </w:numPr>
        <w:jc w:val="both"/>
        <w:rPr>
          <w:rFonts w:ascii="Times New Roman" w:hAnsi="Times New Roman" w:cs="Times New Roman"/>
          <w:sz w:val="24"/>
          <w:szCs w:val="24"/>
        </w:rPr>
      </w:pPr>
      <w:r w:rsidRPr="00401FFE">
        <w:rPr>
          <w:rFonts w:ascii="Times New Roman" w:hAnsi="Times New Roman" w:cs="Times New Roman"/>
          <w:sz w:val="24"/>
          <w:szCs w:val="24"/>
        </w:rPr>
        <w:t>Boutros BOUTROS-GHALI. « Original : anglais lettre datée du 25 juillet 1996, adressée au président du conseil de sécurité par le secrétaire général | Couverture des réunions &amp; communiqués de presse », 25 juillet 1996. https://www.un.org/press/fr/1996/19960822.JAMEL.html.</w:t>
      </w:r>
    </w:p>
    <w:p w14:paraId="7E59F4C6" w14:textId="77777777" w:rsidR="00BA15BD" w:rsidRPr="00401FFE" w:rsidRDefault="00BA15BD" w:rsidP="00401FFE">
      <w:pPr>
        <w:jc w:val="both"/>
        <w:rPr>
          <w:rFonts w:ascii="Times New Roman" w:hAnsi="Times New Roman" w:cs="Times New Roman"/>
          <w:sz w:val="24"/>
          <w:szCs w:val="24"/>
        </w:rPr>
      </w:pPr>
    </w:p>
    <w:p w14:paraId="7EB503A1" w14:textId="632E4ED8" w:rsidR="00BA15BD" w:rsidRPr="00401FFE" w:rsidRDefault="00BA15BD" w:rsidP="00401FFE">
      <w:pPr>
        <w:pStyle w:val="Bibliography"/>
        <w:numPr>
          <w:ilvl w:val="0"/>
          <w:numId w:val="27"/>
        </w:numPr>
        <w:jc w:val="both"/>
        <w:rPr>
          <w:rFonts w:ascii="Times New Roman" w:hAnsi="Times New Roman" w:cs="Times New Roman"/>
          <w:sz w:val="24"/>
          <w:szCs w:val="24"/>
        </w:rPr>
      </w:pPr>
      <w:r w:rsidRPr="00401FFE">
        <w:rPr>
          <w:rFonts w:ascii="Times New Roman" w:hAnsi="Times New Roman" w:cs="Times New Roman"/>
          <w:sz w:val="24"/>
          <w:szCs w:val="24"/>
        </w:rPr>
        <w:t xml:space="preserve">Callan, Eamonn. « Réconciliation et éthique de la mémoire publique ». </w:t>
      </w:r>
      <w:r w:rsidRPr="00401FFE">
        <w:rPr>
          <w:rFonts w:ascii="Times New Roman" w:hAnsi="Times New Roman" w:cs="Times New Roman"/>
          <w:i/>
          <w:iCs/>
          <w:sz w:val="24"/>
          <w:szCs w:val="24"/>
        </w:rPr>
        <w:t>Philosophiques</w:t>
      </w:r>
      <w:r w:rsidRPr="00401FFE">
        <w:rPr>
          <w:rFonts w:ascii="Times New Roman" w:hAnsi="Times New Roman" w:cs="Times New Roman"/>
          <w:sz w:val="24"/>
          <w:szCs w:val="24"/>
        </w:rPr>
        <w:t xml:space="preserve"> 29, n</w:t>
      </w:r>
      <w:r w:rsidRPr="00401FFE">
        <w:rPr>
          <w:rFonts w:ascii="Times New Roman" w:hAnsi="Times New Roman" w:cs="Times New Roman"/>
          <w:sz w:val="24"/>
          <w:szCs w:val="24"/>
          <w:vertAlign w:val="superscript"/>
        </w:rPr>
        <w:t>o</w:t>
      </w:r>
      <w:r w:rsidRPr="00401FFE">
        <w:rPr>
          <w:rFonts w:ascii="Times New Roman" w:hAnsi="Times New Roman" w:cs="Times New Roman"/>
          <w:sz w:val="24"/>
          <w:szCs w:val="24"/>
        </w:rPr>
        <w:t xml:space="preserve"> 2 (2002): 311‑26. https://doi.org/10.7202/006258ar.</w:t>
      </w:r>
    </w:p>
    <w:p w14:paraId="02939834" w14:textId="77777777" w:rsidR="00BA15BD" w:rsidRPr="00401FFE" w:rsidRDefault="00BA15BD" w:rsidP="00401FFE">
      <w:pPr>
        <w:jc w:val="both"/>
        <w:rPr>
          <w:rFonts w:ascii="Times New Roman" w:hAnsi="Times New Roman" w:cs="Times New Roman"/>
          <w:sz w:val="24"/>
          <w:szCs w:val="24"/>
        </w:rPr>
      </w:pPr>
    </w:p>
    <w:p w14:paraId="79E9A5B2" w14:textId="77777777" w:rsidR="00BA15BD" w:rsidRPr="00401FFE" w:rsidRDefault="00BA15BD" w:rsidP="00401FFE">
      <w:pPr>
        <w:pStyle w:val="Bibliography"/>
        <w:numPr>
          <w:ilvl w:val="0"/>
          <w:numId w:val="27"/>
        </w:numPr>
        <w:jc w:val="both"/>
        <w:rPr>
          <w:rFonts w:ascii="Times New Roman" w:hAnsi="Times New Roman" w:cs="Times New Roman"/>
          <w:sz w:val="24"/>
          <w:szCs w:val="24"/>
        </w:rPr>
      </w:pPr>
      <w:r w:rsidRPr="00401FFE">
        <w:rPr>
          <w:rFonts w:ascii="Times New Roman" w:hAnsi="Times New Roman" w:cs="Times New Roman"/>
          <w:sz w:val="24"/>
          <w:szCs w:val="24"/>
        </w:rPr>
        <w:t xml:space="preserve">Chrétien, Jean-Pierre. « Le Burundi après la signature de l’accord d’Arusha ». </w:t>
      </w:r>
      <w:r w:rsidRPr="00401FFE">
        <w:rPr>
          <w:rFonts w:ascii="Times New Roman" w:hAnsi="Times New Roman" w:cs="Times New Roman"/>
          <w:i/>
          <w:iCs/>
          <w:sz w:val="24"/>
          <w:szCs w:val="24"/>
        </w:rPr>
        <w:t>Politique africaine</w:t>
      </w:r>
      <w:r w:rsidRPr="00401FFE">
        <w:rPr>
          <w:rFonts w:ascii="Times New Roman" w:hAnsi="Times New Roman" w:cs="Times New Roman"/>
          <w:sz w:val="24"/>
          <w:szCs w:val="24"/>
        </w:rPr>
        <w:t xml:space="preserve"> 80, n</w:t>
      </w:r>
      <w:r w:rsidRPr="00401FFE">
        <w:rPr>
          <w:rFonts w:ascii="Times New Roman" w:hAnsi="Times New Roman" w:cs="Times New Roman"/>
          <w:sz w:val="24"/>
          <w:szCs w:val="24"/>
          <w:vertAlign w:val="superscript"/>
        </w:rPr>
        <w:t>o</w:t>
      </w:r>
      <w:r w:rsidRPr="00401FFE">
        <w:rPr>
          <w:rFonts w:ascii="Times New Roman" w:hAnsi="Times New Roman" w:cs="Times New Roman"/>
          <w:sz w:val="24"/>
          <w:szCs w:val="24"/>
        </w:rPr>
        <w:t xml:space="preserve"> 4 (2000): 136. </w:t>
      </w:r>
    </w:p>
    <w:p w14:paraId="01593931" w14:textId="0E6CAB05" w:rsidR="00BA15BD" w:rsidRPr="00401FFE" w:rsidRDefault="00BA15BD" w:rsidP="00401FFE">
      <w:pPr>
        <w:pStyle w:val="Bibliography"/>
        <w:ind w:firstLine="0"/>
        <w:jc w:val="both"/>
        <w:rPr>
          <w:rFonts w:ascii="Times New Roman" w:hAnsi="Times New Roman" w:cs="Times New Roman"/>
          <w:sz w:val="24"/>
          <w:szCs w:val="24"/>
        </w:rPr>
      </w:pPr>
      <w:r w:rsidRPr="00401FFE">
        <w:rPr>
          <w:rFonts w:ascii="Times New Roman" w:hAnsi="Times New Roman" w:cs="Times New Roman"/>
          <w:sz w:val="24"/>
          <w:szCs w:val="24"/>
        </w:rPr>
        <w:t>https://doi.org/10.3917/polaf.080.0136.</w:t>
      </w:r>
    </w:p>
    <w:p w14:paraId="5FFF3578" w14:textId="77777777" w:rsidR="00BA15BD" w:rsidRPr="00401FFE" w:rsidRDefault="00BA15BD" w:rsidP="00401FFE">
      <w:pPr>
        <w:jc w:val="both"/>
        <w:rPr>
          <w:rFonts w:ascii="Times New Roman" w:hAnsi="Times New Roman" w:cs="Times New Roman"/>
          <w:sz w:val="24"/>
          <w:szCs w:val="24"/>
        </w:rPr>
      </w:pPr>
    </w:p>
    <w:p w14:paraId="1E1E609A" w14:textId="77777777" w:rsidR="00BA15BD" w:rsidRPr="00401FFE" w:rsidRDefault="00BA15BD" w:rsidP="00401FFE">
      <w:pPr>
        <w:pStyle w:val="Bibliography"/>
        <w:numPr>
          <w:ilvl w:val="0"/>
          <w:numId w:val="27"/>
        </w:numPr>
        <w:jc w:val="both"/>
        <w:rPr>
          <w:rFonts w:ascii="Times New Roman" w:hAnsi="Times New Roman" w:cs="Times New Roman"/>
          <w:sz w:val="24"/>
          <w:szCs w:val="24"/>
        </w:rPr>
      </w:pPr>
      <w:r w:rsidRPr="00401FFE">
        <w:rPr>
          <w:rFonts w:ascii="Times New Roman" w:hAnsi="Times New Roman" w:cs="Times New Roman"/>
          <w:sz w:val="24"/>
          <w:szCs w:val="24"/>
        </w:rPr>
        <w:t xml:space="preserve">« CVR et Tribunal Spécial - Droit, pouvoir et paix au Burundi - University of Antwerp ». Consulté le 9 janvier 2019. </w:t>
      </w:r>
    </w:p>
    <w:p w14:paraId="56F3D076" w14:textId="78563439" w:rsidR="00BA15BD" w:rsidRPr="00401FFE" w:rsidRDefault="00BA15BD" w:rsidP="00401FFE">
      <w:pPr>
        <w:pStyle w:val="Bibliography"/>
        <w:ind w:firstLine="0"/>
        <w:jc w:val="both"/>
        <w:rPr>
          <w:rFonts w:ascii="Times New Roman" w:hAnsi="Times New Roman" w:cs="Times New Roman"/>
          <w:sz w:val="24"/>
          <w:szCs w:val="24"/>
        </w:rPr>
      </w:pPr>
      <w:r w:rsidRPr="00401FFE">
        <w:rPr>
          <w:rFonts w:ascii="Times New Roman" w:hAnsi="Times New Roman" w:cs="Times New Roman"/>
          <w:sz w:val="24"/>
          <w:szCs w:val="24"/>
        </w:rPr>
        <w:t>https://www.uantwerpen.be/en/projects/centre-des-grands-lacs-afrique/droit-pouvoir-paix-burundi/justice-transitionnelle/cvr-et-tribunal-special/.</w:t>
      </w:r>
    </w:p>
    <w:p w14:paraId="60CECB32" w14:textId="77777777" w:rsidR="00BA15BD" w:rsidRPr="00401FFE" w:rsidRDefault="00BA15BD" w:rsidP="00401FFE">
      <w:pPr>
        <w:jc w:val="both"/>
        <w:rPr>
          <w:rFonts w:ascii="Times New Roman" w:hAnsi="Times New Roman" w:cs="Times New Roman"/>
          <w:sz w:val="24"/>
          <w:szCs w:val="24"/>
        </w:rPr>
      </w:pPr>
    </w:p>
    <w:p w14:paraId="62911988" w14:textId="2C1580F2" w:rsidR="00BA15BD" w:rsidRPr="00401FFE" w:rsidRDefault="00BA15BD" w:rsidP="00401FFE">
      <w:pPr>
        <w:pStyle w:val="Bibliography"/>
        <w:numPr>
          <w:ilvl w:val="0"/>
          <w:numId w:val="27"/>
        </w:numPr>
        <w:jc w:val="both"/>
        <w:rPr>
          <w:rFonts w:ascii="Times New Roman" w:hAnsi="Times New Roman" w:cs="Times New Roman"/>
          <w:sz w:val="24"/>
          <w:szCs w:val="24"/>
        </w:rPr>
      </w:pPr>
      <w:r w:rsidRPr="00401FFE">
        <w:rPr>
          <w:rFonts w:ascii="Times New Roman" w:hAnsi="Times New Roman" w:cs="Times New Roman"/>
          <w:sz w:val="24"/>
          <w:szCs w:val="24"/>
        </w:rPr>
        <w:t xml:space="preserve">Deruelle, Edouard. </w:t>
      </w:r>
      <w:r w:rsidRPr="00401FFE">
        <w:rPr>
          <w:rFonts w:ascii="Times New Roman" w:hAnsi="Times New Roman" w:cs="Times New Roman"/>
          <w:i/>
          <w:iCs/>
          <w:sz w:val="24"/>
          <w:szCs w:val="24"/>
        </w:rPr>
        <w:t>Identité reconstructive et dialogue des cultures</w:t>
      </w:r>
      <w:r w:rsidRPr="00401FFE">
        <w:rPr>
          <w:rFonts w:ascii="Times New Roman" w:hAnsi="Times New Roman" w:cs="Times New Roman"/>
          <w:sz w:val="24"/>
          <w:szCs w:val="24"/>
        </w:rPr>
        <w:t>. Le bord de l’eau, 2014. https://orbi.uliege.be/handle/2268/202116.</w:t>
      </w:r>
    </w:p>
    <w:p w14:paraId="2D6BEA85" w14:textId="77777777" w:rsidR="00BA15BD" w:rsidRPr="00401FFE" w:rsidRDefault="00BA15BD" w:rsidP="00401FFE">
      <w:pPr>
        <w:jc w:val="both"/>
        <w:rPr>
          <w:rFonts w:ascii="Times New Roman" w:hAnsi="Times New Roman" w:cs="Times New Roman"/>
          <w:sz w:val="24"/>
          <w:szCs w:val="24"/>
        </w:rPr>
      </w:pPr>
    </w:p>
    <w:p w14:paraId="738D5377" w14:textId="438A44D1" w:rsidR="00BA15BD" w:rsidRPr="00401FFE" w:rsidRDefault="00BA15BD" w:rsidP="00401FFE">
      <w:pPr>
        <w:pStyle w:val="Bibliography"/>
        <w:numPr>
          <w:ilvl w:val="0"/>
          <w:numId w:val="27"/>
        </w:numPr>
        <w:jc w:val="both"/>
        <w:rPr>
          <w:rFonts w:ascii="Times New Roman" w:hAnsi="Times New Roman" w:cs="Times New Roman"/>
          <w:sz w:val="24"/>
          <w:szCs w:val="24"/>
        </w:rPr>
      </w:pPr>
      <w:r w:rsidRPr="00401FFE">
        <w:rPr>
          <w:rFonts w:ascii="Times New Roman" w:hAnsi="Times New Roman" w:cs="Times New Roman"/>
          <w:sz w:val="24"/>
          <w:szCs w:val="24"/>
        </w:rPr>
        <w:t xml:space="preserve">Ferry, Jean-Marc. </w:t>
      </w:r>
      <w:r w:rsidRPr="00401FFE">
        <w:rPr>
          <w:rFonts w:ascii="Times New Roman" w:hAnsi="Times New Roman" w:cs="Times New Roman"/>
          <w:i/>
          <w:iCs/>
          <w:sz w:val="24"/>
          <w:szCs w:val="24"/>
        </w:rPr>
        <w:t>L’éthique reconstructive</w:t>
      </w:r>
      <w:r w:rsidRPr="00401FFE">
        <w:rPr>
          <w:rFonts w:ascii="Times New Roman" w:hAnsi="Times New Roman" w:cs="Times New Roman"/>
          <w:sz w:val="24"/>
          <w:szCs w:val="24"/>
        </w:rPr>
        <w:t>. Paris: Ed.</w:t>
      </w:r>
      <w:r w:rsidR="009D656F">
        <w:rPr>
          <w:rFonts w:ascii="Times New Roman" w:hAnsi="Times New Roman" w:cs="Times New Roman"/>
          <w:sz w:val="24"/>
          <w:szCs w:val="24"/>
        </w:rPr>
        <w:t xml:space="preserve"> </w:t>
      </w:r>
      <w:r w:rsidRPr="00401FFE">
        <w:rPr>
          <w:rFonts w:ascii="Times New Roman" w:hAnsi="Times New Roman" w:cs="Times New Roman"/>
          <w:sz w:val="24"/>
          <w:szCs w:val="24"/>
        </w:rPr>
        <w:t>du Cerf, 1996.</w:t>
      </w:r>
    </w:p>
    <w:p w14:paraId="3BC13964" w14:textId="77777777" w:rsidR="00BA15BD" w:rsidRPr="00401FFE" w:rsidRDefault="00BA15BD" w:rsidP="00401FFE">
      <w:pPr>
        <w:jc w:val="both"/>
        <w:rPr>
          <w:rFonts w:ascii="Times New Roman" w:hAnsi="Times New Roman" w:cs="Times New Roman"/>
          <w:sz w:val="24"/>
          <w:szCs w:val="24"/>
        </w:rPr>
      </w:pPr>
    </w:p>
    <w:p w14:paraId="03DBDAB7" w14:textId="712E7149" w:rsidR="00BA15BD" w:rsidRPr="00401FFE" w:rsidRDefault="00BE0CAA" w:rsidP="00401FFE">
      <w:pPr>
        <w:pStyle w:val="Bibliography"/>
        <w:numPr>
          <w:ilvl w:val="0"/>
          <w:numId w:val="27"/>
        </w:numPr>
        <w:jc w:val="both"/>
        <w:rPr>
          <w:rFonts w:ascii="Times New Roman" w:hAnsi="Times New Roman" w:cs="Times New Roman"/>
          <w:sz w:val="24"/>
          <w:szCs w:val="24"/>
        </w:rPr>
      </w:pPr>
      <w:r>
        <w:rPr>
          <w:rFonts w:ascii="Times New Roman" w:hAnsi="Times New Roman" w:cs="Times New Roman"/>
          <w:sz w:val="24"/>
          <w:szCs w:val="24"/>
        </w:rPr>
        <w:t>F</w:t>
      </w:r>
      <w:r w:rsidRPr="00401FFE">
        <w:rPr>
          <w:rFonts w:ascii="Times New Roman" w:hAnsi="Times New Roman" w:cs="Times New Roman"/>
          <w:sz w:val="24"/>
          <w:szCs w:val="24"/>
        </w:rPr>
        <w:t>orum pour le renforcement de la soci</w:t>
      </w:r>
      <w:r w:rsidR="0054521F">
        <w:rPr>
          <w:rFonts w:ascii="Times New Roman" w:hAnsi="Times New Roman" w:cs="Times New Roman"/>
          <w:sz w:val="24"/>
          <w:szCs w:val="24"/>
        </w:rPr>
        <w:t>é</w:t>
      </w:r>
      <w:r w:rsidRPr="00401FFE">
        <w:rPr>
          <w:rFonts w:ascii="Times New Roman" w:hAnsi="Times New Roman" w:cs="Times New Roman"/>
          <w:sz w:val="24"/>
          <w:szCs w:val="24"/>
        </w:rPr>
        <w:t>t</w:t>
      </w:r>
      <w:r w:rsidR="0054521F">
        <w:rPr>
          <w:rFonts w:ascii="Times New Roman" w:hAnsi="Times New Roman" w:cs="Times New Roman"/>
          <w:sz w:val="24"/>
          <w:szCs w:val="24"/>
        </w:rPr>
        <w:t>é</w:t>
      </w:r>
      <w:r w:rsidRPr="00401FFE">
        <w:rPr>
          <w:rFonts w:ascii="Times New Roman" w:hAnsi="Times New Roman" w:cs="Times New Roman"/>
          <w:sz w:val="24"/>
          <w:szCs w:val="24"/>
        </w:rPr>
        <w:t xml:space="preserve"> civile</w:t>
      </w:r>
      <w:r w:rsidR="00BA15BD" w:rsidRPr="00401FFE">
        <w:rPr>
          <w:rFonts w:ascii="Times New Roman" w:hAnsi="Times New Roman" w:cs="Times New Roman"/>
          <w:sz w:val="24"/>
          <w:szCs w:val="24"/>
        </w:rPr>
        <w:t>. « Trois ans depuis sa création, la CVR effectue un travail purement préparatoire. » Rapport, novembre 2017.</w:t>
      </w:r>
    </w:p>
    <w:p w14:paraId="5171BF30" w14:textId="77777777" w:rsidR="00BA15BD" w:rsidRPr="00401FFE" w:rsidRDefault="00BA15BD" w:rsidP="00401FFE">
      <w:pPr>
        <w:jc w:val="both"/>
        <w:rPr>
          <w:rFonts w:ascii="Times New Roman" w:hAnsi="Times New Roman" w:cs="Times New Roman"/>
          <w:sz w:val="24"/>
          <w:szCs w:val="24"/>
        </w:rPr>
      </w:pPr>
    </w:p>
    <w:p w14:paraId="075BF1EB" w14:textId="45FA88D7" w:rsidR="001D0846" w:rsidRPr="00401FFE" w:rsidRDefault="001D0846" w:rsidP="00401FFE">
      <w:pPr>
        <w:pStyle w:val="Bibliography"/>
        <w:numPr>
          <w:ilvl w:val="0"/>
          <w:numId w:val="27"/>
        </w:numPr>
        <w:jc w:val="both"/>
        <w:rPr>
          <w:rFonts w:ascii="Times New Roman" w:hAnsi="Times New Roman" w:cs="Times New Roman"/>
          <w:sz w:val="24"/>
          <w:szCs w:val="24"/>
        </w:rPr>
      </w:pPr>
      <w:r w:rsidRPr="00401FFE">
        <w:rPr>
          <w:rFonts w:ascii="Times New Roman" w:hAnsi="Times New Roman" w:cs="Times New Roman"/>
          <w:sz w:val="24"/>
          <w:szCs w:val="24"/>
        </w:rPr>
        <w:t>Ferry, Jean-Marc. « Qu’est-ce que l’éthique reconstructive ». Consulté le 23 février 2019. http://webcache.googleusercontent.com/search?q=cache:9AdPDX5KtNcJ:users.skynet.be/jean.marc.ferry/Cfce207.doc+&amp;cd=6&amp;hl=fr&amp;ct=clnk&amp;gl=ca.</w:t>
      </w:r>
    </w:p>
    <w:p w14:paraId="0D18AC68" w14:textId="77777777" w:rsidR="001D0846" w:rsidRPr="00401FFE" w:rsidRDefault="001D0846" w:rsidP="00401FFE">
      <w:pPr>
        <w:jc w:val="both"/>
        <w:rPr>
          <w:rFonts w:ascii="Times New Roman" w:hAnsi="Times New Roman" w:cs="Times New Roman"/>
          <w:sz w:val="24"/>
          <w:szCs w:val="24"/>
        </w:rPr>
      </w:pPr>
    </w:p>
    <w:p w14:paraId="24625D6C" w14:textId="4AE2ECB6" w:rsidR="00BA15BD" w:rsidRPr="00401FFE" w:rsidRDefault="00BA15BD" w:rsidP="00401FFE">
      <w:pPr>
        <w:pStyle w:val="Bibliography"/>
        <w:numPr>
          <w:ilvl w:val="0"/>
          <w:numId w:val="27"/>
        </w:numPr>
        <w:jc w:val="both"/>
        <w:rPr>
          <w:rFonts w:ascii="Times New Roman" w:hAnsi="Times New Roman" w:cs="Times New Roman"/>
          <w:sz w:val="24"/>
          <w:szCs w:val="24"/>
        </w:rPr>
      </w:pPr>
      <w:r w:rsidRPr="00401FFE">
        <w:rPr>
          <w:rFonts w:ascii="Times New Roman" w:hAnsi="Times New Roman" w:cs="Times New Roman"/>
          <w:sz w:val="24"/>
          <w:szCs w:val="24"/>
        </w:rPr>
        <w:t>Ferry, Jean-Marc</w:t>
      </w:r>
      <w:r w:rsidR="001D0846" w:rsidRPr="00401FFE">
        <w:rPr>
          <w:rFonts w:ascii="Times New Roman" w:hAnsi="Times New Roman" w:cs="Times New Roman"/>
          <w:sz w:val="24"/>
          <w:szCs w:val="24"/>
        </w:rPr>
        <w:t>.</w:t>
      </w:r>
      <w:r w:rsidRPr="00401FFE">
        <w:rPr>
          <w:rFonts w:ascii="Times New Roman" w:hAnsi="Times New Roman" w:cs="Times New Roman"/>
          <w:sz w:val="24"/>
          <w:szCs w:val="24"/>
        </w:rPr>
        <w:t xml:space="preserve"> « </w:t>
      </w:r>
      <w:r w:rsidR="001D0846" w:rsidRPr="00401FFE">
        <w:rPr>
          <w:rFonts w:ascii="Times New Roman" w:hAnsi="Times New Roman" w:cs="Times New Roman"/>
          <w:sz w:val="24"/>
          <w:szCs w:val="24"/>
        </w:rPr>
        <w:t xml:space="preserve">Habermas critique de Hannah Arendt </w:t>
      </w:r>
      <w:r w:rsidRPr="00401FFE">
        <w:rPr>
          <w:rFonts w:ascii="Times New Roman" w:hAnsi="Times New Roman" w:cs="Times New Roman"/>
          <w:sz w:val="24"/>
          <w:szCs w:val="24"/>
        </w:rPr>
        <w:t>| Revue Esprit ». Esprit Presse. Consulté le 27 janvier 2019. https://esprit.presse.fr/article/ferry-jean-marc/habermas-critique-de-hannah-arendt-26559.</w:t>
      </w:r>
    </w:p>
    <w:p w14:paraId="1822BD15" w14:textId="77777777" w:rsidR="00BA15BD" w:rsidRPr="00401FFE" w:rsidRDefault="00BA15BD" w:rsidP="00401FFE">
      <w:pPr>
        <w:jc w:val="both"/>
        <w:rPr>
          <w:rFonts w:ascii="Times New Roman" w:hAnsi="Times New Roman" w:cs="Times New Roman"/>
          <w:sz w:val="24"/>
          <w:szCs w:val="24"/>
        </w:rPr>
      </w:pPr>
    </w:p>
    <w:p w14:paraId="685CBFFD" w14:textId="493E4A0A" w:rsidR="001D0846" w:rsidRPr="00401FFE" w:rsidRDefault="001D0846" w:rsidP="00401FFE">
      <w:pPr>
        <w:pStyle w:val="Bibliography"/>
        <w:numPr>
          <w:ilvl w:val="0"/>
          <w:numId w:val="27"/>
        </w:numPr>
        <w:jc w:val="both"/>
        <w:rPr>
          <w:rFonts w:ascii="Times New Roman" w:hAnsi="Times New Roman" w:cs="Times New Roman"/>
          <w:sz w:val="24"/>
          <w:szCs w:val="24"/>
        </w:rPr>
      </w:pPr>
      <w:r w:rsidRPr="00401FFE">
        <w:rPr>
          <w:rFonts w:ascii="Times New Roman" w:hAnsi="Times New Roman" w:cs="Times New Roman"/>
          <w:sz w:val="24"/>
          <w:szCs w:val="24"/>
        </w:rPr>
        <w:t>Ferry, Jean-Marc. « Le processus de justice transitionnelle au Burundi | Cairn.info ». Consulté le 12 février 2018. https://www.cairn.info/revue-droit-et-societe-2009-3-p-591.htm.</w:t>
      </w:r>
    </w:p>
    <w:p w14:paraId="75AB4882" w14:textId="77777777" w:rsidR="001D0846" w:rsidRPr="00401FFE" w:rsidRDefault="001D0846" w:rsidP="00401FFE">
      <w:pPr>
        <w:jc w:val="both"/>
        <w:rPr>
          <w:rFonts w:ascii="Times New Roman" w:hAnsi="Times New Roman" w:cs="Times New Roman"/>
          <w:sz w:val="24"/>
          <w:szCs w:val="24"/>
        </w:rPr>
      </w:pPr>
    </w:p>
    <w:p w14:paraId="6294917F" w14:textId="77777777" w:rsidR="001D0846" w:rsidRPr="00401FFE" w:rsidRDefault="001D0846" w:rsidP="00401FFE">
      <w:pPr>
        <w:pStyle w:val="Bibliography"/>
        <w:numPr>
          <w:ilvl w:val="0"/>
          <w:numId w:val="27"/>
        </w:numPr>
        <w:jc w:val="both"/>
        <w:rPr>
          <w:rFonts w:ascii="Times New Roman" w:hAnsi="Times New Roman" w:cs="Times New Roman"/>
          <w:sz w:val="24"/>
          <w:szCs w:val="24"/>
        </w:rPr>
      </w:pPr>
      <w:r w:rsidRPr="00401FFE">
        <w:rPr>
          <w:rFonts w:ascii="Times New Roman" w:hAnsi="Times New Roman" w:cs="Times New Roman"/>
          <w:sz w:val="24"/>
          <w:szCs w:val="24"/>
        </w:rPr>
        <w:t xml:space="preserve">Ferry, Jean-Marc. « L’éthique reconstructive comme éthique de la responsabilité politique - raison-publique.fr ». Consulté le 27 février 2019. </w:t>
      </w:r>
    </w:p>
    <w:p w14:paraId="789EA407" w14:textId="79079A26" w:rsidR="001D0846" w:rsidRPr="00401FFE" w:rsidRDefault="001D0846" w:rsidP="00401FFE">
      <w:pPr>
        <w:pStyle w:val="Bibliography"/>
        <w:ind w:firstLine="0"/>
        <w:jc w:val="both"/>
        <w:rPr>
          <w:rFonts w:ascii="Times New Roman" w:hAnsi="Times New Roman" w:cs="Times New Roman"/>
          <w:sz w:val="24"/>
          <w:szCs w:val="24"/>
        </w:rPr>
      </w:pPr>
      <w:r w:rsidRPr="00401FFE">
        <w:rPr>
          <w:rFonts w:ascii="Times New Roman" w:hAnsi="Times New Roman" w:cs="Times New Roman"/>
          <w:sz w:val="24"/>
          <w:szCs w:val="24"/>
        </w:rPr>
        <w:t>http://www.raison-publique.fr/article568.html.</w:t>
      </w:r>
    </w:p>
    <w:p w14:paraId="33B19C84" w14:textId="77777777" w:rsidR="001D0846" w:rsidRPr="00401FFE" w:rsidRDefault="001D0846" w:rsidP="00401FFE">
      <w:pPr>
        <w:jc w:val="both"/>
        <w:rPr>
          <w:rFonts w:ascii="Times New Roman" w:hAnsi="Times New Roman" w:cs="Times New Roman"/>
          <w:sz w:val="24"/>
          <w:szCs w:val="24"/>
        </w:rPr>
      </w:pPr>
    </w:p>
    <w:p w14:paraId="6CA6C1E3" w14:textId="7A67247B" w:rsidR="00BA15BD" w:rsidRPr="00401FFE" w:rsidRDefault="00BA15BD" w:rsidP="00401FFE">
      <w:pPr>
        <w:pStyle w:val="Bibliography"/>
        <w:numPr>
          <w:ilvl w:val="0"/>
          <w:numId w:val="27"/>
        </w:numPr>
        <w:jc w:val="both"/>
        <w:rPr>
          <w:rFonts w:ascii="Times New Roman" w:hAnsi="Times New Roman" w:cs="Times New Roman"/>
          <w:sz w:val="24"/>
          <w:szCs w:val="24"/>
        </w:rPr>
      </w:pPr>
      <w:r w:rsidRPr="00401FFE">
        <w:rPr>
          <w:rFonts w:ascii="Times New Roman" w:hAnsi="Times New Roman" w:cs="Times New Roman"/>
          <w:sz w:val="24"/>
          <w:szCs w:val="24"/>
          <w:lang w:val="en-CA"/>
        </w:rPr>
        <w:t xml:space="preserve">« IW Policy Brief TRC 1214.pdf ». </w:t>
      </w:r>
      <w:r w:rsidRPr="00401FFE">
        <w:rPr>
          <w:rFonts w:ascii="Times New Roman" w:hAnsi="Times New Roman" w:cs="Times New Roman"/>
          <w:sz w:val="24"/>
          <w:szCs w:val="24"/>
        </w:rPr>
        <w:t>Consulté le 15 janvier 2019. https://www.uantwerpen.be/images/uantwerpen/container2143/files/DPPBurundi/JusticeTransitionnelle/CVRetTribunalSp</w:t>
      </w:r>
      <w:r w:rsidR="001D0846" w:rsidRPr="00401FFE">
        <w:rPr>
          <w:rFonts w:ascii="Times New Roman" w:hAnsi="Times New Roman" w:cs="Times New Roman"/>
          <w:sz w:val="24"/>
          <w:szCs w:val="24"/>
        </w:rPr>
        <w:t>e</w:t>
      </w:r>
      <w:r w:rsidRPr="00401FFE">
        <w:rPr>
          <w:rFonts w:ascii="Times New Roman" w:hAnsi="Times New Roman" w:cs="Times New Roman"/>
          <w:sz w:val="24"/>
          <w:szCs w:val="24"/>
        </w:rPr>
        <w:t>cial/IWPolicyBriefTRC1214.pdf.</w:t>
      </w:r>
    </w:p>
    <w:p w14:paraId="39B43049" w14:textId="77777777" w:rsidR="001D0846" w:rsidRPr="00401FFE" w:rsidRDefault="001D0846" w:rsidP="00401FFE">
      <w:pPr>
        <w:jc w:val="both"/>
        <w:rPr>
          <w:rFonts w:ascii="Times New Roman" w:hAnsi="Times New Roman" w:cs="Times New Roman"/>
          <w:sz w:val="24"/>
          <w:szCs w:val="24"/>
        </w:rPr>
      </w:pPr>
    </w:p>
    <w:p w14:paraId="5DAB2C8F" w14:textId="50AD3317" w:rsidR="00BA15BD" w:rsidRPr="00401FFE" w:rsidRDefault="00BA15BD" w:rsidP="00401FFE">
      <w:pPr>
        <w:pStyle w:val="Bibliography"/>
        <w:numPr>
          <w:ilvl w:val="0"/>
          <w:numId w:val="27"/>
        </w:numPr>
        <w:jc w:val="both"/>
        <w:rPr>
          <w:rFonts w:ascii="Times New Roman" w:hAnsi="Times New Roman" w:cs="Times New Roman"/>
          <w:sz w:val="24"/>
          <w:szCs w:val="24"/>
        </w:rPr>
      </w:pPr>
      <w:r w:rsidRPr="00401FFE">
        <w:rPr>
          <w:rFonts w:ascii="Times New Roman" w:hAnsi="Times New Roman" w:cs="Times New Roman"/>
          <w:sz w:val="24"/>
          <w:szCs w:val="24"/>
        </w:rPr>
        <w:t xml:space="preserve">Jeangène Vilmer, Jean-Baptiste, Ryoa Chung, Pierre Hassner, et Frédéric Ramel. </w:t>
      </w:r>
      <w:r w:rsidRPr="00401FFE">
        <w:rPr>
          <w:rFonts w:ascii="Times New Roman" w:hAnsi="Times New Roman" w:cs="Times New Roman"/>
          <w:i/>
          <w:iCs/>
          <w:sz w:val="24"/>
          <w:szCs w:val="24"/>
        </w:rPr>
        <w:t>Éthique des relations internationales: problématiques contemporaines</w:t>
      </w:r>
      <w:r w:rsidRPr="00401FFE">
        <w:rPr>
          <w:rFonts w:ascii="Times New Roman" w:hAnsi="Times New Roman" w:cs="Times New Roman"/>
          <w:sz w:val="24"/>
          <w:szCs w:val="24"/>
        </w:rPr>
        <w:t>. 1re éd. Paris: Presses universitaires de France, 2013.</w:t>
      </w:r>
    </w:p>
    <w:p w14:paraId="3997E770" w14:textId="77777777" w:rsidR="001D0846" w:rsidRPr="00401FFE" w:rsidRDefault="001D0846" w:rsidP="00401FFE">
      <w:pPr>
        <w:jc w:val="both"/>
        <w:rPr>
          <w:rFonts w:ascii="Times New Roman" w:hAnsi="Times New Roman" w:cs="Times New Roman"/>
          <w:sz w:val="24"/>
          <w:szCs w:val="24"/>
        </w:rPr>
      </w:pPr>
    </w:p>
    <w:p w14:paraId="4E6B897A" w14:textId="1F8DD9A4" w:rsidR="00BA15BD" w:rsidRPr="00401FFE" w:rsidRDefault="00BA15BD" w:rsidP="00401FFE">
      <w:pPr>
        <w:pStyle w:val="Bibliography"/>
        <w:numPr>
          <w:ilvl w:val="0"/>
          <w:numId w:val="27"/>
        </w:numPr>
        <w:jc w:val="both"/>
        <w:rPr>
          <w:rFonts w:ascii="Times New Roman" w:hAnsi="Times New Roman" w:cs="Times New Roman"/>
          <w:sz w:val="24"/>
          <w:szCs w:val="24"/>
        </w:rPr>
      </w:pPr>
      <w:r w:rsidRPr="00401FFE">
        <w:rPr>
          <w:rFonts w:ascii="Times New Roman" w:hAnsi="Times New Roman" w:cs="Times New Roman"/>
          <w:sz w:val="24"/>
          <w:szCs w:val="24"/>
        </w:rPr>
        <w:t xml:space="preserve">Lefranc, Sandrine. « Chapitre II. Réconciliation nationale et construction politique de l’unité ». </w:t>
      </w:r>
      <w:r w:rsidRPr="00401FFE">
        <w:rPr>
          <w:rFonts w:ascii="Times New Roman" w:hAnsi="Times New Roman" w:cs="Times New Roman"/>
          <w:i/>
          <w:iCs/>
          <w:sz w:val="24"/>
          <w:szCs w:val="24"/>
        </w:rPr>
        <w:t>Fondements de la politique</w:t>
      </w:r>
      <w:r w:rsidRPr="00401FFE">
        <w:rPr>
          <w:rFonts w:ascii="Times New Roman" w:hAnsi="Times New Roman" w:cs="Times New Roman"/>
          <w:sz w:val="24"/>
          <w:szCs w:val="24"/>
        </w:rPr>
        <w:t>, 2002, 295‑344.</w:t>
      </w:r>
    </w:p>
    <w:p w14:paraId="6637D569" w14:textId="77777777" w:rsidR="001D0846" w:rsidRPr="00401FFE" w:rsidRDefault="001D0846" w:rsidP="00401FFE">
      <w:pPr>
        <w:jc w:val="both"/>
        <w:rPr>
          <w:rFonts w:ascii="Times New Roman" w:hAnsi="Times New Roman" w:cs="Times New Roman"/>
          <w:sz w:val="24"/>
          <w:szCs w:val="24"/>
        </w:rPr>
      </w:pPr>
    </w:p>
    <w:p w14:paraId="1D31B192" w14:textId="59E07164" w:rsidR="00401FFE" w:rsidRDefault="00401FFE" w:rsidP="00401FFE">
      <w:pPr>
        <w:pStyle w:val="Bibliography"/>
        <w:numPr>
          <w:ilvl w:val="0"/>
          <w:numId w:val="27"/>
        </w:numPr>
        <w:jc w:val="both"/>
        <w:rPr>
          <w:rFonts w:ascii="Times New Roman" w:hAnsi="Times New Roman" w:cs="Times New Roman"/>
          <w:sz w:val="24"/>
          <w:szCs w:val="24"/>
        </w:rPr>
      </w:pPr>
      <w:r w:rsidRPr="00401FFE">
        <w:rPr>
          <w:rFonts w:ascii="Times New Roman" w:hAnsi="Times New Roman" w:cs="Times New Roman"/>
          <w:sz w:val="24"/>
          <w:szCs w:val="24"/>
        </w:rPr>
        <w:t>«</w:t>
      </w:r>
      <w:r w:rsidRPr="00401FFE">
        <w:rPr>
          <w:rFonts w:ascii="Times New Roman" w:hAnsi="Times New Roman" w:cs="Times New Roman"/>
          <w:sz w:val="24"/>
          <w:szCs w:val="24"/>
          <w:lang w:val="fr"/>
        </w:rPr>
        <w:t xml:space="preserve"> </w:t>
      </w:r>
      <w:r>
        <w:rPr>
          <w:rFonts w:ascii="Times New Roman" w:hAnsi="Times New Roman" w:cs="Times New Roman"/>
          <w:sz w:val="24"/>
          <w:szCs w:val="24"/>
          <w:lang w:val="fr"/>
        </w:rPr>
        <w:t>LELEUX, Claudine,</w:t>
      </w:r>
      <w:r w:rsidRPr="00401FFE">
        <w:rPr>
          <w:rFonts w:ascii="Times New Roman" w:hAnsi="Times New Roman" w:cs="Times New Roman"/>
          <w:sz w:val="24"/>
          <w:szCs w:val="24"/>
        </w:rPr>
        <w:t> </w:t>
      </w:r>
      <w:r>
        <w:rPr>
          <w:rFonts w:ascii="Times New Roman" w:hAnsi="Times New Roman" w:cs="Times New Roman"/>
          <w:sz w:val="24"/>
          <w:szCs w:val="24"/>
        </w:rPr>
        <w:t xml:space="preserve">« </w:t>
      </w:r>
      <w:r w:rsidRPr="00401FFE">
        <w:rPr>
          <w:rFonts w:ascii="Times New Roman" w:hAnsi="Times New Roman" w:cs="Times New Roman"/>
          <w:sz w:val="24"/>
          <w:szCs w:val="24"/>
        </w:rPr>
        <w:t>EthiqueDiscussion - EthiqueDiscussion.pdf ». Consulté le 2 mars 2017. http://users.skynet.be/claudine.leleux/EthiqueDiscussion.pdf.</w:t>
      </w:r>
    </w:p>
    <w:p w14:paraId="4505A35B" w14:textId="77777777" w:rsidR="00401FFE" w:rsidRPr="00401FFE" w:rsidRDefault="00401FFE" w:rsidP="00401FFE"/>
    <w:p w14:paraId="41979D5B" w14:textId="5753A45A" w:rsidR="00BA15BD" w:rsidRPr="00401FFE" w:rsidRDefault="00A77FAB" w:rsidP="00401FFE">
      <w:pPr>
        <w:pStyle w:val="Bibliography"/>
        <w:numPr>
          <w:ilvl w:val="0"/>
          <w:numId w:val="27"/>
        </w:numPr>
        <w:jc w:val="both"/>
        <w:rPr>
          <w:rFonts w:ascii="Times New Roman" w:hAnsi="Times New Roman" w:cs="Times New Roman"/>
          <w:sz w:val="24"/>
          <w:szCs w:val="24"/>
        </w:rPr>
      </w:pPr>
      <w:r w:rsidRPr="00401FFE">
        <w:rPr>
          <w:rFonts w:ascii="Times New Roman" w:hAnsi="Times New Roman" w:cs="Times New Roman"/>
          <w:sz w:val="24"/>
          <w:szCs w:val="24"/>
        </w:rPr>
        <w:t xml:space="preserve">NKURUNZIZA, Pierre. </w:t>
      </w:r>
      <w:r w:rsidR="00BA15BD" w:rsidRPr="00401FFE">
        <w:rPr>
          <w:rFonts w:ascii="Times New Roman" w:hAnsi="Times New Roman" w:cs="Times New Roman"/>
          <w:sz w:val="24"/>
          <w:szCs w:val="24"/>
        </w:rPr>
        <w:t>« Loi du 15 mai 2014 portant CVR.pdf ». Consulté le 11 janvier 2019. https://www.uantwerpen.be/images/uantwerpen/container2143/files/DPPBurundi/JusticeTransitionnelle/CVRetTribunalSp</w:t>
      </w:r>
      <w:r w:rsidRPr="00401FFE">
        <w:rPr>
          <w:rFonts w:ascii="Times New Roman" w:hAnsi="Times New Roman" w:cs="Times New Roman"/>
          <w:sz w:val="24"/>
          <w:szCs w:val="24"/>
        </w:rPr>
        <w:t>e</w:t>
      </w:r>
      <w:r w:rsidR="00BA15BD" w:rsidRPr="00401FFE">
        <w:rPr>
          <w:rFonts w:ascii="Times New Roman" w:hAnsi="Times New Roman" w:cs="Times New Roman"/>
          <w:sz w:val="24"/>
          <w:szCs w:val="24"/>
        </w:rPr>
        <w:t>cial/processusl</w:t>
      </w:r>
      <w:r w:rsidRPr="00401FFE">
        <w:rPr>
          <w:rFonts w:ascii="Times New Roman" w:hAnsi="Times New Roman" w:cs="Times New Roman"/>
          <w:sz w:val="24"/>
          <w:szCs w:val="24"/>
        </w:rPr>
        <w:t>e</w:t>
      </w:r>
      <w:r w:rsidR="00BA15BD" w:rsidRPr="00401FFE">
        <w:rPr>
          <w:rFonts w:ascii="Times New Roman" w:hAnsi="Times New Roman" w:cs="Times New Roman"/>
          <w:sz w:val="24"/>
          <w:szCs w:val="24"/>
        </w:rPr>
        <w:t>gislatif/Loidu15mai2014portantCV</w:t>
      </w:r>
      <w:r w:rsidRPr="00401FFE">
        <w:rPr>
          <w:rFonts w:ascii="Times New Roman" w:hAnsi="Times New Roman" w:cs="Times New Roman"/>
          <w:sz w:val="24"/>
          <w:szCs w:val="24"/>
        </w:rPr>
        <w:t>R</w:t>
      </w:r>
      <w:r w:rsidR="00BA15BD" w:rsidRPr="00401FFE">
        <w:rPr>
          <w:rFonts w:ascii="Times New Roman" w:hAnsi="Times New Roman" w:cs="Times New Roman"/>
          <w:sz w:val="24"/>
          <w:szCs w:val="24"/>
        </w:rPr>
        <w:t>.pdf.</w:t>
      </w:r>
    </w:p>
    <w:p w14:paraId="0A5B4D4B" w14:textId="77777777" w:rsidR="00A77FAB" w:rsidRPr="00401FFE" w:rsidRDefault="00A77FAB" w:rsidP="00401FFE">
      <w:pPr>
        <w:jc w:val="both"/>
        <w:rPr>
          <w:rFonts w:ascii="Times New Roman" w:hAnsi="Times New Roman" w:cs="Times New Roman"/>
          <w:sz w:val="24"/>
          <w:szCs w:val="24"/>
        </w:rPr>
      </w:pPr>
    </w:p>
    <w:p w14:paraId="208A69BD" w14:textId="35FF3BAF" w:rsidR="00401FFE" w:rsidRDefault="00401FFE" w:rsidP="00401FFE">
      <w:pPr>
        <w:pStyle w:val="Bibliography"/>
        <w:numPr>
          <w:ilvl w:val="0"/>
          <w:numId w:val="27"/>
        </w:numPr>
        <w:jc w:val="both"/>
        <w:rPr>
          <w:rFonts w:ascii="Times New Roman" w:hAnsi="Times New Roman" w:cs="Times New Roman"/>
          <w:sz w:val="24"/>
          <w:szCs w:val="24"/>
        </w:rPr>
      </w:pPr>
      <w:r w:rsidRPr="00401FFE">
        <w:rPr>
          <w:rFonts w:ascii="Times New Roman" w:hAnsi="Times New Roman" w:cs="Times New Roman"/>
          <w:sz w:val="24"/>
          <w:szCs w:val="24"/>
        </w:rPr>
        <w:t>NKURUNZIZA</w:t>
      </w:r>
      <w:r>
        <w:rPr>
          <w:rFonts w:ascii="Times New Roman" w:hAnsi="Times New Roman" w:cs="Times New Roman"/>
          <w:sz w:val="24"/>
          <w:szCs w:val="24"/>
        </w:rPr>
        <w:t xml:space="preserve">, </w:t>
      </w:r>
      <w:r w:rsidRPr="00401FFE">
        <w:rPr>
          <w:rFonts w:ascii="Times New Roman" w:hAnsi="Times New Roman" w:cs="Times New Roman"/>
          <w:sz w:val="24"/>
          <w:szCs w:val="24"/>
        </w:rPr>
        <w:t xml:space="preserve">Pierre. Loi portant création, mandat, composition, organisation et fonctionnement de la commission vérité et réconciliation, pub.  </w:t>
      </w:r>
      <w:r w:rsidR="00AC500A" w:rsidRPr="00401FFE">
        <w:rPr>
          <w:rFonts w:ascii="Times New Roman" w:hAnsi="Times New Roman" w:cs="Times New Roman"/>
          <w:sz w:val="24"/>
          <w:szCs w:val="24"/>
        </w:rPr>
        <w:t>Loi</w:t>
      </w:r>
      <w:r w:rsidRPr="00401FFE">
        <w:rPr>
          <w:rFonts w:ascii="Times New Roman" w:hAnsi="Times New Roman" w:cs="Times New Roman"/>
          <w:sz w:val="24"/>
          <w:szCs w:val="24"/>
        </w:rPr>
        <w:t xml:space="preserve"> N°1/ 18 (2014).</w:t>
      </w:r>
    </w:p>
    <w:p w14:paraId="27951B45" w14:textId="77777777" w:rsidR="00401FFE" w:rsidRPr="00401FFE" w:rsidRDefault="00401FFE" w:rsidP="00401FFE"/>
    <w:p w14:paraId="707C7B68" w14:textId="34994B78" w:rsidR="00BA15BD" w:rsidRDefault="00BA15BD" w:rsidP="00401FFE">
      <w:pPr>
        <w:pStyle w:val="Bibliography"/>
        <w:numPr>
          <w:ilvl w:val="0"/>
          <w:numId w:val="27"/>
        </w:numPr>
        <w:jc w:val="both"/>
        <w:rPr>
          <w:rFonts w:ascii="Times New Roman" w:hAnsi="Times New Roman" w:cs="Times New Roman"/>
          <w:sz w:val="24"/>
          <w:szCs w:val="24"/>
        </w:rPr>
      </w:pPr>
      <w:r w:rsidRPr="00401FFE">
        <w:rPr>
          <w:rFonts w:ascii="Times New Roman" w:hAnsi="Times New Roman" w:cs="Times New Roman"/>
          <w:sz w:val="24"/>
          <w:szCs w:val="24"/>
        </w:rPr>
        <w:t xml:space="preserve">Métayer, Michel. </w:t>
      </w:r>
      <w:r w:rsidRPr="00401FFE">
        <w:rPr>
          <w:rFonts w:ascii="Times New Roman" w:hAnsi="Times New Roman" w:cs="Times New Roman"/>
          <w:i/>
          <w:iCs/>
          <w:sz w:val="24"/>
          <w:szCs w:val="24"/>
        </w:rPr>
        <w:t xml:space="preserve">Philosophie et éthique : enjeux et débats </w:t>
      </w:r>
      <w:r w:rsidR="00AC500A" w:rsidRPr="00401FFE">
        <w:rPr>
          <w:rFonts w:ascii="Times New Roman" w:hAnsi="Times New Roman" w:cs="Times New Roman"/>
          <w:i/>
          <w:iCs/>
          <w:sz w:val="24"/>
          <w:szCs w:val="24"/>
        </w:rPr>
        <w:t>actuels (</w:t>
      </w:r>
      <w:r w:rsidRPr="00401FFE">
        <w:rPr>
          <w:rFonts w:ascii="Times New Roman" w:hAnsi="Times New Roman" w:cs="Times New Roman"/>
          <w:i/>
          <w:iCs/>
          <w:sz w:val="24"/>
          <w:szCs w:val="24"/>
        </w:rPr>
        <w:t>La) 4e éd. par MÉTAYER, MICHEL</w:t>
      </w:r>
      <w:r w:rsidRPr="00401FFE">
        <w:rPr>
          <w:rFonts w:ascii="Times New Roman" w:hAnsi="Times New Roman" w:cs="Times New Roman"/>
          <w:sz w:val="24"/>
          <w:szCs w:val="24"/>
        </w:rPr>
        <w:t>. 4ème. PEARSON, s. d. Consulté le 23 février 2017.</w:t>
      </w:r>
    </w:p>
    <w:p w14:paraId="77F106CB" w14:textId="77777777" w:rsidR="00AC500A" w:rsidRPr="00AC500A" w:rsidRDefault="00AC500A" w:rsidP="00AC500A"/>
    <w:p w14:paraId="72972C54" w14:textId="3ED4F94C" w:rsidR="00BA15BD" w:rsidRPr="00401FFE" w:rsidRDefault="00BA15BD" w:rsidP="00401FFE">
      <w:pPr>
        <w:pStyle w:val="Bibliography"/>
        <w:numPr>
          <w:ilvl w:val="0"/>
          <w:numId w:val="27"/>
        </w:numPr>
        <w:jc w:val="both"/>
        <w:rPr>
          <w:rFonts w:ascii="Times New Roman" w:hAnsi="Times New Roman" w:cs="Times New Roman"/>
          <w:sz w:val="24"/>
          <w:szCs w:val="24"/>
        </w:rPr>
      </w:pPr>
      <w:r w:rsidRPr="00401FFE">
        <w:rPr>
          <w:rFonts w:ascii="Times New Roman" w:hAnsi="Times New Roman" w:cs="Times New Roman"/>
          <w:sz w:val="24"/>
          <w:szCs w:val="24"/>
        </w:rPr>
        <w:t xml:space="preserve">Mouelhi, Noureddine, André Duhamel, et Syliane Charles. </w:t>
      </w:r>
      <w:r w:rsidRPr="00401FFE">
        <w:rPr>
          <w:rFonts w:ascii="Times New Roman" w:hAnsi="Times New Roman" w:cs="Times New Roman"/>
          <w:i/>
          <w:iCs/>
          <w:sz w:val="24"/>
          <w:szCs w:val="24"/>
        </w:rPr>
        <w:t>Ethique histoire, politique, application</w:t>
      </w:r>
      <w:r w:rsidRPr="00401FFE">
        <w:rPr>
          <w:rFonts w:ascii="Times New Roman" w:hAnsi="Times New Roman" w:cs="Times New Roman"/>
          <w:sz w:val="24"/>
          <w:szCs w:val="24"/>
        </w:rPr>
        <w:t>. Chicoutimi: G. Morin, 2001.</w:t>
      </w:r>
    </w:p>
    <w:p w14:paraId="0B6CA1F8" w14:textId="77777777" w:rsidR="00A77FAB" w:rsidRPr="00401FFE" w:rsidRDefault="00A77FAB" w:rsidP="00401FFE">
      <w:pPr>
        <w:jc w:val="both"/>
        <w:rPr>
          <w:rFonts w:ascii="Times New Roman" w:hAnsi="Times New Roman" w:cs="Times New Roman"/>
          <w:sz w:val="24"/>
          <w:szCs w:val="24"/>
        </w:rPr>
      </w:pPr>
    </w:p>
    <w:p w14:paraId="2C359039" w14:textId="77777777" w:rsidR="00A77FAB" w:rsidRPr="00401FFE" w:rsidRDefault="00BA15BD" w:rsidP="00401FFE">
      <w:pPr>
        <w:pStyle w:val="Bibliography"/>
        <w:numPr>
          <w:ilvl w:val="0"/>
          <w:numId w:val="27"/>
        </w:numPr>
        <w:jc w:val="both"/>
        <w:rPr>
          <w:rFonts w:ascii="Times New Roman" w:hAnsi="Times New Roman" w:cs="Times New Roman"/>
          <w:sz w:val="24"/>
          <w:szCs w:val="24"/>
        </w:rPr>
      </w:pPr>
      <w:r w:rsidRPr="00401FFE">
        <w:rPr>
          <w:rFonts w:ascii="Times New Roman" w:hAnsi="Times New Roman" w:cs="Times New Roman"/>
          <w:sz w:val="24"/>
          <w:szCs w:val="24"/>
        </w:rPr>
        <w:t xml:space="preserve">« Olivier Abel - Recension de J.M.Ferry l’éthique reconstructive ». Consulté le 22 janvier 2019. </w:t>
      </w:r>
    </w:p>
    <w:p w14:paraId="2C8C93EB" w14:textId="1DEAA33D" w:rsidR="00BA15BD" w:rsidRPr="00401FFE" w:rsidRDefault="00BA15BD" w:rsidP="00401FFE">
      <w:pPr>
        <w:pStyle w:val="Bibliography"/>
        <w:ind w:firstLine="0"/>
        <w:jc w:val="both"/>
        <w:rPr>
          <w:rFonts w:ascii="Times New Roman" w:hAnsi="Times New Roman" w:cs="Times New Roman"/>
          <w:sz w:val="24"/>
          <w:szCs w:val="24"/>
        </w:rPr>
      </w:pPr>
      <w:r w:rsidRPr="00401FFE">
        <w:rPr>
          <w:rFonts w:ascii="Times New Roman" w:hAnsi="Times New Roman" w:cs="Times New Roman"/>
          <w:sz w:val="24"/>
          <w:szCs w:val="24"/>
        </w:rPr>
        <w:t>http://olivierabel.fr/supplement/ferry-l-ethique-reconstructive.php.</w:t>
      </w:r>
    </w:p>
    <w:p w14:paraId="4D852E68" w14:textId="77777777" w:rsidR="00A77FAB" w:rsidRPr="00401FFE" w:rsidRDefault="00A77FAB" w:rsidP="00401FFE">
      <w:pPr>
        <w:jc w:val="both"/>
        <w:rPr>
          <w:rFonts w:ascii="Times New Roman" w:hAnsi="Times New Roman" w:cs="Times New Roman"/>
          <w:sz w:val="24"/>
          <w:szCs w:val="24"/>
        </w:rPr>
      </w:pPr>
    </w:p>
    <w:p w14:paraId="2E57C37F" w14:textId="77777777" w:rsidR="00A77FAB" w:rsidRPr="00401FFE" w:rsidRDefault="00BA15BD" w:rsidP="00401FFE">
      <w:pPr>
        <w:pStyle w:val="Bibliography"/>
        <w:numPr>
          <w:ilvl w:val="0"/>
          <w:numId w:val="27"/>
        </w:numPr>
        <w:jc w:val="both"/>
        <w:rPr>
          <w:rFonts w:ascii="Times New Roman" w:hAnsi="Times New Roman" w:cs="Times New Roman"/>
          <w:sz w:val="24"/>
          <w:szCs w:val="24"/>
        </w:rPr>
      </w:pPr>
      <w:r w:rsidRPr="00401FFE">
        <w:rPr>
          <w:rFonts w:ascii="Times New Roman" w:hAnsi="Times New Roman" w:cs="Times New Roman"/>
          <w:sz w:val="24"/>
          <w:szCs w:val="24"/>
        </w:rPr>
        <w:t xml:space="preserve">Padioleau, Jean. </w:t>
      </w:r>
      <w:r w:rsidRPr="00401FFE">
        <w:rPr>
          <w:rFonts w:ascii="Times New Roman" w:hAnsi="Times New Roman" w:cs="Times New Roman"/>
          <w:i/>
          <w:iCs/>
          <w:sz w:val="24"/>
          <w:szCs w:val="24"/>
        </w:rPr>
        <w:t>ARTS PRATIQUES DE L’ACTION PUBLIQUE ULTRA-MODERNE</w:t>
      </w:r>
      <w:r w:rsidRPr="00401FFE">
        <w:rPr>
          <w:rFonts w:ascii="Times New Roman" w:hAnsi="Times New Roman" w:cs="Times New Roman"/>
          <w:sz w:val="24"/>
          <w:szCs w:val="24"/>
        </w:rPr>
        <w:t xml:space="preserve">. Paris: Harmattan, 2004. </w:t>
      </w:r>
    </w:p>
    <w:p w14:paraId="28136C86" w14:textId="77F3B2C1" w:rsidR="00BA15BD" w:rsidRPr="00401FFE" w:rsidRDefault="00BA15BD" w:rsidP="00401FFE">
      <w:pPr>
        <w:pStyle w:val="Bibliography"/>
        <w:ind w:firstLine="0"/>
        <w:jc w:val="both"/>
        <w:rPr>
          <w:rFonts w:ascii="Times New Roman" w:hAnsi="Times New Roman" w:cs="Times New Roman"/>
          <w:sz w:val="24"/>
          <w:szCs w:val="24"/>
        </w:rPr>
      </w:pPr>
      <w:r w:rsidRPr="00401FFE">
        <w:rPr>
          <w:rFonts w:ascii="Times New Roman" w:hAnsi="Times New Roman" w:cs="Times New Roman"/>
          <w:sz w:val="24"/>
          <w:szCs w:val="24"/>
        </w:rPr>
        <w:t>http://www.harmatheque.com/ebook/274755869X.</w:t>
      </w:r>
    </w:p>
    <w:p w14:paraId="32C60786" w14:textId="77777777" w:rsidR="00A77FAB" w:rsidRPr="00401FFE" w:rsidRDefault="00A77FAB" w:rsidP="00401FFE">
      <w:pPr>
        <w:jc w:val="both"/>
        <w:rPr>
          <w:rFonts w:ascii="Times New Roman" w:hAnsi="Times New Roman" w:cs="Times New Roman"/>
          <w:sz w:val="24"/>
          <w:szCs w:val="24"/>
        </w:rPr>
      </w:pPr>
    </w:p>
    <w:p w14:paraId="4714FD35" w14:textId="77777777" w:rsidR="00401FFE" w:rsidRPr="00401FFE" w:rsidRDefault="00BA15BD" w:rsidP="00401FFE">
      <w:pPr>
        <w:pStyle w:val="Bibliography"/>
        <w:numPr>
          <w:ilvl w:val="0"/>
          <w:numId w:val="27"/>
        </w:numPr>
        <w:jc w:val="both"/>
        <w:rPr>
          <w:rFonts w:ascii="Times New Roman" w:hAnsi="Times New Roman" w:cs="Times New Roman"/>
          <w:sz w:val="24"/>
          <w:szCs w:val="24"/>
        </w:rPr>
      </w:pPr>
      <w:r w:rsidRPr="00401FFE">
        <w:rPr>
          <w:rFonts w:ascii="Times New Roman" w:hAnsi="Times New Roman" w:cs="Times New Roman"/>
          <w:sz w:val="24"/>
          <w:szCs w:val="24"/>
        </w:rPr>
        <w:t xml:space="preserve">Redekop, Vern Neufeld. </w:t>
      </w:r>
      <w:r w:rsidRPr="00401FFE">
        <w:rPr>
          <w:rFonts w:ascii="Times New Roman" w:hAnsi="Times New Roman" w:cs="Times New Roman"/>
          <w:i/>
          <w:iCs/>
          <w:sz w:val="24"/>
          <w:szCs w:val="24"/>
        </w:rPr>
        <w:t>De Violence à Bienveillance Comment la compréhension du conflit identitaire ouvre la voie à la réconciliation</w:t>
      </w:r>
      <w:r w:rsidRPr="00401FFE">
        <w:rPr>
          <w:rFonts w:ascii="Times New Roman" w:hAnsi="Times New Roman" w:cs="Times New Roman"/>
          <w:sz w:val="24"/>
          <w:szCs w:val="24"/>
        </w:rPr>
        <w:t xml:space="preserve">. Saarbrücken: Éditions Universitaires Européenes, 2012. </w:t>
      </w:r>
    </w:p>
    <w:p w14:paraId="383F4654" w14:textId="0B42C0E9" w:rsidR="00BA15BD" w:rsidRPr="00401FFE" w:rsidRDefault="00BA15BD" w:rsidP="00401FFE">
      <w:pPr>
        <w:pStyle w:val="Bibliography"/>
        <w:ind w:firstLine="0"/>
        <w:jc w:val="both"/>
        <w:rPr>
          <w:rFonts w:ascii="Times New Roman" w:hAnsi="Times New Roman" w:cs="Times New Roman"/>
          <w:sz w:val="24"/>
          <w:szCs w:val="24"/>
        </w:rPr>
      </w:pPr>
      <w:r w:rsidRPr="00401FFE">
        <w:rPr>
          <w:rFonts w:ascii="Times New Roman" w:hAnsi="Times New Roman" w:cs="Times New Roman"/>
          <w:sz w:val="24"/>
          <w:szCs w:val="24"/>
        </w:rPr>
        <w:t>http://nbn-resolving.de/urn:nbn:de:101:1-201211235771.</w:t>
      </w:r>
    </w:p>
    <w:p w14:paraId="1AEF5847" w14:textId="77777777" w:rsidR="00401FFE" w:rsidRPr="00401FFE" w:rsidRDefault="00401FFE" w:rsidP="00401FFE">
      <w:pPr>
        <w:jc w:val="both"/>
        <w:rPr>
          <w:rFonts w:ascii="Times New Roman" w:hAnsi="Times New Roman" w:cs="Times New Roman"/>
          <w:sz w:val="24"/>
          <w:szCs w:val="24"/>
        </w:rPr>
      </w:pPr>
    </w:p>
    <w:p w14:paraId="6E79E505" w14:textId="6B1A6705" w:rsidR="00BA15BD" w:rsidRPr="00401FFE" w:rsidRDefault="00BA15BD" w:rsidP="00401FFE">
      <w:pPr>
        <w:pStyle w:val="Bibliography"/>
        <w:numPr>
          <w:ilvl w:val="0"/>
          <w:numId w:val="27"/>
        </w:numPr>
        <w:jc w:val="both"/>
        <w:rPr>
          <w:rFonts w:ascii="Times New Roman" w:hAnsi="Times New Roman" w:cs="Times New Roman"/>
          <w:sz w:val="24"/>
          <w:szCs w:val="24"/>
        </w:rPr>
      </w:pPr>
      <w:r w:rsidRPr="00401FFE">
        <w:rPr>
          <w:rFonts w:ascii="Times New Roman" w:hAnsi="Times New Roman" w:cs="Times New Roman"/>
          <w:sz w:val="24"/>
          <w:szCs w:val="24"/>
        </w:rPr>
        <w:t xml:space="preserve">Ricœur, Paul. </w:t>
      </w:r>
      <w:r w:rsidRPr="00401FFE">
        <w:rPr>
          <w:rFonts w:ascii="Times New Roman" w:hAnsi="Times New Roman" w:cs="Times New Roman"/>
          <w:i/>
          <w:iCs/>
          <w:sz w:val="24"/>
          <w:szCs w:val="24"/>
        </w:rPr>
        <w:t>Amour et justice</w:t>
      </w:r>
      <w:r w:rsidRPr="00401FFE">
        <w:rPr>
          <w:rFonts w:ascii="Times New Roman" w:hAnsi="Times New Roman" w:cs="Times New Roman"/>
          <w:sz w:val="24"/>
          <w:szCs w:val="24"/>
        </w:rPr>
        <w:t>. Paris: Editions Points, 2008.</w:t>
      </w:r>
    </w:p>
    <w:p w14:paraId="6EEF12BD" w14:textId="77777777" w:rsidR="00401FFE" w:rsidRPr="00401FFE" w:rsidRDefault="00401FFE" w:rsidP="00401FFE">
      <w:pPr>
        <w:jc w:val="both"/>
        <w:rPr>
          <w:rFonts w:ascii="Times New Roman" w:hAnsi="Times New Roman" w:cs="Times New Roman"/>
          <w:sz w:val="24"/>
          <w:szCs w:val="24"/>
        </w:rPr>
      </w:pPr>
    </w:p>
    <w:p w14:paraId="100D21AC" w14:textId="39C885FC" w:rsidR="00BA15BD" w:rsidRPr="00401FFE" w:rsidRDefault="00BA15BD" w:rsidP="00401FFE">
      <w:pPr>
        <w:pStyle w:val="Bibliography"/>
        <w:numPr>
          <w:ilvl w:val="0"/>
          <w:numId w:val="27"/>
        </w:numPr>
        <w:jc w:val="both"/>
        <w:rPr>
          <w:rFonts w:ascii="Times New Roman" w:hAnsi="Times New Roman" w:cs="Times New Roman"/>
          <w:sz w:val="24"/>
          <w:szCs w:val="24"/>
        </w:rPr>
      </w:pPr>
      <w:r w:rsidRPr="00401FFE">
        <w:rPr>
          <w:rFonts w:ascii="Times New Roman" w:hAnsi="Times New Roman" w:cs="Times New Roman"/>
          <w:sz w:val="24"/>
          <w:szCs w:val="24"/>
        </w:rPr>
        <w:t>———. « A</w:t>
      </w:r>
      <w:r w:rsidR="00401FFE" w:rsidRPr="00401FFE">
        <w:rPr>
          <w:rFonts w:ascii="Times New Roman" w:hAnsi="Times New Roman" w:cs="Times New Roman"/>
          <w:sz w:val="24"/>
          <w:szCs w:val="24"/>
        </w:rPr>
        <w:t>ux frontières de la philosophie: sur le tragique</w:t>
      </w:r>
      <w:r w:rsidRPr="00401FFE">
        <w:rPr>
          <w:rFonts w:ascii="Times New Roman" w:hAnsi="Times New Roman" w:cs="Times New Roman"/>
          <w:sz w:val="24"/>
          <w:szCs w:val="24"/>
        </w:rPr>
        <w:t xml:space="preserve"> (Suite) ». </w:t>
      </w:r>
      <w:r w:rsidR="008B0C4F">
        <w:rPr>
          <w:rFonts w:ascii="Times New Roman" w:hAnsi="Times New Roman" w:cs="Times New Roman"/>
          <w:i/>
          <w:iCs/>
          <w:sz w:val="24"/>
          <w:szCs w:val="24"/>
        </w:rPr>
        <w:t>Esprit (1940</w:t>
      </w:r>
      <w:r w:rsidRPr="00401FFE">
        <w:rPr>
          <w:rFonts w:ascii="Times New Roman" w:hAnsi="Times New Roman" w:cs="Times New Roman"/>
          <w:i/>
          <w:iCs/>
          <w:sz w:val="24"/>
          <w:szCs w:val="24"/>
        </w:rPr>
        <w:t>)</w:t>
      </w:r>
      <w:r w:rsidRPr="00401FFE">
        <w:rPr>
          <w:rFonts w:ascii="Times New Roman" w:hAnsi="Times New Roman" w:cs="Times New Roman"/>
          <w:sz w:val="24"/>
          <w:szCs w:val="24"/>
        </w:rPr>
        <w:t>, n</w:t>
      </w:r>
      <w:r w:rsidRPr="00401FFE">
        <w:rPr>
          <w:rFonts w:ascii="Times New Roman" w:hAnsi="Times New Roman" w:cs="Times New Roman"/>
          <w:sz w:val="24"/>
          <w:szCs w:val="24"/>
          <w:vertAlign w:val="superscript"/>
        </w:rPr>
        <w:t>o</w:t>
      </w:r>
      <w:r w:rsidRPr="00401FFE">
        <w:rPr>
          <w:rFonts w:ascii="Times New Roman" w:hAnsi="Times New Roman" w:cs="Times New Roman"/>
          <w:sz w:val="24"/>
          <w:szCs w:val="24"/>
        </w:rPr>
        <w:t xml:space="preserve"> 200 (3) (1953): 449‑67.</w:t>
      </w:r>
    </w:p>
    <w:p w14:paraId="22FFE02C" w14:textId="77777777" w:rsidR="00401FFE" w:rsidRPr="00401FFE" w:rsidRDefault="00401FFE" w:rsidP="00401FFE">
      <w:pPr>
        <w:jc w:val="both"/>
        <w:rPr>
          <w:rFonts w:ascii="Times New Roman" w:hAnsi="Times New Roman" w:cs="Times New Roman"/>
          <w:sz w:val="24"/>
          <w:szCs w:val="24"/>
        </w:rPr>
      </w:pPr>
    </w:p>
    <w:p w14:paraId="62D16D4B" w14:textId="1F44EE85" w:rsidR="00BA15BD" w:rsidRPr="00401FFE" w:rsidRDefault="00BA15BD" w:rsidP="00401FFE">
      <w:pPr>
        <w:pStyle w:val="Bibliography"/>
        <w:numPr>
          <w:ilvl w:val="0"/>
          <w:numId w:val="27"/>
        </w:numPr>
        <w:jc w:val="both"/>
        <w:rPr>
          <w:rFonts w:ascii="Times New Roman" w:hAnsi="Times New Roman" w:cs="Times New Roman"/>
          <w:sz w:val="24"/>
          <w:szCs w:val="24"/>
        </w:rPr>
      </w:pPr>
      <w:r w:rsidRPr="00401FFE">
        <w:rPr>
          <w:rFonts w:ascii="Times New Roman" w:hAnsi="Times New Roman" w:cs="Times New Roman"/>
          <w:sz w:val="24"/>
          <w:szCs w:val="24"/>
        </w:rPr>
        <w:t xml:space="preserve">Vallerand, Robert J. </w:t>
      </w:r>
      <w:r w:rsidRPr="00401FFE">
        <w:rPr>
          <w:rFonts w:ascii="Times New Roman" w:hAnsi="Times New Roman" w:cs="Times New Roman"/>
          <w:i/>
          <w:iCs/>
          <w:sz w:val="24"/>
          <w:szCs w:val="24"/>
        </w:rPr>
        <w:t>Les fondements de la psychologie sociale</w:t>
      </w:r>
      <w:r w:rsidRPr="00401FFE">
        <w:rPr>
          <w:rFonts w:ascii="Times New Roman" w:hAnsi="Times New Roman" w:cs="Times New Roman"/>
          <w:sz w:val="24"/>
          <w:szCs w:val="24"/>
        </w:rPr>
        <w:t>. Montréal: G. Morin, 2006.</w:t>
      </w:r>
    </w:p>
    <w:p w14:paraId="327F33F7" w14:textId="77777777" w:rsidR="00401FFE" w:rsidRPr="00401FFE" w:rsidRDefault="00401FFE" w:rsidP="00401FFE">
      <w:pPr>
        <w:jc w:val="both"/>
        <w:rPr>
          <w:rFonts w:ascii="Times New Roman" w:hAnsi="Times New Roman" w:cs="Times New Roman"/>
          <w:sz w:val="24"/>
          <w:szCs w:val="24"/>
        </w:rPr>
      </w:pPr>
    </w:p>
    <w:p w14:paraId="175ABDBA" w14:textId="54F967CA" w:rsidR="00BA15BD" w:rsidRPr="00401FFE" w:rsidRDefault="00BA15BD" w:rsidP="00401FFE">
      <w:pPr>
        <w:pStyle w:val="Bibliography"/>
        <w:numPr>
          <w:ilvl w:val="0"/>
          <w:numId w:val="27"/>
        </w:numPr>
        <w:jc w:val="both"/>
        <w:rPr>
          <w:rFonts w:ascii="Times New Roman" w:hAnsi="Times New Roman" w:cs="Times New Roman"/>
          <w:sz w:val="24"/>
          <w:szCs w:val="24"/>
        </w:rPr>
      </w:pPr>
      <w:r w:rsidRPr="00401FFE">
        <w:rPr>
          <w:rFonts w:ascii="Times New Roman" w:hAnsi="Times New Roman" w:cs="Times New Roman"/>
          <w:sz w:val="24"/>
          <w:szCs w:val="24"/>
        </w:rPr>
        <w:t xml:space="preserve">Vandeginste, Stef. « Le processus de justice transitionnelle au Burundi ». </w:t>
      </w:r>
      <w:r w:rsidRPr="00401FFE">
        <w:rPr>
          <w:rFonts w:ascii="Times New Roman" w:hAnsi="Times New Roman" w:cs="Times New Roman"/>
          <w:i/>
          <w:iCs/>
          <w:sz w:val="24"/>
          <w:szCs w:val="24"/>
        </w:rPr>
        <w:t>Droit et societe</w:t>
      </w:r>
      <w:r w:rsidRPr="00401FFE">
        <w:rPr>
          <w:rFonts w:ascii="Times New Roman" w:hAnsi="Times New Roman" w:cs="Times New Roman"/>
          <w:sz w:val="24"/>
          <w:szCs w:val="24"/>
        </w:rPr>
        <w:t xml:space="preserve"> n° 73, n</w:t>
      </w:r>
      <w:r w:rsidRPr="00401FFE">
        <w:rPr>
          <w:rFonts w:ascii="Times New Roman" w:hAnsi="Times New Roman" w:cs="Times New Roman"/>
          <w:sz w:val="24"/>
          <w:szCs w:val="24"/>
          <w:vertAlign w:val="superscript"/>
        </w:rPr>
        <w:t>o</w:t>
      </w:r>
      <w:r w:rsidRPr="00401FFE">
        <w:rPr>
          <w:rFonts w:ascii="Times New Roman" w:hAnsi="Times New Roman" w:cs="Times New Roman"/>
          <w:sz w:val="24"/>
          <w:szCs w:val="24"/>
        </w:rPr>
        <w:t xml:space="preserve"> 3 (2009): 591‑611.</w:t>
      </w:r>
    </w:p>
    <w:p w14:paraId="7F0FA125" w14:textId="77777777" w:rsidR="00401FFE" w:rsidRPr="00401FFE" w:rsidRDefault="00401FFE" w:rsidP="00401FFE">
      <w:pPr>
        <w:jc w:val="both"/>
        <w:rPr>
          <w:rFonts w:ascii="Times New Roman" w:hAnsi="Times New Roman" w:cs="Times New Roman"/>
          <w:sz w:val="24"/>
          <w:szCs w:val="24"/>
        </w:rPr>
      </w:pPr>
    </w:p>
    <w:p w14:paraId="01259B9E" w14:textId="77777777" w:rsidR="00741933" w:rsidRDefault="00BA15BD" w:rsidP="00401FFE">
      <w:pPr>
        <w:pStyle w:val="Bibliography"/>
        <w:numPr>
          <w:ilvl w:val="0"/>
          <w:numId w:val="27"/>
        </w:numPr>
        <w:jc w:val="both"/>
        <w:rPr>
          <w:rFonts w:ascii="Times New Roman" w:hAnsi="Times New Roman" w:cs="Times New Roman"/>
          <w:sz w:val="24"/>
          <w:szCs w:val="24"/>
          <w:lang w:val="en-CA"/>
        </w:rPr>
      </w:pPr>
      <w:r w:rsidRPr="00401FFE">
        <w:rPr>
          <w:rFonts w:ascii="Times New Roman" w:hAnsi="Times New Roman" w:cs="Times New Roman"/>
          <w:sz w:val="24"/>
          <w:szCs w:val="24"/>
        </w:rPr>
        <w:t xml:space="preserve">———. « Théorie Consociative et Partage Du Pouvoir Au Burundi ». </w:t>
      </w:r>
      <w:r w:rsidRPr="00401FFE">
        <w:rPr>
          <w:rFonts w:ascii="Times New Roman" w:hAnsi="Times New Roman" w:cs="Times New Roman"/>
          <w:i/>
          <w:iCs/>
          <w:sz w:val="24"/>
          <w:szCs w:val="24"/>
          <w:lang w:val="en-CA"/>
        </w:rPr>
        <w:t>IDEAS Working Paper Series from RePEc</w:t>
      </w:r>
      <w:r w:rsidRPr="00401FFE">
        <w:rPr>
          <w:rFonts w:ascii="Times New Roman" w:hAnsi="Times New Roman" w:cs="Times New Roman"/>
          <w:sz w:val="24"/>
          <w:szCs w:val="24"/>
          <w:lang w:val="en-CA"/>
        </w:rPr>
        <w:t xml:space="preserve">, 2006. </w:t>
      </w:r>
    </w:p>
    <w:p w14:paraId="5482543F" w14:textId="7401B910" w:rsidR="00BA15BD" w:rsidRPr="00401FFE" w:rsidRDefault="00BA15BD" w:rsidP="00741933">
      <w:pPr>
        <w:pStyle w:val="Bibliography"/>
        <w:ind w:firstLine="0"/>
        <w:jc w:val="both"/>
        <w:rPr>
          <w:rFonts w:ascii="Times New Roman" w:hAnsi="Times New Roman" w:cs="Times New Roman"/>
          <w:sz w:val="24"/>
          <w:szCs w:val="24"/>
          <w:lang w:val="en-CA"/>
        </w:rPr>
      </w:pPr>
      <w:r w:rsidRPr="00401FFE">
        <w:rPr>
          <w:rFonts w:ascii="Times New Roman" w:hAnsi="Times New Roman" w:cs="Times New Roman"/>
          <w:sz w:val="24"/>
          <w:szCs w:val="24"/>
          <w:lang w:val="en-CA"/>
        </w:rPr>
        <w:t>http://search.proquest.com/docview/1698599004/?pq-origsite=primo.</w:t>
      </w:r>
    </w:p>
    <w:p w14:paraId="1573CD9E" w14:textId="26E6E0EF" w:rsidR="001905B0" w:rsidRPr="002D41AB" w:rsidRDefault="001905B0" w:rsidP="00401FFE">
      <w:pPr>
        <w:pStyle w:val="NoSpacing"/>
        <w:spacing w:line="480" w:lineRule="auto"/>
        <w:ind w:firstLine="708"/>
        <w:jc w:val="both"/>
        <w:rPr>
          <w:rFonts w:ascii="Times New Roman" w:hAnsi="Times New Roman" w:cs="Times New Roman"/>
          <w:sz w:val="24"/>
          <w:szCs w:val="24"/>
          <w:lang w:val="en-CA"/>
        </w:rPr>
      </w:pPr>
      <w:r w:rsidRPr="00401FFE">
        <w:rPr>
          <w:rFonts w:ascii="Times New Roman" w:hAnsi="Times New Roman" w:cs="Times New Roman"/>
          <w:sz w:val="24"/>
          <w:szCs w:val="24"/>
          <w:lang w:val="fr"/>
        </w:rPr>
        <w:fldChar w:fldCharType="end"/>
      </w:r>
    </w:p>
    <w:p w14:paraId="67AED45E" w14:textId="2F9425CB" w:rsidR="000E3151" w:rsidRPr="00967063" w:rsidRDefault="000E3151" w:rsidP="001905B0">
      <w:pPr>
        <w:pStyle w:val="Heading1"/>
        <w:rPr>
          <w:sz w:val="24"/>
          <w:szCs w:val="24"/>
          <w:lang w:val="en-CA"/>
        </w:rPr>
      </w:pPr>
    </w:p>
    <w:sectPr w:rsidR="000E3151" w:rsidRPr="00967063" w:rsidSect="0070591A">
      <w:footerReference w:type="first" r:id="rId13"/>
      <w:pgSz w:w="12240" w:h="15840"/>
      <w:pgMar w:top="1440" w:right="1800" w:bottom="1440" w:left="1800" w:header="708" w:footer="708"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AC4FD03" w14:textId="77777777" w:rsidR="00552AA4" w:rsidRDefault="00552AA4" w:rsidP="00F351CB">
      <w:pPr>
        <w:spacing w:after="0" w:line="240" w:lineRule="auto"/>
      </w:pPr>
      <w:r>
        <w:separator/>
      </w:r>
    </w:p>
  </w:endnote>
  <w:endnote w:type="continuationSeparator" w:id="0">
    <w:p w14:paraId="070CD5DB" w14:textId="77777777" w:rsidR="00552AA4" w:rsidRDefault="00552AA4" w:rsidP="00F351C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JKPHF K+ Utopia">
    <w:altName w:val="Cambria"/>
    <w:panose1 w:val="00000000000000000000"/>
    <w:charset w:val="00"/>
    <w:family w:val="roman"/>
    <w:notTrueType/>
    <w:pitch w:val="default"/>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864402590"/>
      <w:docPartObj>
        <w:docPartGallery w:val="Page Numbers (Bottom of Page)"/>
        <w:docPartUnique/>
      </w:docPartObj>
    </w:sdtPr>
    <w:sdtEndPr/>
    <w:sdtContent>
      <w:p w14:paraId="745A631D" w14:textId="76C5B521" w:rsidR="006F28E3" w:rsidRDefault="006F28E3">
        <w:pPr>
          <w:pStyle w:val="Footer"/>
          <w:jc w:val="right"/>
        </w:pPr>
        <w:r>
          <w:fldChar w:fldCharType="begin"/>
        </w:r>
        <w:r>
          <w:instrText>PAGE   \* MERGEFORMAT</w:instrText>
        </w:r>
        <w:r>
          <w:fldChar w:fldCharType="separate"/>
        </w:r>
        <w:r w:rsidRPr="00C96C40">
          <w:rPr>
            <w:noProof/>
            <w:lang w:val="fr-FR"/>
          </w:rPr>
          <w:t>2</w:t>
        </w:r>
        <w:r>
          <w:fldChar w:fldCharType="end"/>
        </w:r>
      </w:p>
    </w:sdtContent>
  </w:sdt>
  <w:p w14:paraId="4D9B4355" w14:textId="61C24192" w:rsidR="006F28E3" w:rsidRDefault="006F28E3">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7381C9D" w14:textId="12FAB2FA" w:rsidR="006F28E3" w:rsidRDefault="006F28E3">
    <w:pPr>
      <w:pStyle w:val="Footer"/>
      <w:jc w:val="right"/>
    </w:pPr>
  </w:p>
  <w:p w14:paraId="24117491" w14:textId="77777777" w:rsidR="006F28E3" w:rsidRDefault="006F28E3">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576275872"/>
      <w:docPartObj>
        <w:docPartGallery w:val="Page Numbers (Bottom of Page)"/>
        <w:docPartUnique/>
      </w:docPartObj>
    </w:sdtPr>
    <w:sdtEndPr/>
    <w:sdtContent>
      <w:p w14:paraId="0378C82A" w14:textId="7AAC0BEB" w:rsidR="006F28E3" w:rsidRDefault="006F28E3">
        <w:pPr>
          <w:pStyle w:val="Footer"/>
          <w:jc w:val="right"/>
        </w:pPr>
        <w:r>
          <w:fldChar w:fldCharType="begin"/>
        </w:r>
        <w:r>
          <w:instrText>PAGE   \* MERGEFORMAT</w:instrText>
        </w:r>
        <w:r>
          <w:fldChar w:fldCharType="separate"/>
        </w:r>
        <w:r w:rsidR="004B4503" w:rsidRPr="004B4503">
          <w:rPr>
            <w:noProof/>
            <w:lang w:val="fr-FR"/>
          </w:rPr>
          <w:t>16</w:t>
        </w:r>
        <w:r>
          <w:fldChar w:fldCharType="end"/>
        </w:r>
      </w:p>
    </w:sdtContent>
  </w:sdt>
  <w:p w14:paraId="4BA3A516" w14:textId="77777777" w:rsidR="006F28E3" w:rsidRDefault="006F28E3">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597251771"/>
      <w:docPartObj>
        <w:docPartGallery w:val="Page Numbers (Bottom of Page)"/>
        <w:docPartUnique/>
      </w:docPartObj>
    </w:sdtPr>
    <w:sdtEndPr/>
    <w:sdtContent>
      <w:p w14:paraId="61C2BBFD" w14:textId="6C8C5941" w:rsidR="006F28E3" w:rsidRDefault="006F28E3">
        <w:pPr>
          <w:pStyle w:val="Footer"/>
          <w:jc w:val="right"/>
        </w:pPr>
        <w:r>
          <w:fldChar w:fldCharType="begin"/>
        </w:r>
        <w:r>
          <w:instrText>PAGE   \* MERGEFORMAT</w:instrText>
        </w:r>
        <w:r>
          <w:fldChar w:fldCharType="separate"/>
        </w:r>
        <w:r w:rsidR="004B4503" w:rsidRPr="004B4503">
          <w:rPr>
            <w:noProof/>
            <w:lang w:val="fr-FR"/>
          </w:rPr>
          <w:t>1</w:t>
        </w:r>
        <w:r>
          <w:fldChar w:fldCharType="end"/>
        </w:r>
      </w:p>
    </w:sdtContent>
  </w:sdt>
  <w:p w14:paraId="06B2BDD8" w14:textId="77777777" w:rsidR="006F28E3" w:rsidRDefault="006F28E3">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A2AEE5E" w14:textId="77777777" w:rsidR="00552AA4" w:rsidRDefault="00552AA4" w:rsidP="00F351CB">
      <w:pPr>
        <w:spacing w:after="0" w:line="240" w:lineRule="auto"/>
      </w:pPr>
      <w:r>
        <w:separator/>
      </w:r>
    </w:p>
  </w:footnote>
  <w:footnote w:type="continuationSeparator" w:id="0">
    <w:p w14:paraId="2F14D84C" w14:textId="77777777" w:rsidR="00552AA4" w:rsidRDefault="00552AA4" w:rsidP="00F351CB">
      <w:pPr>
        <w:spacing w:after="0" w:line="240" w:lineRule="auto"/>
      </w:pPr>
      <w:r>
        <w:continuationSeparator/>
      </w:r>
    </w:p>
  </w:footnote>
  <w:footnote w:id="1">
    <w:p w14:paraId="30667D28" w14:textId="5B43ED25" w:rsidR="006F28E3" w:rsidRDefault="006F28E3" w:rsidP="001905B0">
      <w:pPr>
        <w:pStyle w:val="FootnoteText"/>
      </w:pPr>
      <w:r>
        <w:rPr>
          <w:rStyle w:val="FootnoteReference"/>
        </w:rPr>
        <w:footnoteRef/>
      </w:r>
      <w:r>
        <w:t xml:space="preserve"> </w:t>
      </w:r>
      <w:r>
        <w:fldChar w:fldCharType="begin"/>
      </w:r>
      <w:r>
        <w:instrText xml:space="preserve"> ADDIN ZOTERO_ITEM CSL_CITATION {"citationID":"gPPJLFwS","properties":{"formattedCitation":"Jean-Baptiste Jeang\\uc0\\u232{}ne Vilmer et al., {\\i{}\\uc0\\u201{}thique des relations internationales: probl\\uc0\\u233{}matiques contemporaines}, 1re \\uc0\\u233{}d.. (Paris: Presses universitaires de France, 2013), 260.","plainCitation":"Jean-Baptiste Jeangène Vilmer et al., Éthique des relations internationales: problématiques contemporaines, 1re éd.. (Paris: Presses universitaires de France, 2013), 260.","dontUpdate":true,"noteIndex":1},"citationItems":[{"id":1276,"uris":["http://zotero.org/users/3679831/items/R9U3S543"],"uri":["http://zotero.org/users/3679831/items/R9U3S543"],"itemData":{"id":1276,"type":"book","title":"Éthique des relations internationales: problématiques contemporaines","publisher":"Presses universitaires de France","publisher-place":"Paris","edition":"1re éd..","source":"primo-standard-lb.com","event-place":"Paris","ISBN":"978-2-13-059112-2","call-number":"JZ 1306 .E8848 2013","shortTitle":"Éthique des relations internationales","author":[{"family":"Jeangène Vilmer","given":"Jean-Baptiste"},{"family":"Chung","given":"Ryoa"},{"family":"Hassner","given":"Pierre"},{"family":"Ramel","given":"Frédéric"}],"issued":{"date-parts":[["2013"]]}},"locator":"260","label":"page"}],"schema":"https://github.com/citation-style-language/schema/raw/master/csl-citation.json"} </w:instrText>
      </w:r>
      <w:r>
        <w:fldChar w:fldCharType="separate"/>
      </w:r>
      <w:r w:rsidRPr="00EE64C5">
        <w:rPr>
          <w:rFonts w:ascii="Calibri" w:hAnsi="Calibri" w:cs="Calibri"/>
          <w:szCs w:val="24"/>
        </w:rPr>
        <w:t xml:space="preserve">Jean-Baptiste Jeangène Vilmer et al., </w:t>
      </w:r>
      <w:r w:rsidRPr="00EE64C5">
        <w:rPr>
          <w:rFonts w:ascii="Calibri" w:hAnsi="Calibri" w:cs="Calibri"/>
          <w:i/>
          <w:iCs/>
          <w:szCs w:val="24"/>
        </w:rPr>
        <w:t>Éthique des relations internationales: problématiques contemporaines</w:t>
      </w:r>
      <w:r w:rsidRPr="00EE64C5">
        <w:rPr>
          <w:rFonts w:ascii="Calibri" w:hAnsi="Calibri" w:cs="Calibri"/>
          <w:szCs w:val="24"/>
        </w:rPr>
        <w:t>, 1re éd. (Paris: Presses universitaires de France, 2013), 260.</w:t>
      </w:r>
      <w:r>
        <w:fldChar w:fldCharType="end"/>
      </w:r>
    </w:p>
  </w:footnote>
  <w:footnote w:id="2">
    <w:p w14:paraId="66DC3E85" w14:textId="77777777" w:rsidR="006F28E3" w:rsidRDefault="006F28E3" w:rsidP="001905B0">
      <w:pPr>
        <w:pStyle w:val="FootnoteText"/>
      </w:pPr>
      <w:r>
        <w:rPr>
          <w:rStyle w:val="FootnoteReference"/>
        </w:rPr>
        <w:footnoteRef/>
      </w:r>
      <w:r>
        <w:t xml:space="preserve"> </w:t>
      </w:r>
      <w:r>
        <w:fldChar w:fldCharType="begin"/>
      </w:r>
      <w:r>
        <w:instrText xml:space="preserve"> ADDIN ZOTERO_ITEM CSL_CITATION {"citationID":"XsAcNw48","properties":{"formattedCitation":"Sandrine Lefranc, \\uc0\\u171{}\\uc0\\u160{}Chapitre II. R\\uc0\\u233{}conciliation nationale et construction politique de l\\uc0\\u8217{}unit\\uc0\\u233{}\\uc0\\u160{}\\uc0\\u187{}, {\\i{}Fondements de la politique}, 2002, 295\\uc0\\u8209{}344.","plainCitation":"Sandrine Lefranc, « Chapitre II. Réconciliation nationale et construction politique de l’unité », Fondements de la politique, 2002, 295</w:instrText>
      </w:r>
      <w:r>
        <w:rPr>
          <w:rFonts w:ascii="Cambria Math" w:hAnsi="Cambria Math" w:cs="Cambria Math"/>
        </w:rPr>
        <w:instrText>‑</w:instrText>
      </w:r>
      <w:r>
        <w:instrText xml:space="preserve">344.","noteIndex":2},"citationItems":[{"id":1937,"uris":["http://zotero.org/users/3679831/items/D77E9ZDQ"],"uri":["http://zotero.org/users/3679831/items/D77E9ZDQ"],"itemData":{"id":1937,"type":"article-journal","title":"Chapitre II. Réconciliation nationale et construction politique de l’unité","container-title":"Fondements de la politique","page":"295-344","source":"www.cairn.info","language":"fr","author":[{"family":"Lefranc","given":"Sandrine"}],"issued":{"date-parts":[["2002"]]}}}],"schema":"https://github.com/citation-style-language/schema/raw/master/csl-citation.json"} </w:instrText>
      </w:r>
      <w:r>
        <w:fldChar w:fldCharType="separate"/>
      </w:r>
      <w:r w:rsidRPr="00707F58">
        <w:rPr>
          <w:rFonts w:ascii="Calibri" w:hAnsi="Calibri" w:cs="Calibri"/>
          <w:szCs w:val="24"/>
        </w:rPr>
        <w:t xml:space="preserve">Sandrine Lefranc, « Chapitre II. Réconciliation nationale et construction politique de l’unité », </w:t>
      </w:r>
      <w:r w:rsidRPr="00707F58">
        <w:rPr>
          <w:rFonts w:ascii="Calibri" w:hAnsi="Calibri" w:cs="Calibri"/>
          <w:i/>
          <w:iCs/>
          <w:szCs w:val="24"/>
        </w:rPr>
        <w:t>Fondements de la politique</w:t>
      </w:r>
      <w:r w:rsidRPr="00707F58">
        <w:rPr>
          <w:rFonts w:ascii="Calibri" w:hAnsi="Calibri" w:cs="Calibri"/>
          <w:szCs w:val="24"/>
        </w:rPr>
        <w:t>, 2002, 295‑344.</w:t>
      </w:r>
      <w:r>
        <w:fldChar w:fldCharType="end"/>
      </w:r>
    </w:p>
  </w:footnote>
  <w:footnote w:id="3">
    <w:p w14:paraId="2A577019" w14:textId="6ADF4B16" w:rsidR="006F28E3" w:rsidRDefault="006F28E3" w:rsidP="001905B0">
      <w:pPr>
        <w:pStyle w:val="FootnoteText"/>
      </w:pPr>
      <w:r>
        <w:rPr>
          <w:rStyle w:val="FootnoteReference"/>
        </w:rPr>
        <w:footnoteRef/>
      </w:r>
      <w:r>
        <w:t xml:space="preserve"> </w:t>
      </w:r>
      <w:r>
        <w:fldChar w:fldCharType="begin"/>
      </w:r>
      <w:r>
        <w:instrText xml:space="preserve"> ADDIN ZOTERO_ITEM CSL_CITATION {"citationID":"ee0lMSOU","properties":{"formattedCitation":"Pierre NKURUNZIZA, \\uc0\\u171{}\\uc0\\u160{}LOI PORTANT CREATION, MANDAT, COMPOSITION, ORGANISATION ET FONCTIONNEMENT DE LA COMMISSION VERITE ET RECONCILIATION\\uc0\\u160{}\\uc0\\u187{}, Pub. L. No. LOI N\\uc0\\u176{}1/ 18 (2014), 4.","plainCitation":"Pierre NKURUNZIZA, « LOI PORTANT CREATION, MANDAT, COMPOSITION, ORGANISATION ET FONCTIONNEMENT DE LA COMMISSION VERITE ET RECONCILIATION », Pub. L. No. LOI N°1/ 18 (2014), 4.","dontUpdate":true,"noteIndex":3},"citationItems":[{"id":1982,"uris":["http://zotero.org/users/3679831/items/5H85NZC6"],"uri":["http://zotero.org/users/3679831/items/5H85NZC6"],"itemData":{"id":1982,"type":"bill","title":"LOI PORTANT CREATION, MANDAT, COMPOSITION, ORGANISATION ET FONCTIONNEMENT DE LA COMMISSION VERITE ET RECONCILIATION","number":"LOI N°1/ 18","author":[{"literal":"Pierre NKURUNZIZA"}],"issued":{"date-parts":[["2014",5,15]]},"accessed":{"date-parts":[["2019",1,11]]}},"locator":"4","label":"page"}],"schema":"https://github.com/citation-style-language/schema/raw/master/csl-citation.json"} </w:instrText>
      </w:r>
      <w:r>
        <w:fldChar w:fldCharType="separate"/>
      </w:r>
      <w:r w:rsidRPr="008866EE">
        <w:rPr>
          <w:rFonts w:ascii="Calibri" w:hAnsi="Calibri" w:cs="Calibri"/>
          <w:szCs w:val="24"/>
        </w:rPr>
        <w:t>Pierre NKURUNZIZA, « </w:t>
      </w:r>
      <w:r>
        <w:rPr>
          <w:rFonts w:ascii="Calibri" w:hAnsi="Calibri" w:cs="Calibri"/>
          <w:szCs w:val="24"/>
        </w:rPr>
        <w:t>L</w:t>
      </w:r>
      <w:r w:rsidRPr="008866EE">
        <w:rPr>
          <w:rFonts w:ascii="Calibri" w:hAnsi="Calibri" w:cs="Calibri"/>
          <w:szCs w:val="24"/>
        </w:rPr>
        <w:t>oi portant création, mandat, composition, organisation et fonctionnement de la commission vérité et réconciliation », Pub. L. No. LOI N°1/ 18 (2014), 4.</w:t>
      </w:r>
      <w:r>
        <w:fldChar w:fldCharType="end"/>
      </w:r>
    </w:p>
  </w:footnote>
  <w:footnote w:id="4">
    <w:p w14:paraId="77744B9E" w14:textId="77777777" w:rsidR="006F28E3" w:rsidRDefault="006F28E3" w:rsidP="001905B0">
      <w:pPr>
        <w:pStyle w:val="FootnoteText"/>
      </w:pPr>
      <w:r>
        <w:rPr>
          <w:rStyle w:val="FootnoteReference"/>
        </w:rPr>
        <w:footnoteRef/>
      </w:r>
      <w:r>
        <w:t xml:space="preserve"> Notre travail s’arrête au premier mandat (4 ans) de de cette CVR.</w:t>
      </w:r>
    </w:p>
  </w:footnote>
  <w:footnote w:id="5">
    <w:p w14:paraId="4385D2C0" w14:textId="4F99CB35" w:rsidR="006F28E3" w:rsidRDefault="006F28E3" w:rsidP="001905B0">
      <w:pPr>
        <w:pStyle w:val="FootnoteText"/>
      </w:pPr>
      <w:r>
        <w:rPr>
          <w:rStyle w:val="FootnoteReference"/>
        </w:rPr>
        <w:footnoteRef/>
      </w:r>
      <w:r>
        <w:t xml:space="preserve"> </w:t>
      </w:r>
      <w:r>
        <w:fldChar w:fldCharType="begin"/>
      </w:r>
      <w:r>
        <w:instrText xml:space="preserve"> ADDIN ZOTERO_ITEM CSL_CITATION {"citationID":"xeBHWUcr","properties":{"formattedCitation":"Pierre NKURUNZIZA, LOI PORTANT CREATION, MANDAT, COMPOSITION, ORGANISATION ET FONCTIONNEMENT DE LA COMMISSION VERITE ET RECONCILIATION, 4\\uc0\\u8209{}5.","plainCitation":"Pierre NKURUNZIZA, LOI PORTANT CREATION, MANDAT, COMPOSITION, ORGANISATION ET FONCTIONNEMENT DE LA COMMISSION VERITE ET RECONCILIATION, 4</w:instrText>
      </w:r>
      <w:r>
        <w:rPr>
          <w:rFonts w:ascii="Cambria Math" w:hAnsi="Cambria Math" w:cs="Cambria Math"/>
        </w:rPr>
        <w:instrText>‑</w:instrText>
      </w:r>
      <w:r>
        <w:instrText xml:space="preserve">5.","dontUpdate":true,"noteIndex":5},"citationItems":[{"id":1982,"uris":["http://zotero.org/users/3679831/items/5H85NZC6"],"uri":["http://zotero.org/users/3679831/items/5H85NZC6"],"itemData":{"id":1982,"type":"bill","title":"LOI PORTANT CREATION, MANDAT, COMPOSITION, ORGANISATION ET FONCTIONNEMENT DE LA COMMISSION VERITE ET RECONCILIATION","number":"LOI N°1/ 18","author":[{"literal":"Pierre NKURUNZIZA"}],"issued":{"date-parts":[["2014",5,15]]},"accessed":{"date-parts":[["2019",1,11]]}},"locator":"4-5","label":"page"}],"schema":"https://github.com/citation-style-language/schema/raw/master/csl-citation.json"} </w:instrText>
      </w:r>
      <w:r>
        <w:fldChar w:fldCharType="separate"/>
      </w:r>
      <w:r w:rsidRPr="00C310D0">
        <w:rPr>
          <w:rFonts w:ascii="Calibri" w:hAnsi="Calibri" w:cs="Calibri"/>
          <w:szCs w:val="24"/>
        </w:rPr>
        <w:t>NKURUNZIZA, 4‑5.</w:t>
      </w:r>
      <w:r>
        <w:fldChar w:fldCharType="end"/>
      </w:r>
    </w:p>
  </w:footnote>
  <w:footnote w:id="6">
    <w:p w14:paraId="13AA9E4D" w14:textId="5C93CE92" w:rsidR="006F28E3" w:rsidRDefault="006F28E3">
      <w:pPr>
        <w:pStyle w:val="FootnoteText"/>
      </w:pPr>
      <w:r>
        <w:rPr>
          <w:rStyle w:val="FootnoteReference"/>
        </w:rPr>
        <w:footnoteRef/>
      </w:r>
      <w:r>
        <w:t xml:space="preserve"> </w:t>
      </w:r>
      <w:r>
        <w:fldChar w:fldCharType="begin"/>
      </w:r>
      <w:r>
        <w:instrText xml:space="preserve"> ADDIN ZOTERO_ITEM CSL_CITATION {"citationID":"Ejqm7u2c","properties":{"formattedCitation":"Hannah Arendt, Georges trad. Fradier, et Paul pr\\uc0\\u233{}face de Ricoeur, {\\i{}Condition de l\\uc0\\u8217{}homme moderne} (Paris: Calmann-L\\uc0\\u233{}vy, 2014), 295.","plainCitation":"Hannah Arendt, Georges trad. Fradier, et Paul préface de Ricoeur, Condition de l’homme moderne (Paris: Calmann-Lévy, 2014), 295.","dontUpdate":true,"noteIndex":6},"citationItems":[{"id":1874,"uris":["http://zotero.org/users/3679831/items/LPV7B9NQ"],"uri":["http://zotero.org/users/3679831/items/LPV7B9NQ"],"itemData":{"id":1874,"type":"book","title":"Condition de l'homme moderne","publisher":"Calmann-Lévy","publisher-place":"Paris","source":"Open WorldCat","event-place":"Paris","abstract":"Condition de l’homme moderne (1958) prend place dans l’oeuvre de Hannah Arendt, à la suite des Origines du totalitarisme (1951.Témoin des grands séismes de l’histoire et de la raison. Hannah Arendt s’est particulièrement attachée à réfléchir sur les conditions de la liberté et d’une pensée libre. Ce livre rappelle avec force que la vraie liberté politique n’est pas la retraite paisible dans la sphère de la vie privée, si précieuse soit-elle, mais aussi et d’abord l’action publique menée avec des égaux et reposant sur des choix individuels. Examinant les concepts de travail, d’oeuvre et d’action, Hannah Arendt nous parle du règne de la nécessité, de la capacité de création et de la révélation de l’homme dans la parole et dans l’action. Se fondant sur la philosophie grecque, elle étudie les questions majeures de notre temps : la réhabilitation de l’action politique individuelle, les limites de toute souveraineté, les périls mortels du déterminisme historique et social, la fragilité de la liberté, le caractère imprévisible de l’histoire des hommes. Hannah Arendt aimait citer René Char : \"Notre héritage n’est précédé d’aucun testament.\" Cette réédition de l’oeuvre philosophique majeure de Hannah Arendt est précédée d’une importante préface de Paul Ricoeur, qui analyse l’apport de l’auteur à la pensée politique contemporaine et situe ce livre dans l’eouvre de Hannah Arendt.","ISBN":"978-2-266-12649-6","note":"OCLC: 913110082","language":"French","author":[{"family":"Arendt","given":"Hannah"},{"family":"Fradier","given":"Georges","non-dropping-particle":"trad."},{"family":"Ricoeur","given":"Paul","non-dropping-particle":"préface de"}],"issued":{"date-parts":[["2014"]]}},"locator":"295","label":"page"}],"schema":"https://github.com/citation-style-language/schema/raw/master/csl-citation.json"} </w:instrText>
      </w:r>
      <w:r>
        <w:fldChar w:fldCharType="separate"/>
      </w:r>
      <w:r w:rsidRPr="001B2B75">
        <w:rPr>
          <w:rFonts w:ascii="Calibri" w:hAnsi="Calibri" w:cs="Calibri"/>
          <w:szCs w:val="24"/>
        </w:rPr>
        <w:t>Hannah Arendt, trad. Georges</w:t>
      </w:r>
      <w:r>
        <w:rPr>
          <w:rFonts w:ascii="Calibri" w:hAnsi="Calibri" w:cs="Calibri"/>
          <w:szCs w:val="24"/>
        </w:rPr>
        <w:t>,</w:t>
      </w:r>
      <w:r w:rsidRPr="001B2B75">
        <w:rPr>
          <w:rFonts w:ascii="Calibri" w:hAnsi="Calibri" w:cs="Calibri"/>
          <w:szCs w:val="24"/>
        </w:rPr>
        <w:t xml:space="preserve"> Fradier et préface de Paul Ricoeur, </w:t>
      </w:r>
      <w:r w:rsidRPr="001B2B75">
        <w:rPr>
          <w:rFonts w:ascii="Calibri" w:hAnsi="Calibri" w:cs="Calibri"/>
          <w:i/>
          <w:iCs/>
          <w:szCs w:val="24"/>
        </w:rPr>
        <w:t>Condition de l’homme moderne</w:t>
      </w:r>
      <w:r w:rsidRPr="001B2B75">
        <w:rPr>
          <w:rFonts w:ascii="Calibri" w:hAnsi="Calibri" w:cs="Calibri"/>
          <w:szCs w:val="24"/>
        </w:rPr>
        <w:t xml:space="preserve"> (Paris: Calmann-Lévy, 2014), 295.</w:t>
      </w:r>
      <w:r>
        <w:fldChar w:fldCharType="end"/>
      </w:r>
    </w:p>
  </w:footnote>
  <w:footnote w:id="7">
    <w:p w14:paraId="25B00F41" w14:textId="746B9335" w:rsidR="006F28E3" w:rsidRDefault="006F28E3" w:rsidP="001905B0">
      <w:pPr>
        <w:pStyle w:val="FootnoteText"/>
      </w:pPr>
      <w:r>
        <w:rPr>
          <w:rStyle w:val="FootnoteReference"/>
        </w:rPr>
        <w:footnoteRef/>
      </w:r>
      <w:r>
        <w:t xml:space="preserve"> </w:t>
      </w:r>
      <w:r>
        <w:fldChar w:fldCharType="begin"/>
      </w:r>
      <w:r>
        <w:instrText xml:space="preserve"> ADDIN ZOTERO_ITEM CSL_CITATION {"citationID":"ba7qugPq","properties":{"formattedCitation":"\\uc0\\u171{}\\uc0\\u160{}Olivier Abel - Recension de J.M.Ferry l\\uc0\\u8217{}\\uc0\\u233{}thique reconstructive\\uc0\\u160{}\\uc0\\u187{}, consult\\uc0\\u233{} le 22 janvier 2019, http://olivierabel.fr/supplement/ferry-l-ethique-reconstructive.php.","plainCitation":"« Olivier Abel - Recension de J.M.Ferry l’éthique reconstructive », consulté le 22 janvier 2019, http://olivierabel.fr/supplement/ferry-l-ethique-reconstructive.php.","dontUpdate":true,"noteIndex":8},"citationItems":[{"id":1849,"uris":["http://zotero.org/users/3679831/items/SL423NKX"],"uri":["http://zotero.org/users/3679831/items/SL423NKX"],"itemData":{"id":1849,"type":"webpage","title":"Olivier Abel - Recension de J.M.Ferry l'éthique reconstructive","URL":"http://olivierabel.fr/supplement/ferry-l-ethique-reconstructive.php","accessed":{"date-parts":[["2019",1,22]]}}}],"schema":"https://github.com/citation-style-language/schema/raw/master/csl-citation.json"} </w:instrText>
      </w:r>
      <w:r>
        <w:fldChar w:fldCharType="separate"/>
      </w:r>
      <w:r w:rsidRPr="0057345F">
        <w:rPr>
          <w:rFonts w:ascii="Calibri" w:hAnsi="Calibri" w:cs="Calibri"/>
          <w:szCs w:val="24"/>
        </w:rPr>
        <w:t>« Olivier Abel - Recension de J.M.Ferry l’éthique reconstructive », consulté le 22 janvier 2019,</w:t>
      </w:r>
      <w:r>
        <w:fldChar w:fldCharType="end"/>
      </w:r>
      <w:r>
        <w:t xml:space="preserve"> </w:t>
      </w:r>
    </w:p>
  </w:footnote>
  <w:footnote w:id="8">
    <w:p w14:paraId="6E45E895" w14:textId="442A1DBF" w:rsidR="006F28E3" w:rsidRDefault="006F28E3" w:rsidP="001905B0">
      <w:pPr>
        <w:pStyle w:val="FootnoteText"/>
      </w:pPr>
      <w:r>
        <w:rPr>
          <w:rStyle w:val="FootnoteReference"/>
        </w:rPr>
        <w:footnoteRef/>
      </w:r>
      <w:r>
        <w:t xml:space="preserve"> </w:t>
      </w:r>
      <w:r>
        <w:fldChar w:fldCharType="begin"/>
      </w:r>
      <w:r>
        <w:instrText xml:space="preserve"> ADDIN ZOTERO_ITEM CSL_CITATION {"citationID":"cHJrZv7T","properties":{"formattedCitation":"Jean-Marc Ferry, {\\i{}L\\uc0\\u8217{}\\uc0\\u233{}thique reconstructive} (Paris: Ed. du Cerf, 1996), 14.","plainCitation":"Jean-Marc Ferry, L’éthique reconstructive (Paris: Ed. du Cerf, 1996), 14.","noteIndex":8},"citationItems":[{"id":1896,"uris":["http://zotero.org/users/3679831/items/JSMRLHEE"],"uri":["http://zotero.org/users/3679831/items/JSMRLHEE"],"itemData":{"id":1896,"type":"book","title":"L'éthique reconstructive","publisher":"Ed. du Cerf","publisher-place":"Paris","source":"Open WorldCat","event-place":"Paris","abstract":"Narration ou argumentation? Une nouvelle polarité philosophique se dessine ainsi, chargée d'enjeux relatifs à la question de l'éthique. Par la mise en récit des expériences, la narration confère à l'identité personnelle un ancrage et une épaisseur historiques, orientant l'éthique vers un idéal substantiel de vie bonne. Mais comment articuler la visée substantielle à la voie procédurale? Comment assurer, sur la voie du discours, le principe de reconnaissance? Dans cette entreprise, \"l'éthique de la reconstruction\" revêt une signification décisive.","ISBN":"978-2-204-05383-9","note":"OCLC: 243849619","language":"French","author":[{"family":"Ferry","given":"Jean-Marc"}],"issued":{"date-parts":[["1996"]]}},"locator":"14","label":"page"}],"schema":"https://github.com/citation-style-language/schema/raw/master/csl-citation.json"} </w:instrText>
      </w:r>
      <w:r>
        <w:fldChar w:fldCharType="separate"/>
      </w:r>
      <w:r w:rsidRPr="006511E1">
        <w:rPr>
          <w:rFonts w:ascii="Calibri" w:hAnsi="Calibri" w:cs="Calibri"/>
          <w:szCs w:val="24"/>
        </w:rPr>
        <w:t xml:space="preserve">Jean-Marc Ferry, </w:t>
      </w:r>
      <w:r w:rsidRPr="006511E1">
        <w:rPr>
          <w:rFonts w:ascii="Calibri" w:hAnsi="Calibri" w:cs="Calibri"/>
          <w:i/>
          <w:iCs/>
          <w:szCs w:val="24"/>
        </w:rPr>
        <w:t>L’éthique reconstructive</w:t>
      </w:r>
      <w:r w:rsidRPr="006511E1">
        <w:rPr>
          <w:rFonts w:ascii="Calibri" w:hAnsi="Calibri" w:cs="Calibri"/>
          <w:szCs w:val="24"/>
        </w:rPr>
        <w:t xml:space="preserve"> (Paris: Ed. du Cerf, 1996), 14.</w:t>
      </w:r>
      <w:r>
        <w:fldChar w:fldCharType="end"/>
      </w:r>
    </w:p>
  </w:footnote>
  <w:footnote w:id="9">
    <w:p w14:paraId="0AF89045" w14:textId="501E6ED0" w:rsidR="006F28E3" w:rsidRPr="0076221C" w:rsidRDefault="006F28E3" w:rsidP="001905B0">
      <w:pPr>
        <w:pStyle w:val="FootnoteText"/>
      </w:pPr>
      <w:r w:rsidRPr="00624973">
        <w:rPr>
          <w:rStyle w:val="FootnoteReference"/>
        </w:rPr>
        <w:footnoteRef/>
      </w:r>
      <w:r w:rsidRPr="0076221C">
        <w:t xml:space="preserve"> </w:t>
      </w:r>
      <w:r>
        <w:fldChar w:fldCharType="begin"/>
      </w:r>
      <w:r>
        <w:instrText xml:space="preserve"> ADDIN ZOTERO_ITEM CSL_CITATION {"citationID":"zngSVJkd","properties":{"formattedCitation":"Jean-Marc Ferry, {\\i{}L\\uc0\\u8217{}\\uc0\\u201{}thique reconstructive}, Les \\uc0\\u201{}ditions du Cerf, Humanit\\uc0\\u233{}s (Paris, 1996), 16.","plainCitation":"Jean-Marc Ferry, L’Éthique reconstructive, Les Éditions du Cerf, Humanités (Paris, 1996), 16.","dontUpdate":true,"noteIndex":9},"citationItems":[{"id":1393,"uris":["http://zotero.org/users/3679831/items/ICS3U4XU"],"uri":["http://zotero.org/users/3679831/items/ICS3U4XU"],"itemData":{"id":1393,"type":"book","title":"L'Éthique reconstructive","collection-title":"Humanités","publisher-place":"Paris","edition":"Les Éditions du Cerf","event-place":"Paris","ISBN":"2-204-05383-X","author":[{"family":"","given":"Jean-Marc Ferry"}],"issued":{"date-parts":[["1996"]]}},"locator":"16","label":"page"}],"schema":"https://github.com/citation-style-language/schema/raw/master/csl-citation.json"} </w:instrText>
      </w:r>
      <w:r>
        <w:fldChar w:fldCharType="separate"/>
      </w:r>
      <w:r w:rsidRPr="0076221C">
        <w:rPr>
          <w:rFonts w:ascii="Calibri" w:hAnsi="Calibri" w:cs="Calibri"/>
          <w:szCs w:val="24"/>
        </w:rPr>
        <w:t xml:space="preserve"> Ferry, 16.</w:t>
      </w:r>
      <w:r>
        <w:fldChar w:fldCharType="end"/>
      </w:r>
    </w:p>
  </w:footnote>
  <w:footnote w:id="10">
    <w:p w14:paraId="7CC36F85" w14:textId="41EDFEF5" w:rsidR="006F28E3" w:rsidRPr="0076221C" w:rsidRDefault="006F28E3" w:rsidP="001905B0">
      <w:pPr>
        <w:pStyle w:val="FootnoteText"/>
      </w:pPr>
      <w:r>
        <w:rPr>
          <w:rStyle w:val="FootnoteReference"/>
        </w:rPr>
        <w:footnoteRef/>
      </w:r>
      <w:r w:rsidRPr="0076221C">
        <w:t xml:space="preserve"> </w:t>
      </w:r>
      <w:r>
        <w:fldChar w:fldCharType="begin"/>
      </w:r>
      <w:r>
        <w:instrText xml:space="preserve"> ADDIN ZOTERO_ITEM CSL_CITATION {"citationID":"Tt7z1at4","properties":{"formattedCitation":"Ferry, {\\i{}L\\uc0\\u8217{}\\uc0\\u233{}thique reconstructive}, 1996, 63.","plainCitation":"Ferry, L’éthique reconstructive, 1996, 63.","dontUpdate":true,"noteIndex":10},"citationItems":[{"id":1896,"uris":["http://zotero.org/users/3679831/items/JSMRLHEE"],"uri":["http://zotero.org/users/3679831/items/JSMRLHEE"],"itemData":{"id":1896,"type":"book","title":"L'éthique reconstructive","publisher":"Ed. du Cerf","publisher-place":"Paris","source":"Open WorldCat","event-place":"Paris","abstract":"Narration ou argumentation? Une nouvelle polarité philosophique se dessine ainsi, chargée d'enjeux relatifs à la question de l'éthique. Par la mise en récit des expériences, la narration confère à l'identité personnelle un ancrage et une épaisseur historiques, orientant l'éthique vers un idéal substantiel de vie bonne. Mais comment articuler la visée substantielle à la voie procédurale? Comment assurer, sur la voie du discours, le principe de reconnaissance? Dans cette entreprise, \"l'éthique de la reconstruction\" revêt une signification décisive.","ISBN":"978-2-204-05383-9","note":"OCLC: 243849619","language":"French","author":[{"family":"Ferry","given":"Jean-Marc"}],"issued":{"date-parts":[["1996"]]}},"locator":"63","label":"page"}],"schema":"https://github.com/citation-style-language/schema/raw/master/csl-citation.json"} </w:instrText>
      </w:r>
      <w:r>
        <w:fldChar w:fldCharType="separate"/>
      </w:r>
      <w:r w:rsidRPr="0076221C">
        <w:rPr>
          <w:rFonts w:ascii="Calibri" w:hAnsi="Calibri" w:cs="Calibri"/>
          <w:szCs w:val="24"/>
        </w:rPr>
        <w:t>Ferry, 63.</w:t>
      </w:r>
      <w:r>
        <w:fldChar w:fldCharType="end"/>
      </w:r>
    </w:p>
  </w:footnote>
  <w:footnote w:id="11">
    <w:p w14:paraId="709A33F4" w14:textId="77777777" w:rsidR="006F28E3" w:rsidRPr="0076221C" w:rsidRDefault="006F28E3" w:rsidP="001905B0">
      <w:pPr>
        <w:pStyle w:val="FootnoteText"/>
      </w:pPr>
      <w:r>
        <w:rPr>
          <w:rStyle w:val="FootnoteReference"/>
        </w:rPr>
        <w:footnoteRef/>
      </w:r>
      <w:r w:rsidRPr="0076221C">
        <w:t xml:space="preserve"> </w:t>
      </w:r>
      <w:r w:rsidRPr="0076221C">
        <w:rPr>
          <w:rFonts w:ascii="Calibri" w:hAnsi="Calibri" w:cs="Calibri"/>
          <w:szCs w:val="24"/>
        </w:rPr>
        <w:t>Ferry, 63</w:t>
      </w:r>
    </w:p>
  </w:footnote>
  <w:footnote w:id="12">
    <w:p w14:paraId="66C8148B" w14:textId="77777777" w:rsidR="006F28E3" w:rsidRPr="0076221C" w:rsidRDefault="006F28E3" w:rsidP="001905B0">
      <w:pPr>
        <w:pStyle w:val="FootnoteText"/>
      </w:pPr>
      <w:r>
        <w:rPr>
          <w:rStyle w:val="FootnoteReference"/>
        </w:rPr>
        <w:footnoteRef/>
      </w:r>
      <w:r w:rsidRPr="0076221C">
        <w:t xml:space="preserve"> </w:t>
      </w:r>
      <w:r w:rsidRPr="0076221C">
        <w:rPr>
          <w:rFonts w:ascii="Calibri" w:hAnsi="Calibri" w:cs="Calibri"/>
          <w:szCs w:val="24"/>
        </w:rPr>
        <w:t>Ferry, 63</w:t>
      </w:r>
    </w:p>
  </w:footnote>
  <w:footnote w:id="13">
    <w:p w14:paraId="24C910E8" w14:textId="208F9AD6" w:rsidR="006F28E3" w:rsidRDefault="006F28E3" w:rsidP="001905B0">
      <w:pPr>
        <w:pStyle w:val="FootnoteText"/>
        <w:jc w:val="both"/>
      </w:pPr>
      <w:r w:rsidRPr="0026745F">
        <w:rPr>
          <w:rStyle w:val="FootnoteReference"/>
        </w:rPr>
        <w:footnoteRef/>
      </w:r>
      <w:r w:rsidRPr="0076221C">
        <w:t xml:space="preserve"> Nous devons l’essentiel de cette section à </w:t>
      </w:r>
      <w:r w:rsidRPr="0076221C">
        <w:rPr>
          <w:sz w:val="18"/>
          <w:szCs w:val="18"/>
        </w:rPr>
        <w:t xml:space="preserve">Stef Vandeginste, constitutionnaliste et chercheur belge de l’Université d'Anvers. </w:t>
      </w:r>
      <w:r>
        <w:rPr>
          <w:sz w:val="18"/>
          <w:szCs w:val="18"/>
        </w:rPr>
        <w:t xml:space="preserve">Il nous propose une lecture moins controversée et des références bibliographiques qui donnent un aperçu des différentes lectures. Déjà en 2004, il faisait partie des membres du comité scientifique pour l’écriture de l’Histoire du Burundi sous l’égide de l’UNESCO.  </w:t>
      </w:r>
      <w:r>
        <w:rPr>
          <w:b/>
          <w:bCs/>
        </w:rPr>
        <w:fldChar w:fldCharType="begin"/>
      </w:r>
      <w:r>
        <w:rPr>
          <w:b/>
          <w:bCs/>
        </w:rPr>
        <w:instrText xml:space="preserve"> ADDIN ZOTERO_ITEM CSL_CITATION {"citationID":"IJu02FOd","properties":{"formattedCitation":"Stef Vandeginste, \\uc0\\u171{}\\uc0\\u160{}Le processus de justice transitionnelle au Burundi\\uc0\\u160{}\\uc0\\u187{}, {\\i{}Droit et societe} n\\uc0\\u176{} 73, n\\super o\\nosupersub{} 3 (2009): 594\\uc0\\u8209{}97.","plainCitation":"Stef Vandeginste, « Le processus de justice transitionnelle au Burundi », Droit et societe n° 73, no 3 (2009): 594</w:instrText>
      </w:r>
      <w:r>
        <w:rPr>
          <w:rFonts w:ascii="Cambria Math" w:hAnsi="Cambria Math" w:cs="Cambria Math"/>
          <w:b/>
          <w:bCs/>
        </w:rPr>
        <w:instrText>‑</w:instrText>
      </w:r>
      <w:r>
        <w:rPr>
          <w:b/>
          <w:bCs/>
        </w:rPr>
        <w:instrText xml:space="preserve">97.","dontUpdate":true,"noteIndex":13},"citationItems":[{"id":1836,"uris":["http://zotero.org/users/3679831/items/8I4DPZHZ"],"uri":["http://zotero.org/users/3679831/items/8I4DPZHZ"],"itemData":{"id":1836,"type":"article-journal","title":"Le processus de justice transitionnelle au Burundi","container-title":"Droit et societe","page":"591-611","volume":"n° 73","issue":"3","source":"www.cairn.info","abstract":"&lt;titre traitementparticulier=\"non\"&gt;Résumé&lt;/titre&gt;L’article explique pourquoi, seize ans après l’assassinat du président Ndadaye et le déclenchement de massacres et d’une guerre civile, aucun mécanisme de justice transitionnelle n’a encore été établi au Burundi alors que l’ONU et la société civile le demandent depuis longtemps et que l’accord d’Arusha pour la paix et la réconciliation de 2000, conformément aux nouvelles normes globales, prévoyait la création d’un tribunal pénal international et d’une commission de vérité. Les raisons tiennent au contexte politique national : la transition politique est fondée sur un compromis ; les élites politiques et militaires ont intérêt à former une coalition de l’oubli ; enfin, la société civile au Burundi manque des moyens qui lui permettraient d’imposer au politique son agenda de justice transitionnelle.Burundi – Contexte politique national – Justice transitionnelle – Normes globales.","ISSN":"0769-3362","language":"fr","author":[{"family":"Vandeginste","given":"Stef"}],"issued":{"date-parts":[["2009"]]}},"locator":"594-597","label":"page"}],"schema":"https://github.com/citation-style-language/schema/raw/master/csl-citation.json"} </w:instrText>
      </w:r>
      <w:r>
        <w:rPr>
          <w:b/>
          <w:bCs/>
        </w:rPr>
        <w:fldChar w:fldCharType="separate"/>
      </w:r>
      <w:r w:rsidRPr="00B23C9B">
        <w:rPr>
          <w:rFonts w:ascii="Calibri" w:hAnsi="Calibri" w:cs="Calibri"/>
          <w:szCs w:val="24"/>
        </w:rPr>
        <w:t xml:space="preserve">Stef Vandeginste, « Le processus de justice transitionnelle au Burundi », </w:t>
      </w:r>
      <w:r w:rsidRPr="00B23C9B">
        <w:rPr>
          <w:rFonts w:ascii="Calibri" w:hAnsi="Calibri" w:cs="Calibri"/>
          <w:i/>
          <w:iCs/>
          <w:szCs w:val="24"/>
        </w:rPr>
        <w:t>Droit et soci</w:t>
      </w:r>
      <w:r>
        <w:rPr>
          <w:rFonts w:ascii="Calibri" w:hAnsi="Calibri" w:cs="Calibri"/>
          <w:i/>
          <w:iCs/>
          <w:szCs w:val="24"/>
        </w:rPr>
        <w:t>été</w:t>
      </w:r>
      <w:r w:rsidRPr="00B23C9B">
        <w:rPr>
          <w:rFonts w:ascii="Calibri" w:hAnsi="Calibri" w:cs="Calibri"/>
          <w:szCs w:val="24"/>
        </w:rPr>
        <w:t xml:space="preserve"> n° 73, n</w:t>
      </w:r>
      <w:r w:rsidRPr="00B23C9B">
        <w:rPr>
          <w:rFonts w:ascii="Calibri" w:hAnsi="Calibri" w:cs="Calibri"/>
          <w:szCs w:val="24"/>
          <w:vertAlign w:val="superscript"/>
        </w:rPr>
        <w:t>o</w:t>
      </w:r>
      <w:r w:rsidRPr="00B23C9B">
        <w:rPr>
          <w:rFonts w:ascii="Calibri" w:hAnsi="Calibri" w:cs="Calibri"/>
          <w:szCs w:val="24"/>
        </w:rPr>
        <w:t xml:space="preserve"> 3 (2009): 594‑97.</w:t>
      </w:r>
      <w:r>
        <w:rPr>
          <w:b/>
          <w:bCs/>
        </w:rPr>
        <w:fldChar w:fldCharType="end"/>
      </w:r>
      <w:r>
        <w:rPr>
          <w:sz w:val="18"/>
          <w:szCs w:val="18"/>
        </w:rPr>
        <w:t xml:space="preserve">   </w:t>
      </w:r>
    </w:p>
  </w:footnote>
  <w:footnote w:id="14">
    <w:p w14:paraId="509A6A26" w14:textId="77777777" w:rsidR="006F28E3" w:rsidRDefault="006F28E3" w:rsidP="001905B0">
      <w:pPr>
        <w:pStyle w:val="FootnoteText"/>
        <w:jc w:val="both"/>
      </w:pPr>
      <w:r w:rsidRPr="0026745F">
        <w:rPr>
          <w:rStyle w:val="FootnoteReference"/>
        </w:rPr>
        <w:footnoteRef/>
      </w:r>
      <w:r>
        <w:t xml:space="preserve"> À notre connaissance, il n’existe pas de documentation officielle sur les vraies statistiques.</w:t>
      </w:r>
    </w:p>
  </w:footnote>
  <w:footnote w:id="15">
    <w:p w14:paraId="4EE713CA" w14:textId="2F5C5FF3" w:rsidR="006F28E3" w:rsidRDefault="006F28E3" w:rsidP="001905B0">
      <w:pPr>
        <w:pStyle w:val="FootnoteText"/>
        <w:jc w:val="both"/>
      </w:pPr>
      <w:r w:rsidRPr="0026745F">
        <w:rPr>
          <w:rStyle w:val="FootnoteReference"/>
        </w:rPr>
        <w:footnoteRef/>
      </w:r>
      <w:r>
        <w:t xml:space="preserve"> Dans le cadre de ce travail, nous allons devoir utiliser les termes « Hutu » et « Tutsi ». La raison en est que</w:t>
      </w:r>
      <w:r w:rsidRPr="00900EC3">
        <w:t xml:space="preserve"> </w:t>
      </w:r>
      <w:r>
        <w:t xml:space="preserve">la plupart des Burundais reconnaissent que le conflit burundais est « </w:t>
      </w:r>
      <w:r w:rsidRPr="00900EC3">
        <w:t>fondamentalement politique avec des dimensions ethniques extrêmement importantes</w:t>
      </w:r>
      <w:r>
        <w:t xml:space="preserve"> ». Ils reconnaissent que ce conflit</w:t>
      </w:r>
      <w:r w:rsidRPr="00900EC3">
        <w:t xml:space="preserve"> découl</w:t>
      </w:r>
      <w:r>
        <w:t xml:space="preserve">e « </w:t>
      </w:r>
      <w:r w:rsidRPr="00900EC3">
        <w:t>d’une lutte de la classe politique pour accéder au pouvoir et/ou s’y maintenir</w:t>
      </w:r>
      <w:r>
        <w:t xml:space="preserve">». </w:t>
      </w:r>
      <w:r>
        <w:fldChar w:fldCharType="begin"/>
      </w:r>
      <w:r>
        <w:instrText xml:space="preserve"> ADDIN ZOTERO_ITEM CSL_CITATION {"citationID":"qYfxmuaO","properties":{"formattedCitation":"Stef Vandeginste, \\uc0\\u171{}\\uc0\\u160{}Le processus de justice transitionnelle au Burundi\\uc0\\u160{}\\uc0\\u187{}, {\\i{}Droit et societe} n\\uc0\\u176{} 73, n\\super o\\nosupersub{} 3 (2009): 594.","plainCitation":"Stef Vandeginste, « Le processus de justice transitionnelle au Burundi », Droit et societe n° 73, no 3 (2009): 594.","dontUpdate":true,"noteIndex":15},"citationItems":[{"id":1865,"uris":["http://zotero.org/users/3679831/items/Y3TQA7SI"],"uri":["http://zotero.org/users/3679831/items/Y3TQA7SI"],"itemData":{"id":1865,"type":"article-journal","title":"Le processus de justice transitionnelle au Burundi","container-title":"Droit et societe","page":"591-611","volume":"n° 73","issue":"3","source":"www.cairn.info","abstract":"&lt;titre traitementparticulier=\"non\"&gt;Résumé&lt;/titre&gt;L’article explique pourquoi, seize ans après l’assassinat du président Ndadaye et le déclenchement de massacres et d’une guerre civile, aucun mécanisme de justice transitionnelle n’a encore été établi au Burundi alors que l’ONU et la société civile le demandent depuis longtemps et que l’accord d’Arusha pour la paix et la réconciliation de 2000, conformément aux nouvelles normes globales, prévoyait la création d’un tribunal pénal international et d’une commission de vérité. Les raisons tiennent au contexte politique national : la transition politique est fondée sur un compromis ; les élites politiques et militaires ont intérêt à former une coalition de l’oubli ; enfin, la société civile au Burundi manque des moyens qui lui permettraient d’imposer au politique son agenda de justice transitionnelle.Burundi – Contexte politique national – Justice transitionnelle – Normes globales.","ISSN":"0769-3362","language":"fr","author":[{"family":"Vandeginste","given":"Stef"}],"issued":{"date-parts":[["2009"]]}},"locator":"594","label":"page"}],"schema":"https://github.com/citation-style-language/schema/raw/master/csl-citation.json"} </w:instrText>
      </w:r>
      <w:r>
        <w:fldChar w:fldCharType="separate"/>
      </w:r>
      <w:r w:rsidRPr="00EE64C5">
        <w:rPr>
          <w:rFonts w:ascii="Calibri" w:hAnsi="Calibri" w:cs="Calibri"/>
          <w:szCs w:val="24"/>
        </w:rPr>
        <w:t>Vandeginste</w:t>
      </w:r>
      <w:r>
        <w:rPr>
          <w:rFonts w:ascii="Calibri" w:hAnsi="Calibri" w:cs="Calibri"/>
          <w:szCs w:val="24"/>
        </w:rPr>
        <w:t>,</w:t>
      </w:r>
      <w:r w:rsidRPr="00EE64C5">
        <w:rPr>
          <w:rFonts w:ascii="Calibri" w:hAnsi="Calibri" w:cs="Calibri"/>
          <w:szCs w:val="24"/>
        </w:rPr>
        <w:t xml:space="preserve"> 594.</w:t>
      </w:r>
      <w:r>
        <w:fldChar w:fldCharType="end"/>
      </w:r>
      <w:r w:rsidRPr="00900EC3">
        <w:t xml:space="preserve"> </w:t>
      </w:r>
      <w:r>
        <w:t xml:space="preserve"> </w:t>
      </w:r>
    </w:p>
    <w:p w14:paraId="11EEFA03" w14:textId="1D58466E" w:rsidR="006F28E3" w:rsidRDefault="006F28E3" w:rsidP="001905B0">
      <w:pPr>
        <w:pStyle w:val="FootnoteText"/>
        <w:jc w:val="both"/>
      </w:pPr>
      <w:r>
        <w:t xml:space="preserve">C’est dire que les deux ethnies sont des identités sociales au Burundi au sens de Tajfel. Selon lui, une identité sociale est « cette partie du concept de soi des individus qui provient de leur appartenance à un groupe social, associée à la valence et à la signification émotive de cette appartenance. » </w:t>
      </w:r>
      <w:r>
        <w:fldChar w:fldCharType="begin"/>
      </w:r>
      <w:r>
        <w:instrText xml:space="preserve"> ADDIN ZOTERO_ITEM CSL_CITATION {"citationID":"MPiDMwhp","properties":{"formattedCitation":"Robert J Vallerand, {\\i{}Les fondements de la psychologie sociale} (Montr\\uc0\\u233{}al: G. Morin, 2006), 570.","plainCitation":"Robert J Vallerand, Les fondements de la psychologie sociale (Montréal: G. Morin, 2006), 570.","noteIndex":16},"citationItems":[{"id":1858,"uris":["http://zotero.org/users/3679831/items/427H4YB6"],"uri":["http://zotero.org/users/3679831/items/427H4YB6"],"itemData":{"id":1858,"type":"book","title":"Les fondements de la psychologie sociale","publisher":"G. Morin","publisher-place":"Montréal","source":"Open WorldCat","event-place":"Montréal","abstract":"Ouvrage imposant écrit en collaboration par seize spécialistes. C'est à la fois une vaste synthèse et un instrument de référence. La présentation est soignée, claire, et la lisibilité très bonne. Quatre parties: 1. Introduction et méthode de recherche - 2. Les cognitions et les attitudes: le soi; les perceptions et les cognitions sociales; les attributions; les attitudes - 3. La communication et les interactions sociales: la communication sociale; les relations interpersonnelles; l'agression; le comportement d'aide - 4. Les influences sociales; les groupes sociaux; les préjugés et la discrimination - 5. La psychologie sociale appliquée. [SDM].","ISBN":"978-2-89105-954-1","note":"OCLC: 62894622","language":"French","author":[{"family":"Vallerand","given":"Robert J"}],"issued":{"date-parts":[["2006"]]}},"locator":"570","label":"page"}],"schema":"https://github.com/citation-style-language/schema/raw/master/csl-citation.json"} </w:instrText>
      </w:r>
      <w:r>
        <w:fldChar w:fldCharType="separate"/>
      </w:r>
      <w:r w:rsidRPr="00164D02">
        <w:rPr>
          <w:rFonts w:ascii="Calibri" w:hAnsi="Calibri" w:cs="Calibri"/>
          <w:szCs w:val="24"/>
        </w:rPr>
        <w:t xml:space="preserve">Robert J Vallerand, </w:t>
      </w:r>
      <w:r w:rsidRPr="00164D02">
        <w:rPr>
          <w:rFonts w:ascii="Calibri" w:hAnsi="Calibri" w:cs="Calibri"/>
          <w:i/>
          <w:iCs/>
          <w:szCs w:val="24"/>
        </w:rPr>
        <w:t>Les fondements de la psychologie sociale</w:t>
      </w:r>
      <w:r w:rsidRPr="00164D02">
        <w:rPr>
          <w:rFonts w:ascii="Calibri" w:hAnsi="Calibri" w:cs="Calibri"/>
          <w:szCs w:val="24"/>
        </w:rPr>
        <w:t xml:space="preserve"> (Montréal: G. Morin, 2006), 570.</w:t>
      </w:r>
      <w:r>
        <w:fldChar w:fldCharType="end"/>
      </w:r>
      <w:r>
        <w:t xml:space="preserve">     </w:t>
      </w:r>
    </w:p>
  </w:footnote>
  <w:footnote w:id="16">
    <w:p w14:paraId="17F9FF76" w14:textId="26228C1D" w:rsidR="006F28E3" w:rsidRDefault="006F28E3" w:rsidP="001905B0">
      <w:pPr>
        <w:pStyle w:val="FootnoteText"/>
        <w:jc w:val="both"/>
      </w:pPr>
      <w:r w:rsidRPr="0026745F">
        <w:rPr>
          <w:rStyle w:val="FootnoteReference"/>
        </w:rPr>
        <w:footnoteRef/>
      </w:r>
      <w:r>
        <w:t xml:space="preserve"> Selon Vern Neufeld Redekop, « un conflit profondément enraciné touche la profondeur émotionnelle des personnes concernées et se traduit par des actes incroyablement inhumains, causant une immense souffrance ». </w:t>
      </w:r>
      <w:r>
        <w:fldChar w:fldCharType="begin"/>
      </w:r>
      <w:r>
        <w:instrText xml:space="preserve"> ADDIN ZOTERO_ITEM CSL_CITATION {"citationID":"IMFpty9U","properties":{"formattedCitation":"Vern Neufeld Redekop, {\\i{}De Violence \\uc0\\u224{} Bienveillance Comment la compr\\uc0\\u233{}hension du conflit identitaire ouvre la voie \\uc0\\u224{} la r\\uc0\\u233{}conciliation} (Saarbr\\uc0\\u252{}cken: \\uc0\\u201{}ditions Universitaires Europ\\uc0\\u233{}enes, 2012), 26, http://nbn-resolving.de/urn:nbn:de:101:1-201211235771.","plainCitation":"Vern Neufeld Redekop, De Violence à Bienveillance Comment la compréhension du conflit identitaire ouvre la voie à la réconciliation (Saarbrücken: Éditions Universitaires Européenes, 2012), 26, http://nbn-resolving.de/urn:nbn:de:101:1-201211235771.","dontUpdate":true,"noteIndex":17},"citationItems":[{"id":1864,"uris":["http://zotero.org/users/3679831/items/F2R6MY9J"],"uri":["http://zotero.org/users/3679831/items/F2R6MY9J"],"itemData":{"id":1864,"type":"book","title":"De Violence à Bienveillance Comment la compréhension du conflit identitaire ouvre la voie à la réconciliation","publisher":"Éditions Universitaires Européenes","publisher-place":"Saarbrücken","source":"Open WorldCat","event-place":"Saarbrücken","URL":"http://nbn-resolving.de/urn:nbn:de:101:1-201211235771","ISBN":"978-613-1-59087-0","note":"OCLC: 864072917","language":"French","author":[{"family":"Redekop","given":"Vern Neufeld"}],"issued":{"date-parts":[["2012"]]},"accessed":{"date-parts":[["2019",1,30]]}},"locator":"26","label":"page"}],"schema":"https://github.com/citation-style-language/schema/raw/master/csl-citation.json"} </w:instrText>
      </w:r>
      <w:r>
        <w:fldChar w:fldCharType="separate"/>
      </w:r>
      <w:r w:rsidRPr="00784494">
        <w:rPr>
          <w:rFonts w:ascii="Calibri" w:hAnsi="Calibri" w:cs="Calibri"/>
          <w:szCs w:val="24"/>
        </w:rPr>
        <w:t xml:space="preserve">Vern Neufeld Redekop, </w:t>
      </w:r>
      <w:r w:rsidRPr="00784494">
        <w:rPr>
          <w:rFonts w:ascii="Calibri" w:hAnsi="Calibri" w:cs="Calibri"/>
          <w:i/>
          <w:iCs/>
          <w:szCs w:val="24"/>
        </w:rPr>
        <w:t>De Violence à Bienveillance Comment la compréhension du conflit identitaire ouvre la voie à la réconciliation</w:t>
      </w:r>
      <w:r w:rsidRPr="00784494">
        <w:rPr>
          <w:rFonts w:ascii="Calibri" w:hAnsi="Calibri" w:cs="Calibri"/>
          <w:szCs w:val="24"/>
        </w:rPr>
        <w:t xml:space="preserve"> (Saarbrücken: Éditions Universitaires Européenes, 2012), 26 </w:t>
      </w:r>
      <w:r>
        <w:fldChar w:fldCharType="end"/>
      </w:r>
      <w:r>
        <w:t xml:space="preserve">. </w:t>
      </w:r>
    </w:p>
  </w:footnote>
  <w:footnote w:id="17">
    <w:p w14:paraId="6CCA1872" w14:textId="3874D216" w:rsidR="006F28E3" w:rsidRDefault="006F28E3" w:rsidP="001905B0">
      <w:pPr>
        <w:pStyle w:val="FootnoteText"/>
        <w:jc w:val="both"/>
      </w:pPr>
      <w:r w:rsidRPr="0026745F">
        <w:rPr>
          <w:rStyle w:val="FootnoteReference"/>
        </w:rPr>
        <w:footnoteRef/>
      </w:r>
      <w:r>
        <w:t xml:space="preserve">  Eamonn Callan dans sa réflexion sur </w:t>
      </w:r>
      <w:r w:rsidRPr="00AF4FD4">
        <w:rPr>
          <w:i/>
        </w:rPr>
        <w:t>la réconciliation et l’éthique de la mémoire publique</w:t>
      </w:r>
      <w:r>
        <w:rPr>
          <w:i/>
        </w:rPr>
        <w:t xml:space="preserve">, </w:t>
      </w:r>
      <w:r w:rsidRPr="00FC1E3B">
        <w:t xml:space="preserve">parle </w:t>
      </w:r>
      <w:r>
        <w:t xml:space="preserve">des mémoires rivales et des hostilités entre concitoyens à l’intérieur des frontières des États modernes. Sa réflexion est tout à fait applicable au Burundi. Voici un exemple de réflexion qui nous a intéressé : « </w:t>
      </w:r>
      <w:r w:rsidRPr="00FC2093">
        <w:t>Ainsi, des mémoires collectives rivales sont transmises au ﬁl des générations aux enfants qui, à la longue, transmettent à leurs propres enfants une hostilité qui participe à la constitution de leur identité. Dans ces conditions, la stabilité de tout État est vulnérable, et la coopération démocratique entre les différents groupes peut être presque impossible</w:t>
      </w:r>
      <w:r>
        <w:t xml:space="preserve"> ». Il ajoute que « l</w:t>
      </w:r>
      <w:r w:rsidRPr="00FC2093">
        <w:t>a puissance destructrice de l’hostilité ancestrale s’est avérée durable même lorsqu’il y a eu mélange des populations</w:t>
      </w:r>
      <w:r>
        <w:t xml:space="preserve"> ». </w:t>
      </w:r>
      <w:r>
        <w:fldChar w:fldCharType="begin"/>
      </w:r>
      <w:r>
        <w:instrText xml:space="preserve"> ADDIN ZOTERO_ITEM CSL_CITATION {"citationID":"OgLxaK3X","properties":{"formattedCitation":"Eamonn Callan, \\uc0\\u171{}\\uc0\\u160{}R\\uc0\\u233{}conciliation et \\uc0\\u233{}thique de la m\\uc0\\u233{}moire publique\\uc0\\u160{}\\uc0\\u187{}, {\\i{}Philosophiques} 29, n\\super o\\nosupersub{} 2 (2002): 311, https://doi.org/10.7202/006258ar.","plainCitation":"Eamonn Callan, « Réconciliation et éthique de la mémoire publique », Philosophiques 29, no 2 (2002): 311, https://doi.org/10.7202/006258ar.","dontUpdate":true,"noteIndex":18},"citationItems":[{"id":1242,"uris":["http://zotero.org/users/3679831/items/3W7DCEUB"],"uri":["http://zotero.org/users/3679831/items/3W7DCEUB"],"itemData":{"id":1242,"type":"article-journal","title":"Réconciliation et éthique de la mémoire publique","container-title":"Philosophiques","page":"311-326","volume":"29","issue":"2","source":"www.erudit.org","abstract":"Cet article examine quelques idées concernant ce que j’appelle une éthique de la        mémoire publique. Plus exactement, il considère comment les citoyens devraient apprendre à        se souvenir du mal politique commis et subi dans des sociétés marquées par les circonstances        de la réconciliation, dans lesquelles la stabilité politique et les pratiques démocratiques        sont mises en péril par des souvenirs collectifs qui alimentent l’antipathie mutuelle et le        ressentiment entre les citoyens d’un même État. Comment des communautés démocratiques        fonctionnelles peuvent-elles être réparées ou créées à nouveau lorsqu’elles ont été        fracturées par des hostilités historiques ? Cet article examine un certain nombre de        réponses possibles à cette question en utilisant une conception délibérative de ce qu’une        communauté démocratique fonctionnelle devrait être. Cette conception s’incarne en gros dans        deux normes démocratiques : l’impartialité et l’inclusion. C’est en référence à ces deux        normes que l’article discute différentes tentatives actuelles de remplacer les anciennes        histoires nationales, qui s’appuyaient sur les mythes civiques, par des histoires        multiculturelles qui les refusent.","DOI":"10.7202/006258ar","ISSN":"0316-2923, 1492-1391","journalAbbreviation":"philoso","language":"fr","author":[{"family":"Callan","given":"Eamonn"}],"issued":{"date-parts":[["2002"]]}},"locator":"311","label":"page"}],"schema":"https://github.com/citation-style-language/schema/raw/master/csl-citation.json"} </w:instrText>
      </w:r>
      <w:r>
        <w:fldChar w:fldCharType="separate"/>
      </w:r>
      <w:r w:rsidRPr="00FC2093">
        <w:rPr>
          <w:rFonts w:ascii="Calibri" w:hAnsi="Calibri" w:cs="Calibri"/>
          <w:szCs w:val="24"/>
        </w:rPr>
        <w:t xml:space="preserve">Eamonn Callan, « Réconciliation et éthique de la mémoire publique », </w:t>
      </w:r>
      <w:r w:rsidRPr="00FC2093">
        <w:rPr>
          <w:rFonts w:ascii="Calibri" w:hAnsi="Calibri" w:cs="Calibri"/>
          <w:i/>
          <w:iCs/>
          <w:szCs w:val="24"/>
        </w:rPr>
        <w:t>Philosophiques</w:t>
      </w:r>
      <w:r w:rsidRPr="00FC2093">
        <w:rPr>
          <w:rFonts w:ascii="Calibri" w:hAnsi="Calibri" w:cs="Calibri"/>
          <w:szCs w:val="24"/>
        </w:rPr>
        <w:t xml:space="preserve"> 29, n</w:t>
      </w:r>
      <w:r w:rsidRPr="00FC2093">
        <w:rPr>
          <w:rFonts w:ascii="Calibri" w:hAnsi="Calibri" w:cs="Calibri"/>
          <w:szCs w:val="24"/>
          <w:vertAlign w:val="superscript"/>
        </w:rPr>
        <w:t>o</w:t>
      </w:r>
      <w:r w:rsidRPr="00FC2093">
        <w:rPr>
          <w:rFonts w:ascii="Calibri" w:hAnsi="Calibri" w:cs="Calibri"/>
          <w:szCs w:val="24"/>
        </w:rPr>
        <w:t xml:space="preserve"> 2 (2002): 311.</w:t>
      </w:r>
      <w:r>
        <w:fldChar w:fldCharType="end"/>
      </w:r>
    </w:p>
  </w:footnote>
  <w:footnote w:id="18">
    <w:p w14:paraId="2018D1AA" w14:textId="1FD5C073" w:rsidR="006F28E3" w:rsidRDefault="006F28E3" w:rsidP="001905B0">
      <w:pPr>
        <w:pStyle w:val="FootnoteText"/>
      </w:pPr>
      <w:r w:rsidRPr="0026745F">
        <w:rPr>
          <w:rStyle w:val="FootnoteReference"/>
        </w:rPr>
        <w:footnoteRef/>
      </w:r>
      <w:r>
        <w:t xml:space="preserve"> </w:t>
      </w:r>
      <w:r>
        <w:fldChar w:fldCharType="begin"/>
      </w:r>
      <w:r>
        <w:instrText xml:space="preserve"> ADDIN ZOTERO_ITEM CSL_CITATION {"citationID":"fWAuY1yn","properties":{"formattedCitation":"Stef Vandeginste, \\uc0\\u171{}\\uc0\\u160{}Le processus de justice transitionnelle au Burundi\\uc0\\u160{}\\uc0\\u187{}, {\\i{}Droit et societe} n\\uc0\\u176{} 73, n\\super o\\nosupersub{} 3 (2009): 595.","plainCitation":"Stef Vandeginste, « Le processus de justice transitionnelle au Burundi », Droit et societe n° 73, no 3 (2009): 595.","dontUpdate":true,"noteIndex":18},"citationItems":[{"id":1865,"uris":["http://zotero.org/users/3679831/items/Y3TQA7SI"],"uri":["http://zotero.org/users/3679831/items/Y3TQA7SI"],"itemData":{"id":1865,"type":"article-journal","title":"Le processus de justice transitionnelle au Burundi","container-title":"Droit et societe","page":"591-611","volume":"n° 73","issue":"3","source":"www.cairn.info","abstract":"&lt;titre traitementparticulier=\"non\"&gt;Résumé&lt;/titre&gt;L’article explique pourquoi, seize ans après l’assassinat du président Ndadaye et le déclenchement de massacres et d’une guerre civile, aucun mécanisme de justice transitionnelle n’a encore été établi au Burundi alors que l’ONU et la société civile le demandent depuis longtemps et que l’accord d’Arusha pour la paix et la réconciliation de 2000, conformément aux nouvelles normes globales, prévoyait la création d’un tribunal pénal international et d’une commission de vérité. Les raisons tiennent au contexte politique national : la transition politique est fondée sur un compromis ; les élites politiques et militaires ont intérêt à former une coalition de l’oubli ; enfin, la société civile au Burundi manque des moyens qui lui permettraient d’imposer au politique son agenda de justice transitionnelle.Burundi – Contexte politique national – Justice transitionnelle – Normes globales.","ISSN":"0769-3362","language":"fr","author":[{"family":"Vandeginste","given":"Stef"}],"issued":{"date-parts":[["2009"]]}},"locator":"595","label":"page"}],"schema":"https://github.com/citation-style-language/schema/raw/master/csl-citation.json"} </w:instrText>
      </w:r>
      <w:r>
        <w:fldChar w:fldCharType="separate"/>
      </w:r>
      <w:r w:rsidRPr="00BA1231">
        <w:rPr>
          <w:rFonts w:ascii="Calibri" w:hAnsi="Calibri" w:cs="Calibri"/>
          <w:szCs w:val="24"/>
        </w:rPr>
        <w:t>Stef Vandeginste, « Le processus de justice transitionnelle au Burundi »,595.</w:t>
      </w:r>
      <w:r>
        <w:fldChar w:fldCharType="end"/>
      </w:r>
    </w:p>
  </w:footnote>
  <w:footnote w:id="19">
    <w:p w14:paraId="73303129" w14:textId="1DF1C8F0" w:rsidR="006F28E3" w:rsidRDefault="006F28E3" w:rsidP="001905B0">
      <w:pPr>
        <w:pStyle w:val="FootnoteText"/>
      </w:pPr>
      <w:r>
        <w:rPr>
          <w:rStyle w:val="FootnoteReference"/>
        </w:rPr>
        <w:footnoteRef/>
      </w:r>
      <w:r>
        <w:t xml:space="preserve"> </w:t>
      </w:r>
      <w:r>
        <w:fldChar w:fldCharType="begin"/>
      </w:r>
      <w:r>
        <w:instrText xml:space="preserve"> ADDIN ZOTERO_ITEM CSL_CITATION {"citationID":"0h3wWE43","properties":{"formattedCitation":"Boutros BOUTROS-GHALI, \\uc0\\u171{}\\uc0\\u160{}ORIGINAL\\uc0\\u8239{}: ANGLAIS LETTRE DAT\\uc0\\u201{}E DU 25 JUILLET 1996, ADRESS\\uc0\\u201{}E AU PRESIDENT DU CONSEIL DE S\\uc0\\u201{}CURIT\\uc0\\u201{} PAR LE SECR\\uc0\\u201{}TAIRE G\\uc0\\u201{}N\\uc0\\u201{}RAL | Couverture des r\\uc0\\u233{}unions &amp; communiqu\\uc0\\u233{}s de presse\\uc0\\u160{}\\uc0\\u187{}, 25 juillet 1996, https://www.un.org/press/fr/1996/19960822.JAMEL.html.","plainCitation":"Boutros BOUTROS-GHALI, « ORIGINAL : ANGLAIS LETTRE DATÉE DU 25 JUILLET 1996, ADRESSÉE AU PRESIDENT DU CONSEIL DE SÉCURITÉ PAR LE SECRÉTAIRE GÉNÉRAL | Couverture des réunions &amp; communiqués de presse », 25 juillet 1996, https://www.un.org/press/fr/1996/19960822.JAMEL.html.","dontUpdate":true,"noteIndex":20},"citationItems":[{"id":1985,"uris":["http://zotero.org/users/3679831/items/9X38M45G"],"uri":["http://zotero.org/users/3679831/items/9X38M45G"],"itemData":{"id":1985,"type":"webpage","title":"ORIGINAL : ANGLAIS LETTRE DATÉE DU 25 JUILLET 1996, ADRESSÉE AU PRESIDENT DU CONSEIL DE SÉCURITÉ PAR LE SECRÉTAIRE GÉNÉRAL | Couverture des réunions &amp; communiqués de presse","URL":"https://www.un.org/press/fr/1996/19960822.JAMEL.html","author":[{"literal":"Boutros BOUTROS-GHALI"}],"issued":{"date-parts":[["1996",7,25]]},"accessed":{"date-parts":[["2019",3,15]]}}}],"schema":"https://github.com/citation-style-language/schema/raw/master/csl-citation.json"} </w:instrText>
      </w:r>
      <w:r>
        <w:fldChar w:fldCharType="separate"/>
      </w:r>
      <w:r w:rsidRPr="00F360FF">
        <w:rPr>
          <w:rFonts w:ascii="Calibri" w:hAnsi="Calibri" w:cs="Calibri"/>
          <w:szCs w:val="24"/>
        </w:rPr>
        <w:t>Boutros BOUTROS-GHALI, « </w:t>
      </w:r>
      <w:r>
        <w:rPr>
          <w:rFonts w:ascii="Calibri" w:hAnsi="Calibri" w:cs="Calibri"/>
          <w:szCs w:val="24"/>
        </w:rPr>
        <w:t>O</w:t>
      </w:r>
      <w:r w:rsidRPr="00F360FF">
        <w:rPr>
          <w:rFonts w:ascii="Calibri" w:hAnsi="Calibri" w:cs="Calibri"/>
          <w:szCs w:val="24"/>
        </w:rPr>
        <w:t xml:space="preserve">riginal : anglais lettre datée du 25 juillet 1996, adressée au </w:t>
      </w:r>
      <w:r>
        <w:rPr>
          <w:rFonts w:ascii="Calibri" w:hAnsi="Calibri" w:cs="Calibri"/>
          <w:szCs w:val="24"/>
        </w:rPr>
        <w:t>P</w:t>
      </w:r>
      <w:r w:rsidRPr="00F360FF">
        <w:rPr>
          <w:rFonts w:ascii="Calibri" w:hAnsi="Calibri" w:cs="Calibri"/>
          <w:szCs w:val="24"/>
        </w:rPr>
        <w:t>résident du conseil de sécurité par le secrétaire général | Couverture des réunions &amp; communiqués de presse », 25 juillet 1996.</w:t>
      </w:r>
      <w:r>
        <w:fldChar w:fldCharType="end"/>
      </w:r>
    </w:p>
  </w:footnote>
  <w:footnote w:id="20">
    <w:p w14:paraId="1ADAD9E6" w14:textId="4620AC46" w:rsidR="006F28E3" w:rsidRDefault="006F28E3" w:rsidP="001905B0">
      <w:pPr>
        <w:pStyle w:val="FootnoteText"/>
      </w:pPr>
      <w:r w:rsidRPr="0026745F">
        <w:rPr>
          <w:rStyle w:val="FootnoteReference"/>
        </w:rPr>
        <w:footnoteRef/>
      </w:r>
      <w:r>
        <w:t xml:space="preserve"> </w:t>
      </w:r>
      <w:r>
        <w:fldChar w:fldCharType="begin"/>
      </w:r>
      <w:r>
        <w:instrText xml:space="preserve"> ADDIN ZOTERO_ITEM CSL_CITATION {"citationID":"ZDWVOKMm","properties":{"formattedCitation":"Vandeginste, \\uc0\\u171{}\\uc0\\u160{}Le processus de justice transitionnelle au Burundi\\uc0\\u160{}\\uc0\\u187{}, 2009, 597.","plainCitation":"Vandeginste, « Le processus de justice transitionnelle au Burundi », 2009, 597.","noteIndex":20},"citationItems":[{"id":1865,"uris":["http://zotero.org/users/3679831/items/Y3TQA7SI"],"uri":["http://zotero.org/users/3679831/items/Y3TQA7SI"],"itemData":{"id":1865,"type":"article-journal","title":"Le processus de justice transitionnelle au Burundi","container-title":"Droit et societe","page":"591-611","volume":"n° 73","issue":"3","source":"www.cairn.info","abstract":"&lt;titre traitementparticulier=\"non\"&gt;Résumé&lt;/titre&gt;L’article explique pourquoi, seize ans après l’assassinat du président Ndadaye et le déclenchement de massacres et d’une guerre civile, aucun mécanisme de justice transitionnelle n’a encore été établi au Burundi alors que l’ONU et la société civile le demandent depuis longtemps et que l’accord d’Arusha pour la paix et la réconciliation de 2000, conformément aux nouvelles normes globales, prévoyait la création d’un tribunal pénal international et d’une commission de vérité. Les raisons tiennent au contexte politique national : la transition politique est fondée sur un compromis ; les élites politiques et militaires ont intérêt à former une coalition de l’oubli ; enfin, la société civile au Burundi manque des moyens qui lui permettraient d’imposer au politique son agenda de justice transitionnelle.Burundi – Contexte politique national – Justice transitionnelle – Normes globales.","ISSN":"0769-3362","language":"fr","author":[{"family":"Vandeginste","given":"Stef"}],"issued":{"date-parts":[["2009"]]}},"locator":"597","label":"page"}],"schema":"https://github.com/citation-style-language/schema/raw/master/csl-citation.json"} </w:instrText>
      </w:r>
      <w:r>
        <w:fldChar w:fldCharType="separate"/>
      </w:r>
      <w:r w:rsidRPr="0045352C">
        <w:rPr>
          <w:rFonts w:ascii="Calibri" w:hAnsi="Calibri" w:cs="Calibri"/>
          <w:szCs w:val="24"/>
        </w:rPr>
        <w:t>Vandeginste, « Le processus de justice transitionnelle au Burundi », 2009, 597.</w:t>
      </w:r>
      <w:r>
        <w:fldChar w:fldCharType="end"/>
      </w:r>
    </w:p>
  </w:footnote>
  <w:footnote w:id="21">
    <w:p w14:paraId="58E60486" w14:textId="1A77358B" w:rsidR="006F28E3" w:rsidRPr="00E03D6B" w:rsidRDefault="006F28E3" w:rsidP="001905B0">
      <w:pPr>
        <w:pStyle w:val="FootnoteText"/>
        <w:rPr>
          <w:lang w:val="en-CA"/>
        </w:rPr>
      </w:pPr>
      <w:r w:rsidRPr="0026745F">
        <w:rPr>
          <w:rStyle w:val="FootnoteReference"/>
        </w:rPr>
        <w:footnoteRef/>
      </w:r>
      <w:r w:rsidRPr="00E03D6B">
        <w:rPr>
          <w:lang w:val="en-CA"/>
        </w:rPr>
        <w:t xml:space="preserve"> </w:t>
      </w:r>
      <w:r>
        <w:fldChar w:fldCharType="begin"/>
      </w:r>
      <w:r>
        <w:rPr>
          <w:lang w:val="en-CA"/>
        </w:rPr>
        <w:instrText xml:space="preserve"> ADDIN ZOTERO_ITEM CSL_CITATION {"citationID":"wMP6xlQN","properties":{"formattedCitation":"Vandeginste, \\uc0\\u171{}\\uc0\\u160{}Le processus de justice transitionnelle au Burundi\\uc0\\u160{}\\uc0\\u187{}, 2009, 594.","plainCitation":"Vandeginste, « Le processus de justice transitionnelle au Burundi », 2009, 594.","dontUpdate":true,"noteIndex":21},"citationItems":[{"id":1836,"uris":["http://zotero.org/users/3679831/items/8I4DPZHZ"],"uri":["http://zotero.org/users/3679831/items/8I4DPZHZ"],"itemData":{"id":1836,"type":"article-journal","title":"Le processus de justice transitionnelle au Burundi","container-title":"Droit et societe","page":"591-611","volume":"n° 73","issue":"3","source":"www.cairn.info","abstract":"&lt;titre traitementparticulier=\"non\"&gt;Résumé&lt;/titre&gt;L’article explique pourquoi, seize ans après l’assassinat du président Ndadaye et le déclenchement de massacres et d’une guerre civile, aucun mécanisme de justice transitionnelle n’a encore été établi au Burundi alors que l’ONU et la société civile le demandent depuis longtemps et que l’accord d’Arusha pour la paix et la réconciliation de 2000, conformément aux nouvelles normes globales, prévoyait la création d’un tribunal pénal international et d’une commission de vérité. Les raisons tiennent au contexte politique national : la transition politique est fondée sur un compromis ; les élites politiques et militaires ont intérêt à former une coalition de l’oubli ; enfin, la société civile au Burundi manque des moyens qui lui permettraient d’imposer au politique son agenda de justice transitionnelle.Burundi – Contexte politique national – Justice transitionnelle – Normes globales.","ISSN":"0769-3362","language":"fr","author":[{"family":"Vandeginste","given":"Stef"}],"issued":{"date-parts":[["2009"]]}},"locator":"594","label":"page"}],"schema":"https://github.com/citation-style-language/schema/raw/master/csl-citation.json"} </w:instrText>
      </w:r>
      <w:r>
        <w:fldChar w:fldCharType="separate"/>
      </w:r>
      <w:r w:rsidRPr="00E03D6B">
        <w:rPr>
          <w:rFonts w:ascii="Calibri" w:hAnsi="Calibri" w:cs="Calibri"/>
          <w:szCs w:val="24"/>
          <w:lang w:val="en-CA"/>
        </w:rPr>
        <w:t>Vandeginste, 594.</w:t>
      </w:r>
      <w:r>
        <w:fldChar w:fldCharType="end"/>
      </w:r>
    </w:p>
  </w:footnote>
  <w:footnote w:id="22">
    <w:p w14:paraId="0B487CD2" w14:textId="2BCB0478" w:rsidR="006F28E3" w:rsidRPr="00E03D6B" w:rsidRDefault="006F28E3" w:rsidP="001905B0">
      <w:pPr>
        <w:pStyle w:val="FootnoteText"/>
        <w:rPr>
          <w:lang w:val="en-CA"/>
        </w:rPr>
      </w:pPr>
      <w:r w:rsidRPr="0026745F">
        <w:rPr>
          <w:rStyle w:val="FootnoteReference"/>
        </w:rPr>
        <w:footnoteRef/>
      </w:r>
      <w:r w:rsidRPr="00E03D6B">
        <w:rPr>
          <w:lang w:val="en-CA"/>
        </w:rPr>
        <w:t xml:space="preserve"> </w:t>
      </w:r>
      <w:r>
        <w:fldChar w:fldCharType="begin"/>
      </w:r>
      <w:r>
        <w:rPr>
          <w:lang w:val="en-CA"/>
        </w:rPr>
        <w:instrText xml:space="preserve"> ADDIN ZOTERO_ITEM CSL_CITATION {"citationID":"TqljGxJb","properties":{"formattedCitation":"Jean-Pierre Chr\\uc0\\u233{}tien, \\uc0\\u171{}\\uc0\\u160{}Le Burundi apr\\uc0\\u232{}s la signature de l\\uc0\\u8217{}accord d\\uc0\\u8217{}Arusha\\uc0\\u160{}\\uc0\\u187{}, {\\i{}Politique africaine} 80, n\\super o\\nosupersub{} 4 (2000): 142, https://doi.org/10.3917/polaf.080.0136.","plainCitation":"Jean-Pierre Chrétien, « Le Burundi après la signature de l’accord d’Arusha », Politique africaine 80, no 4 (2000): 142, https://doi.org/10.3917/polaf.080.0136.","dontUpdate":true,"noteIndex":22},"citationItems":[{"id":1338,"uris":["http://zotero.org/users/3679831/items/WAHSPBRH"],"uri":["http://zotero.org/users/3679831/items/WAHSPBRH"],"itemData":{"id":1338,"type":"article-journal","title":"Le Burundi après la signature de l'accord d'Arusha","container-title":"Politique africaine","page":"136","volume":"80","issue":"4","source":"CrossRef","DOI":"10.3917/polaf.080.0136","ISSN":"0244-7827, 2264-5047","language":"fr","author":[{"family":"Chrétien","given":"Jean-Pierre"}],"issued":{"date-parts":[["2000"]]}},"locator":"142","label":"page"}],"schema":"https://github.com/citation-style-language/schema/raw/master/csl-citation.json"} </w:instrText>
      </w:r>
      <w:r>
        <w:fldChar w:fldCharType="separate"/>
      </w:r>
      <w:r w:rsidRPr="00E03D6B">
        <w:rPr>
          <w:rFonts w:ascii="Calibri" w:hAnsi="Calibri" w:cs="Calibri"/>
          <w:szCs w:val="24"/>
          <w:lang w:val="en-CA"/>
        </w:rPr>
        <w:t xml:space="preserve">Jean-Pierre Chrétien, « Le Burundi après la signature de l’accord d’Arusha », </w:t>
      </w:r>
      <w:r w:rsidRPr="00E03D6B">
        <w:rPr>
          <w:rFonts w:ascii="Calibri" w:hAnsi="Calibri" w:cs="Calibri"/>
          <w:i/>
          <w:iCs/>
          <w:szCs w:val="24"/>
          <w:lang w:val="en-CA"/>
        </w:rPr>
        <w:t>Politique africaine</w:t>
      </w:r>
      <w:r w:rsidRPr="00E03D6B">
        <w:rPr>
          <w:rFonts w:ascii="Calibri" w:hAnsi="Calibri" w:cs="Calibri"/>
          <w:szCs w:val="24"/>
          <w:lang w:val="en-CA"/>
        </w:rPr>
        <w:t xml:space="preserve"> 80, n</w:t>
      </w:r>
      <w:r w:rsidRPr="00E03D6B">
        <w:rPr>
          <w:rFonts w:ascii="Calibri" w:hAnsi="Calibri" w:cs="Calibri"/>
          <w:szCs w:val="24"/>
          <w:vertAlign w:val="superscript"/>
          <w:lang w:val="en-CA"/>
        </w:rPr>
        <w:t>o</w:t>
      </w:r>
      <w:r w:rsidRPr="00E03D6B">
        <w:rPr>
          <w:rFonts w:ascii="Calibri" w:hAnsi="Calibri" w:cs="Calibri"/>
          <w:szCs w:val="24"/>
          <w:lang w:val="en-CA"/>
        </w:rPr>
        <w:t xml:space="preserve"> 4 (2000): 142.</w:t>
      </w:r>
      <w:r>
        <w:fldChar w:fldCharType="end"/>
      </w:r>
    </w:p>
  </w:footnote>
  <w:footnote w:id="23">
    <w:p w14:paraId="76E94C98" w14:textId="72932727" w:rsidR="006F28E3" w:rsidRDefault="006F28E3" w:rsidP="001905B0">
      <w:pPr>
        <w:pStyle w:val="FootnoteText"/>
      </w:pPr>
      <w:r w:rsidRPr="0026745F">
        <w:rPr>
          <w:rStyle w:val="FootnoteReference"/>
        </w:rPr>
        <w:footnoteRef/>
      </w:r>
      <w:r>
        <w:t xml:space="preserve"> </w:t>
      </w:r>
      <w:r>
        <w:fldChar w:fldCharType="begin"/>
      </w:r>
      <w:r>
        <w:instrText xml:space="preserve"> ADDIN ZOTERO_ITEM CSL_CITATION {"citationID":"jncR1yjp","properties":{"formattedCitation":"Chr\\uc0\\u233{}tien, 142.","plainCitation":"Chrétien, 142.","noteIndex":23},"citationItems":[{"id":1338,"uris":["http://zotero.org/users/3679831/items/WAHSPBRH"],"uri":["http://zotero.org/users/3679831/items/WAHSPBRH"],"itemData":{"id":1338,"type":"article-journal","title":"Le Burundi après la signature de l'accord d'Arusha","container-title":"Politique africaine","page":"136","volume":"80","issue":"4","source":"CrossRef","DOI":"10.3917/polaf.080.0136","ISSN":"0244-7827, 2264-5047","language":"fr","author":[{"family":"Chrétien","given":"Jean-Pierre"}],"issued":{"date-parts":[["2000"]]}},"locator":"142","label":"page"}],"schema":"https://github.com/citation-style-language/schema/raw/master/csl-citation.json"} </w:instrText>
      </w:r>
      <w:r>
        <w:fldChar w:fldCharType="separate"/>
      </w:r>
      <w:r w:rsidRPr="0045352C">
        <w:rPr>
          <w:rFonts w:ascii="Calibri" w:hAnsi="Calibri" w:cs="Calibri"/>
          <w:szCs w:val="24"/>
        </w:rPr>
        <w:t>Chrétien, 142.</w:t>
      </w:r>
      <w:r>
        <w:fldChar w:fldCharType="end"/>
      </w:r>
    </w:p>
  </w:footnote>
  <w:footnote w:id="24">
    <w:p w14:paraId="6F2C47EB" w14:textId="77777777" w:rsidR="006F28E3" w:rsidRPr="0082523B" w:rsidRDefault="006F28E3" w:rsidP="001905B0">
      <w:pPr>
        <w:pStyle w:val="FootnoteText"/>
      </w:pPr>
      <w:r w:rsidRPr="0026745F">
        <w:rPr>
          <w:rStyle w:val="FootnoteReference"/>
        </w:rPr>
        <w:footnoteRef/>
      </w:r>
      <w:r w:rsidRPr="0082523B">
        <w:t xml:space="preserve">  </w:t>
      </w:r>
      <w:r w:rsidRPr="0045352C">
        <w:rPr>
          <w:rFonts w:ascii="Calibri" w:hAnsi="Calibri" w:cs="Calibri"/>
          <w:szCs w:val="24"/>
        </w:rPr>
        <w:t>Chrétien,</w:t>
      </w:r>
      <w:r w:rsidRPr="0082523B">
        <w:t>145.</w:t>
      </w:r>
    </w:p>
  </w:footnote>
  <w:footnote w:id="25">
    <w:p w14:paraId="10D0075F" w14:textId="33A386FC" w:rsidR="006F28E3" w:rsidRDefault="006F28E3" w:rsidP="001905B0">
      <w:pPr>
        <w:pStyle w:val="FootnoteText"/>
        <w:jc w:val="both"/>
      </w:pPr>
      <w:r w:rsidRPr="0026745F">
        <w:rPr>
          <w:rStyle w:val="FootnoteReference"/>
        </w:rPr>
        <w:footnoteRef/>
      </w:r>
      <w:r>
        <w:t xml:space="preserve"> La position originelle chez Rawls est une position d’égalité et de conditions équitables. </w:t>
      </w:r>
      <w:r>
        <w:fldChar w:fldCharType="begin"/>
      </w:r>
      <w:r>
        <w:instrText xml:space="preserve"> ADDIN ZOTERO_ITEM CSL_CITATION {"citationID":"rPqO1eXe","properties":{"formattedCitation":"Noureddine Mouelhi, Andr\\uc0\\u233{} Duhamel, et Syliane Charles, {\\i{}Ethique histoire, politique, application} (Chicoutimi: G. Morin, 2001), 91.","plainCitation":"Noureddine Mouelhi, André Duhamel, et Syliane Charles, Ethique histoire, politique, application (Chicoutimi: G. Morin, 2001), 91.","noteIndex":25},"citationItems":[{"id":1892,"uris":["http://zotero.org/users/3679831/items/QNU4RKRN"],"uri":["http://zotero.org/users/3679831/items/QNU4RKRN"],"itemData":{"id":1892,"type":"book","title":"Ethique histoire, politique, application","publisher":"G. Morin","publisher-place":"Chicoutimi","source":"Open WorldCat","event-place":"Chicoutimi","ISBN":"978-2-89105-782-0","note":"OCLC: 949076244","language":"French","author":[{"family":"Mouelhi","given":"Noureddine"},{"family":"Duhamel","given":"André"},{"family":"Charles","given":"Syliane"}],"issued":{"date-parts":[["2001"]]}},"locator":"91","label":"page"}],"schema":"https://github.com/citation-style-language/schema/raw/master/csl-citation.json"} </w:instrText>
      </w:r>
      <w:r>
        <w:fldChar w:fldCharType="separate"/>
      </w:r>
      <w:r w:rsidRPr="00FE7F74">
        <w:rPr>
          <w:rFonts w:ascii="Calibri" w:hAnsi="Calibri" w:cs="Calibri"/>
          <w:szCs w:val="24"/>
        </w:rPr>
        <w:t xml:space="preserve">Noureddine Mouelhi, André Duhamel, et Syliane Charles, </w:t>
      </w:r>
      <w:r w:rsidRPr="00FE7F74">
        <w:rPr>
          <w:rFonts w:ascii="Calibri" w:hAnsi="Calibri" w:cs="Calibri"/>
          <w:i/>
          <w:iCs/>
          <w:szCs w:val="24"/>
        </w:rPr>
        <w:t>Ethique histoire, politique, application</w:t>
      </w:r>
      <w:r w:rsidRPr="00FE7F74">
        <w:rPr>
          <w:rFonts w:ascii="Calibri" w:hAnsi="Calibri" w:cs="Calibri"/>
          <w:szCs w:val="24"/>
        </w:rPr>
        <w:t xml:space="preserve"> (Chicoutimi: G. Morin, 2001), 91.</w:t>
      </w:r>
      <w:r>
        <w:fldChar w:fldCharType="end"/>
      </w:r>
    </w:p>
  </w:footnote>
  <w:footnote w:id="26">
    <w:p w14:paraId="17B78AE0" w14:textId="6B74E361" w:rsidR="006F28E3" w:rsidRDefault="006F28E3" w:rsidP="001905B0">
      <w:pPr>
        <w:pStyle w:val="FootnoteText"/>
        <w:jc w:val="both"/>
      </w:pPr>
      <w:r w:rsidRPr="0026745F">
        <w:rPr>
          <w:rStyle w:val="FootnoteReference"/>
        </w:rPr>
        <w:footnoteRef/>
      </w:r>
      <w:r>
        <w:t xml:space="preserve"> Chez Rawls, « les personnes placées sous le voile d’ignorance, sorte d’état de nature hypothétique, disposeraient d’une connaissance minimale de la nature humaine et de la société, et nourriraient à l’égard de leurs semblables un sentiment de neutralité et même d’indifférence ». </w:t>
      </w:r>
      <w:r>
        <w:fldChar w:fldCharType="begin"/>
      </w:r>
      <w:r>
        <w:instrText xml:space="preserve"> ADDIN ZOTERO_ITEM CSL_CITATION {"citationID":"1LMCAPUy","properties":{"formattedCitation":"Mouelhi, Duhamel, et Charles, 91.","plainCitation":"Mouelhi, Duhamel, et Charles, 91.","noteIndex":26},"citationItems":[{"id":1892,"uris":["http://zotero.org/users/3679831/items/QNU4RKRN"],"uri":["http://zotero.org/users/3679831/items/QNU4RKRN"],"itemData":{"id":1892,"type":"book","title":"Ethique histoire, politique, application","publisher":"G. Morin","publisher-place":"Chicoutimi","source":"Open WorldCat","event-place":"Chicoutimi","ISBN":"978-2-89105-782-0","note":"OCLC: 949076244","language":"French","author":[{"family":"Mouelhi","given":"Noureddine"},{"family":"Duhamel","given":"André"},{"family":"Charles","given":"Syliane"}],"issued":{"date-parts":[["2001"]]}},"locator":"91","label":"page"}],"schema":"https://github.com/citation-style-language/schema/raw/master/csl-citation.json"} </w:instrText>
      </w:r>
      <w:r>
        <w:fldChar w:fldCharType="separate"/>
      </w:r>
      <w:r w:rsidRPr="00FE7F74">
        <w:rPr>
          <w:rFonts w:ascii="Calibri" w:hAnsi="Calibri" w:cs="Calibri"/>
        </w:rPr>
        <w:t>Mouelhi, Duhamel, et Charles, 91.</w:t>
      </w:r>
      <w:r>
        <w:fldChar w:fldCharType="end"/>
      </w:r>
      <w:r>
        <w:t xml:space="preserve"> </w:t>
      </w:r>
    </w:p>
  </w:footnote>
  <w:footnote w:id="27">
    <w:p w14:paraId="77577229" w14:textId="627DA662" w:rsidR="006F28E3" w:rsidRDefault="006F28E3" w:rsidP="001905B0">
      <w:pPr>
        <w:pStyle w:val="FootnoteText"/>
      </w:pPr>
      <w:r w:rsidRPr="0026745F">
        <w:rPr>
          <w:rStyle w:val="FootnoteReference"/>
        </w:rPr>
        <w:footnoteRef/>
      </w:r>
      <w:r>
        <w:t xml:space="preserve"> </w:t>
      </w:r>
      <w:r>
        <w:fldChar w:fldCharType="begin"/>
      </w:r>
      <w:r>
        <w:instrText xml:space="preserve"> ADDIN ZOTERO_ITEM CSL_CITATION {"citationID":"6P7uzkAd","properties":{"formattedCitation":"Stef Vandeginste, \\uc0\\u171{}\\uc0\\u160{}Th\\uc0\\u233{}orie Consociative et Partage Du Pouvoir Au Burundi\\uc0\\u160{}\\uc0\\u187{}, {\\i{}IDEAS Working Paper Series from RePEc}, 2006, 27, http://search.proquest.com/docview/1698599004/?pq-origsite=primo.","plainCitation":"Stef Vandeginste, « Théorie Consociative et Partage Du Pouvoir Au Burundi », IDEAS Working Paper Series from RePEc, 2006, 27, http://search.proquest.com/docview/1698599004/?pq-origsite=primo.","dontUpdate":true,"noteIndex":28},"citationItems":[{"id":1873,"uris":["http://zotero.org/users/3679831/items/S8L376S4"],"uri":["http://zotero.org/users/3679831/items/S8L376S4"],"itemData":{"id":1873,"type":"article-journal","title":"Théorie Consociative et Partage du Pouvoir au Burundi","container-title":"IDEAS Working Paper Series from RePEc","source":"uottawa-primo.com","abstract":"In order to put an end to a lengthy process of political transition, involving years of political violence, Burundi has introduced a system of power-sharing that is largely consociational. This article analyses the political and institutional reforms introduced by the Arusha Peace Agreement signed in 2000 and the Constitution of 2005 in the light of the new political landscape resulting from the 2005 elections. These have been primarily marked by the victory of the former rebellion CNDD-FDD and the election of its leader Pierre Nkurunziza as the new president. Power-sharing in Burundi is strongly based on consociational pillars, such as the grand coalition, proportionality, veto rights and elite cooperation. Although the literature on consociationalism allows for some optimism that Burundi will benefit from a period of political stability, several problems and challenges remain. These are, amongst other things, related to the largely externally driven nature of Burundi's power-sharing arrangement.","URL":"http://search.proquest.com/docview/1698599004/?pq-origsite=primo","language":"eng","author":[{"family":"Vandeginste","given":"Stef"}],"issued":{"date-parts":[["2006"]]},"accessed":{"date-parts":[["2019",1,31]]}},"locator":"27","label":"page"}],"schema":"https://github.com/citation-style-language/schema/raw/master/csl-citation.json"} </w:instrText>
      </w:r>
      <w:r>
        <w:fldChar w:fldCharType="separate"/>
      </w:r>
      <w:r w:rsidRPr="00C36950">
        <w:rPr>
          <w:rFonts w:ascii="Calibri" w:hAnsi="Calibri" w:cs="Calibri"/>
          <w:szCs w:val="24"/>
        </w:rPr>
        <w:t xml:space="preserve">Stef Vandeginste, « Théorie Consociative et Partage Du Pouvoir Au Burundi », </w:t>
      </w:r>
      <w:r w:rsidRPr="00C36950">
        <w:rPr>
          <w:rFonts w:ascii="Calibri" w:hAnsi="Calibri" w:cs="Calibri"/>
          <w:i/>
          <w:iCs/>
          <w:szCs w:val="24"/>
        </w:rPr>
        <w:t>IDEAS Working Paper Series from RePEc</w:t>
      </w:r>
      <w:r w:rsidRPr="00C36950">
        <w:rPr>
          <w:rFonts w:ascii="Calibri" w:hAnsi="Calibri" w:cs="Calibri"/>
          <w:szCs w:val="24"/>
        </w:rPr>
        <w:t>, 2006, 27.</w:t>
      </w:r>
      <w:r>
        <w:fldChar w:fldCharType="end"/>
      </w:r>
    </w:p>
  </w:footnote>
  <w:footnote w:id="28">
    <w:p w14:paraId="70C39756" w14:textId="75B890BE" w:rsidR="006F28E3" w:rsidRDefault="006F28E3" w:rsidP="001905B0">
      <w:pPr>
        <w:pStyle w:val="FootnoteText"/>
      </w:pPr>
      <w:r w:rsidRPr="0026745F">
        <w:rPr>
          <w:rStyle w:val="FootnoteReference"/>
        </w:rPr>
        <w:footnoteRef/>
      </w:r>
      <w:r>
        <w:t xml:space="preserve"> </w:t>
      </w:r>
      <w:r>
        <w:fldChar w:fldCharType="begin"/>
      </w:r>
      <w:r>
        <w:instrText xml:space="preserve"> ADDIN ZOTERO_ITEM CSL_CITATION {"citationID":"zMmHRtx7","properties":{"formattedCitation":"Vandeginste, \\uc0\\u171{}\\uc0\\u160{}Le processus de justice transitionnelle au Burundi\\uc0\\u160{}\\uc0\\u187{}, 2009, 597.","plainCitation":"Vandeginste, « Le processus de justice transitionnelle au Burundi », 2009, 597.","noteIndex":28},"citationItems":[{"id":1836,"uris":["http://zotero.org/users/3679831/items/8I4DPZHZ"],"uri":["http://zotero.org/users/3679831/items/8I4DPZHZ"],"itemData":{"id":1836,"type":"article-journal","title":"Le processus de justice transitionnelle au Burundi","container-title":"Droit et societe","page":"591-611","volume":"n° 73","issue":"3","source":"www.cairn.info","abstract":"&lt;titre traitementparticulier=\"non\"&gt;Résumé&lt;/titre&gt;L’article explique pourquoi, seize ans après l’assassinat du président Ndadaye et le déclenchement de massacres et d’une guerre civile, aucun mécanisme de justice transitionnelle n’a encore été établi au Burundi alors que l’ONU et la société civile le demandent depuis longtemps et que l’accord d’Arusha pour la paix et la réconciliation de 2000, conformément aux nouvelles normes globales, prévoyait la création d’un tribunal pénal international et d’une commission de vérité. Les raisons tiennent au contexte politique national : la transition politique est fondée sur un compromis ; les élites politiques et militaires ont intérêt à former une coalition de l’oubli ; enfin, la société civile au Burundi manque des moyens qui lui permettraient d’imposer au politique son agenda de justice transitionnelle.Burundi – Contexte politique national – Justice transitionnelle – Normes globales.","ISSN":"0769-3362","language":"fr","author":[{"family":"Vandeginste","given":"Stef"}],"issued":{"date-parts":[["2009"]]}},"locator":"597","label":"page"}],"schema":"https://github.com/citation-style-language/schema/raw/master/csl-citation.json"} </w:instrText>
      </w:r>
      <w:r>
        <w:fldChar w:fldCharType="separate"/>
      </w:r>
      <w:r w:rsidRPr="007F522D">
        <w:rPr>
          <w:rFonts w:ascii="Calibri" w:hAnsi="Calibri" w:cs="Calibri"/>
          <w:szCs w:val="24"/>
        </w:rPr>
        <w:t>Vandeginste, « Le processus de justice transitionnelle au Burundi », 2009, 597.</w:t>
      </w:r>
      <w:r>
        <w:fldChar w:fldCharType="end"/>
      </w:r>
    </w:p>
  </w:footnote>
  <w:footnote w:id="29">
    <w:p w14:paraId="1A91B59B" w14:textId="64B7DFCB" w:rsidR="006F28E3" w:rsidRPr="00CD6E75" w:rsidRDefault="006F28E3" w:rsidP="001905B0">
      <w:pPr>
        <w:jc w:val="both"/>
        <w:rPr>
          <w:rFonts w:ascii="Calibri" w:hAnsi="Calibri" w:cs="Calibri"/>
          <w:sz w:val="20"/>
          <w:szCs w:val="24"/>
        </w:rPr>
      </w:pPr>
      <w:r w:rsidRPr="0026745F">
        <w:rPr>
          <w:rStyle w:val="FootnoteReference"/>
        </w:rPr>
        <w:footnoteRef/>
      </w:r>
      <w:r>
        <w:t xml:space="preserve"> </w:t>
      </w:r>
      <w:r w:rsidRPr="00CD6E75">
        <w:rPr>
          <w:rFonts w:ascii="Calibri" w:hAnsi="Calibri" w:cs="Calibri"/>
          <w:sz w:val="20"/>
          <w:szCs w:val="24"/>
        </w:rPr>
        <w:t>Comme le dit Monseigneur Jean-Louis NAHIMANA, son président,</w:t>
      </w:r>
      <w:r>
        <w:rPr>
          <w:rFonts w:ascii="Calibri" w:hAnsi="Calibri" w:cs="Calibri"/>
          <w:sz w:val="20"/>
          <w:szCs w:val="24"/>
        </w:rPr>
        <w:t xml:space="preserve"> cela signifie que </w:t>
      </w:r>
      <w:r w:rsidRPr="00CD6E75">
        <w:rPr>
          <w:rFonts w:ascii="Calibri" w:hAnsi="Calibri" w:cs="Calibri"/>
          <w:sz w:val="20"/>
          <w:szCs w:val="24"/>
        </w:rPr>
        <w:t>« la responsabilité que va établir la Commission n’est pas de nature pénale</w:t>
      </w:r>
      <w:r>
        <w:rPr>
          <w:rFonts w:ascii="Calibri" w:hAnsi="Calibri" w:cs="Calibri"/>
          <w:sz w:val="20"/>
          <w:szCs w:val="24"/>
        </w:rPr>
        <w:t xml:space="preserve"> ». Cf. </w:t>
      </w:r>
      <w:r>
        <w:t xml:space="preserve">Université ANTWERPEN, </w:t>
      </w:r>
      <w:r>
        <w:rPr>
          <w:rFonts w:ascii="Calibri" w:hAnsi="Calibri" w:cs="Calibri"/>
          <w:sz w:val="20"/>
          <w:szCs w:val="24"/>
        </w:rPr>
        <w:fldChar w:fldCharType="begin"/>
      </w:r>
      <w:r>
        <w:rPr>
          <w:rFonts w:ascii="Calibri" w:hAnsi="Calibri" w:cs="Calibri"/>
          <w:sz w:val="20"/>
          <w:szCs w:val="24"/>
        </w:rPr>
        <w:instrText xml:space="preserve"> ADDIN ZOTERO_ITEM CSL_CITATION {"citationID":"GmjBeWqq","properties":{"formattedCitation":"\\uc0\\u171{}\\uc0\\u160{}CVR et Tribunal Sp\\uc0\\u233{}cial - Droit, pouvoir et paix au Burundi - University of Antwerp\\uc0\\u160{}\\uc0\\u187{}, consult\\uc0\\u233{} le 9 janvier 2019, https://www.uantwerpen.be/en/projects/centre-des-grands-lacs-afrique/droit-pouvoir-paix-burundi/justice-transitionnelle/cvr-et-tribunal-special/.","plainCitation":"« CVR et Tribunal Spécial - Droit, pouvoir et paix au Burundi - University of Antwerp », consulté le 9 janvier 2019, https://www.uantwerpen.be/en/projects/centre-des-grands-lacs-afrique/droit-pouvoir-paix-burundi/justice-transitionnelle/cvr-et-tribunal-special/.","dontUpdate":true,"noteIndex":29},"citationItems":[{"id":1831,"uris":["http://zotero.org/users/3679831/items/YGJ97NGD"],"uri":["http://zotero.org/users/3679831/items/YGJ97NGD"],"itemData":{"id":1831,"type":"webpage","title":"CVR et Tribunal Spécial - Droit, pouvoir et paix au Burundi - University of Antwerp","URL":"https://www.uantwerpen.be/en/projects/centre-des-grands-lacs-afrique/droit-pouvoir-paix-burundi/justice-transitionnelle/cvr-et-tribunal-special/","accessed":{"date-parts":[["2019",1,9]]}}}],"schema":"https://github.com/citation-style-language/schema/raw/master/csl-citation.json"} </w:instrText>
      </w:r>
      <w:r>
        <w:rPr>
          <w:rFonts w:ascii="Calibri" w:hAnsi="Calibri" w:cs="Calibri"/>
          <w:sz w:val="20"/>
          <w:szCs w:val="24"/>
        </w:rPr>
        <w:fldChar w:fldCharType="separate"/>
      </w:r>
      <w:r w:rsidRPr="00B23C9B">
        <w:rPr>
          <w:rFonts w:ascii="Calibri" w:hAnsi="Calibri" w:cs="Calibri"/>
          <w:sz w:val="20"/>
          <w:szCs w:val="24"/>
        </w:rPr>
        <w:t>« CVR et Tribunal Spécial - Droit, pouvoir et paix au Burundi - University of Antwerp », consulté le 9 janvier 2019</w:t>
      </w:r>
      <w:r>
        <w:rPr>
          <w:rFonts w:ascii="Calibri" w:hAnsi="Calibri" w:cs="Calibri"/>
          <w:sz w:val="20"/>
          <w:szCs w:val="24"/>
        </w:rPr>
        <w:fldChar w:fldCharType="end"/>
      </w:r>
      <w:r>
        <w:rPr>
          <w:rFonts w:ascii="Calibri" w:hAnsi="Calibri" w:cs="Calibri"/>
          <w:sz w:val="20"/>
          <w:szCs w:val="24"/>
        </w:rPr>
        <w:t xml:space="preserve"> </w:t>
      </w:r>
    </w:p>
  </w:footnote>
  <w:footnote w:id="30">
    <w:p w14:paraId="62F0BC6B" w14:textId="418B22F4" w:rsidR="006F28E3" w:rsidRDefault="006F28E3" w:rsidP="001905B0">
      <w:pPr>
        <w:pStyle w:val="FootnoteText"/>
      </w:pPr>
      <w:r w:rsidRPr="0026745F">
        <w:rPr>
          <w:rStyle w:val="FootnoteReference"/>
        </w:rPr>
        <w:footnoteRef/>
      </w:r>
      <w:r>
        <w:t xml:space="preserve"> </w:t>
      </w:r>
      <w:r>
        <w:fldChar w:fldCharType="begin"/>
      </w:r>
      <w:r>
        <w:instrText xml:space="preserve"> ADDIN ZOTERO_ITEM CSL_CITATION {"citationID":"2REJs1W8","properties":{"formattedCitation":"Vandeginste, \\uc0\\u171{}\\uc0\\u160{}Le processus de justice transitionnelle au Burundi\\uc0\\u160{}\\uc0\\u187{}, 2009, 598.","plainCitation":"Vandeginste, « Le processus de justice transitionnelle au Burundi », 2009, 598.","noteIndex":30},"citationItems":[{"id":1836,"uris":["http://zotero.org/users/3679831/items/8I4DPZHZ"],"uri":["http://zotero.org/users/3679831/items/8I4DPZHZ"],"itemData":{"id":1836,"type":"article-journal","title":"Le processus de justice transitionnelle au Burundi","container-title":"Droit et societe","page":"591-611","volume":"n° 73","issue":"3","source":"www.cairn.info","abstract":"&lt;titre traitementparticulier=\"non\"&gt;Résumé&lt;/titre&gt;L’article explique pourquoi, seize ans après l’assassinat du président Ndadaye et le déclenchement de massacres et d’une guerre civile, aucun mécanisme de justice transitionnelle n’a encore été établi au Burundi alors que l’ONU et la société civile le demandent depuis longtemps et que l’accord d’Arusha pour la paix et la réconciliation de 2000, conformément aux nouvelles normes globales, prévoyait la création d’un tribunal pénal international et d’une commission de vérité. Les raisons tiennent au contexte politique national : la transition politique est fondée sur un compromis ; les élites politiques et militaires ont intérêt à former une coalition de l’oubli ; enfin, la société civile au Burundi manque des moyens qui lui permettraient d’imposer au politique son agenda de justice transitionnelle.Burundi – Contexte politique national – Justice transitionnelle – Normes globales.","ISSN":"0769-3362","language":"fr","author":[{"family":"Vandeginste","given":"Stef"}],"issued":{"date-parts":[["2009"]]}},"locator":"598","label":"page"}],"schema":"https://github.com/citation-style-language/schema/raw/master/csl-citation.json"} </w:instrText>
      </w:r>
      <w:r>
        <w:fldChar w:fldCharType="separate"/>
      </w:r>
      <w:r w:rsidRPr="007F522D">
        <w:rPr>
          <w:rFonts w:ascii="Calibri" w:hAnsi="Calibri" w:cs="Calibri"/>
          <w:szCs w:val="24"/>
        </w:rPr>
        <w:t>Vandeginste, « Le processus de justice transitionnelle au Burundi », 2009, 598.</w:t>
      </w:r>
      <w:r>
        <w:fldChar w:fldCharType="end"/>
      </w:r>
    </w:p>
  </w:footnote>
  <w:footnote w:id="31">
    <w:p w14:paraId="48794F27" w14:textId="793C1257" w:rsidR="006F28E3" w:rsidRPr="00EE64C5" w:rsidRDefault="006F28E3" w:rsidP="001905B0">
      <w:pPr>
        <w:pStyle w:val="FootnoteText"/>
        <w:rPr>
          <w:lang w:val="en-CA"/>
        </w:rPr>
      </w:pPr>
      <w:r w:rsidRPr="0026745F">
        <w:rPr>
          <w:rStyle w:val="FootnoteReference"/>
        </w:rPr>
        <w:footnoteRef/>
      </w:r>
      <w:r w:rsidRPr="00EE64C5">
        <w:rPr>
          <w:lang w:val="en-CA"/>
        </w:rPr>
        <w:t xml:space="preserve"> </w:t>
      </w:r>
      <w:r>
        <w:fldChar w:fldCharType="begin"/>
      </w:r>
      <w:r>
        <w:rPr>
          <w:lang w:val="en-CA"/>
        </w:rPr>
        <w:instrText xml:space="preserve"> ADDIN ZOTERO_ITEM CSL_CITATION {"citationID":"18GceWLd","properties":{"formattedCitation":"Vandeginste, 599.","plainCitation":"Vandeginste, 599.","noteIndex":31},"citationItems":[{"id":1836,"uris":["http://zotero.org/users/3679831/items/8I4DPZHZ"],"uri":["http://zotero.org/users/3679831/items/8I4DPZHZ"],"itemData":{"id":1836,"type":"article-journal","title":"Le processus de justice transitionnelle au Burundi","container-title":"Droit et societe","page":"591-611","volume":"n° 73","issue":"3","source":"www.cairn.info","abstract":"&lt;titre traitementparticulier=\"non\"&gt;Résumé&lt;/titre&gt;L’article explique pourquoi, seize ans après l’assassinat du président Ndadaye et le déclenchement de massacres et d’une guerre civile, aucun mécanisme de justice transitionnelle n’a encore été établi au Burundi alors que l’ONU et la société civile le demandent depuis longtemps et que l’accord d’Arusha pour la paix et la réconciliation de 2000, conformément aux nouvelles normes globales, prévoyait la création d’un tribunal pénal international et d’une commission de vérité. Les raisons tiennent au contexte politique national : la transition politique est fondée sur un compromis ; les élites politiques et militaires ont intérêt à former une coalition de l’oubli ; enfin, la société civile au Burundi manque des moyens qui lui permettraient d’imposer au politique son agenda de justice transitionnelle.Burundi – Contexte politique national – Justice transitionnelle – Normes globales.","ISSN":"0769-3362","language":"fr","author":[{"family":"Vandeginste","given":"Stef"}],"issued":{"date-parts":[["2009"]]}},"locator":"599","label":"page"}],"schema":"https://github.com/citation-style-language/schema/raw/master/csl-citation.json"} </w:instrText>
      </w:r>
      <w:r>
        <w:fldChar w:fldCharType="separate"/>
      </w:r>
      <w:r w:rsidRPr="00EE64C5">
        <w:rPr>
          <w:rFonts w:ascii="Calibri" w:hAnsi="Calibri" w:cs="Calibri"/>
          <w:lang w:val="en-CA"/>
        </w:rPr>
        <w:t>Vandeginste, 599.</w:t>
      </w:r>
      <w:r>
        <w:fldChar w:fldCharType="end"/>
      </w:r>
    </w:p>
  </w:footnote>
  <w:footnote w:id="32">
    <w:p w14:paraId="70DE75CA" w14:textId="15CACA15" w:rsidR="006F28E3" w:rsidRPr="00EE64C5" w:rsidRDefault="006F28E3" w:rsidP="001905B0">
      <w:pPr>
        <w:pStyle w:val="FootnoteText"/>
        <w:rPr>
          <w:lang w:val="en-CA"/>
        </w:rPr>
      </w:pPr>
      <w:r w:rsidRPr="0026745F">
        <w:rPr>
          <w:rStyle w:val="FootnoteReference"/>
        </w:rPr>
        <w:footnoteRef/>
      </w:r>
      <w:r w:rsidRPr="00EE64C5">
        <w:rPr>
          <w:lang w:val="en-CA"/>
        </w:rPr>
        <w:t xml:space="preserve"> </w:t>
      </w:r>
      <w:r>
        <w:fldChar w:fldCharType="begin"/>
      </w:r>
      <w:r>
        <w:rPr>
          <w:lang w:val="en-CA"/>
        </w:rPr>
        <w:instrText xml:space="preserve"> ADDIN ZOTERO_ITEM CSL_CITATION {"citationID":"KZpInRzL","properties":{"formattedCitation":"Vandeginste, 598.","plainCitation":"Vandeginste, 598.","dontUpdate":true,"noteIndex":32},"citationItems":[{"id":1836,"uris":["http://zotero.org/users/3679831/items/8I4DPZHZ"],"uri":["http://zotero.org/users/3679831/items/8I4DPZHZ"],"itemData":{"id":1836,"type":"article-journal","title":"Le processus de justice transitionnelle au Burundi","container-title":"Droit et societe","page":"591-611","volume":"n° 73","issue":"3","source":"www.cairn.info","abstract":"&lt;titre traitementparticulier=\"non\"&gt;Résumé&lt;/titre&gt;L’article explique pourquoi, seize ans après l’assassinat du président Ndadaye et le déclenchement de massacres et d’une guerre civile, aucun mécanisme de justice transitionnelle n’a encore été établi au Burundi alors que l’ONU et la société civile le demandent depuis longtemps et que l’accord d’Arusha pour la paix et la réconciliation de 2000, conformément aux nouvelles normes globales, prévoyait la création d’un tribunal pénal international et d’une commission de vérité. Les raisons tiennent au contexte politique national : la transition politique est fondée sur un compromis ; les élites politiques et militaires ont intérêt à former une coalition de l’oubli ; enfin, la société civile au Burundi manque des moyens qui lui permettraient d’imposer au politique son agenda de justice transitionnelle.Burundi – Contexte politique national – Justice transitionnelle – Normes globales.","ISSN":"0769-3362","language":"fr","author":[{"family":"Vandeginste","given":"Stef"}],"issued":{"date-parts":[["2009"]]}},"locator":"598","label":"page"}],"schema":"https://github.com/citation-style-language/schema/raw/master/csl-citation.json"} </w:instrText>
      </w:r>
      <w:r>
        <w:fldChar w:fldCharType="separate"/>
      </w:r>
      <w:r w:rsidRPr="00EE64C5">
        <w:rPr>
          <w:rFonts w:ascii="Calibri" w:hAnsi="Calibri" w:cs="Calibri"/>
          <w:lang w:val="en-CA"/>
        </w:rPr>
        <w:t>Vandeginste, 598.</w:t>
      </w:r>
      <w:r>
        <w:fldChar w:fldCharType="end"/>
      </w:r>
    </w:p>
  </w:footnote>
  <w:footnote w:id="33">
    <w:p w14:paraId="2159B26E" w14:textId="77777777" w:rsidR="006F28E3" w:rsidRPr="00EE64C5" w:rsidRDefault="006F28E3" w:rsidP="001905B0">
      <w:pPr>
        <w:pStyle w:val="FootnoteText"/>
        <w:rPr>
          <w:lang w:val="en-CA"/>
        </w:rPr>
      </w:pPr>
      <w:r w:rsidRPr="0026745F">
        <w:rPr>
          <w:rStyle w:val="FootnoteReference"/>
        </w:rPr>
        <w:footnoteRef/>
      </w:r>
      <w:r w:rsidRPr="00EE64C5">
        <w:rPr>
          <w:lang w:val="en-CA"/>
        </w:rPr>
        <w:t xml:space="preserve"> </w:t>
      </w:r>
      <w:r w:rsidRPr="00EE64C5">
        <w:rPr>
          <w:rFonts w:ascii="Calibri" w:hAnsi="Calibri" w:cs="Calibri"/>
          <w:lang w:val="en-CA"/>
        </w:rPr>
        <w:t>Vandeginste, 598.</w:t>
      </w:r>
    </w:p>
  </w:footnote>
  <w:footnote w:id="34">
    <w:p w14:paraId="091EFD1B" w14:textId="77777777" w:rsidR="006F28E3" w:rsidRPr="00EE64C5" w:rsidRDefault="006F28E3" w:rsidP="001905B0">
      <w:pPr>
        <w:pStyle w:val="FootnoteText"/>
        <w:rPr>
          <w:lang w:val="en-CA"/>
        </w:rPr>
      </w:pPr>
      <w:r w:rsidRPr="0026745F">
        <w:rPr>
          <w:rStyle w:val="FootnoteReference"/>
        </w:rPr>
        <w:footnoteRef/>
      </w:r>
      <w:r w:rsidRPr="00EE64C5">
        <w:rPr>
          <w:lang w:val="en-CA"/>
        </w:rPr>
        <w:t xml:space="preserve"> </w:t>
      </w:r>
      <w:r w:rsidRPr="00EE64C5">
        <w:rPr>
          <w:rFonts w:ascii="Calibri" w:hAnsi="Calibri" w:cs="Calibri"/>
          <w:lang w:val="en-CA"/>
        </w:rPr>
        <w:t>Vandeginste, 598.</w:t>
      </w:r>
    </w:p>
  </w:footnote>
  <w:footnote w:id="35">
    <w:p w14:paraId="04E0B1CE" w14:textId="2123C48E" w:rsidR="006F28E3" w:rsidRPr="00EE64C5" w:rsidRDefault="006F28E3" w:rsidP="001905B0">
      <w:pPr>
        <w:pStyle w:val="FootnoteText"/>
        <w:rPr>
          <w:lang w:val="en-CA"/>
        </w:rPr>
      </w:pPr>
      <w:r w:rsidRPr="0026745F">
        <w:rPr>
          <w:rStyle w:val="FootnoteReference"/>
        </w:rPr>
        <w:footnoteRef/>
      </w:r>
      <w:r>
        <w:fldChar w:fldCharType="begin"/>
      </w:r>
      <w:r>
        <w:rPr>
          <w:lang w:val="en-CA"/>
        </w:rPr>
        <w:instrText xml:space="preserve"> ADDIN ZOTERO_ITEM CSL_CITATION {"citationID":"gR8yrYk4","properties":{"formattedCitation":"Vandeginste, 600.","plainCitation":"Vandeginste, 600.","dontUpdate":true,"noteIndex":35},"citationItems":[{"id":1836,"uris":["http://zotero.org/users/3679831/items/8I4DPZHZ"],"uri":["http://zotero.org/users/3679831/items/8I4DPZHZ"],"itemData":{"id":1836,"type":"article-journal","title":"Le processus de justice transitionnelle au Burundi","container-title":"Droit et societe","page":"591-611","volume":"n° 73","issue":"3","source":"www.cairn.info","abstract":"&lt;titre traitementparticulier=\"non\"&gt;Résumé&lt;/titre&gt;L’article explique pourquoi, seize ans après l’assassinat du président Ndadaye et le déclenchement de massacres et d’une guerre civile, aucun mécanisme de justice transitionnelle n’a encore été établi au Burundi alors que l’ONU et la société civile le demandent depuis longtemps et que l’accord d’Arusha pour la paix et la réconciliation de 2000, conformément aux nouvelles normes globales, prévoyait la création d’un tribunal pénal international et d’une commission de vérité. Les raisons tiennent au contexte politique national : la transition politique est fondée sur un compromis ; les élites politiques et militaires ont intérêt à former une coalition de l’oubli ; enfin, la société civile au Burundi manque des moyens qui lui permettraient d’imposer au politique son agenda de justice transitionnelle.Burundi – Contexte politique national – Justice transitionnelle – Normes globales.","ISSN":"0769-3362","language":"fr","author":[{"family":"Vandeginste","given":"Stef"}],"issued":{"date-parts":[["2009"]]}},"locator":"600","label":"page"}],"schema":"https://github.com/citation-style-language/schema/raw/master/csl-citation.json"} </w:instrText>
      </w:r>
      <w:r>
        <w:fldChar w:fldCharType="separate"/>
      </w:r>
      <w:r w:rsidRPr="00EE64C5">
        <w:rPr>
          <w:rFonts w:ascii="Calibri" w:hAnsi="Calibri" w:cs="Calibri"/>
          <w:lang w:val="en-CA"/>
        </w:rPr>
        <w:t xml:space="preserve"> Vandeginste, 600.</w:t>
      </w:r>
      <w:r>
        <w:fldChar w:fldCharType="end"/>
      </w:r>
    </w:p>
  </w:footnote>
  <w:footnote w:id="36">
    <w:p w14:paraId="3B11D9C5" w14:textId="77777777" w:rsidR="006F28E3" w:rsidRPr="0076221C" w:rsidRDefault="006F28E3" w:rsidP="001905B0">
      <w:pPr>
        <w:pStyle w:val="FootnoteText"/>
      </w:pPr>
      <w:r w:rsidRPr="0026745F">
        <w:rPr>
          <w:rStyle w:val="FootnoteReference"/>
        </w:rPr>
        <w:footnoteRef/>
      </w:r>
      <w:r w:rsidRPr="0076221C">
        <w:t xml:space="preserve"> </w:t>
      </w:r>
      <w:r w:rsidRPr="0076221C">
        <w:rPr>
          <w:rFonts w:ascii="Calibri" w:hAnsi="Calibri" w:cs="Calibri"/>
        </w:rPr>
        <w:t>Vandeginste, 600.</w:t>
      </w:r>
    </w:p>
  </w:footnote>
  <w:footnote w:id="37">
    <w:p w14:paraId="36DC1B4E" w14:textId="77777777" w:rsidR="006F28E3" w:rsidRPr="00CD4F8E" w:rsidRDefault="006F28E3" w:rsidP="001905B0">
      <w:pPr>
        <w:pStyle w:val="FootnoteText"/>
      </w:pPr>
      <w:r w:rsidRPr="0026745F">
        <w:rPr>
          <w:rStyle w:val="FootnoteReference"/>
        </w:rPr>
        <w:footnoteRef/>
      </w:r>
      <w:r w:rsidRPr="00CD4F8E">
        <w:t xml:space="preserve"> </w:t>
      </w:r>
      <w:r w:rsidRPr="0076221C">
        <w:rPr>
          <w:rFonts w:ascii="Calibri" w:hAnsi="Calibri" w:cs="Calibri"/>
        </w:rPr>
        <w:t xml:space="preserve">Vandeginste, </w:t>
      </w:r>
      <w:r w:rsidRPr="00CD4F8E">
        <w:t xml:space="preserve">602. </w:t>
      </w:r>
    </w:p>
  </w:footnote>
  <w:footnote w:id="38">
    <w:p w14:paraId="351056C7" w14:textId="79D89FEC" w:rsidR="006F28E3" w:rsidRDefault="006F28E3" w:rsidP="001905B0">
      <w:pPr>
        <w:pStyle w:val="FootnoteText"/>
        <w:jc w:val="both"/>
      </w:pPr>
      <w:r w:rsidRPr="0026745F">
        <w:rPr>
          <w:rStyle w:val="FootnoteReference"/>
        </w:rPr>
        <w:footnoteRef/>
      </w:r>
      <w:r>
        <w:t xml:space="preserve"> </w:t>
      </w:r>
      <w:r>
        <w:fldChar w:fldCharType="begin"/>
      </w:r>
      <w:r>
        <w:instrText xml:space="preserve"> ADDIN ZOTERO_ITEM CSL_CITATION {"citationID":"pimtqqrM","properties":{"formattedCitation":"\\uc0\\u171{}\\uc0\\u160{}Le processus de justice transitionnelle au Burundi | Cairn.info\\uc0\\u160{}\\uc0\\u187{}, 601, consult\\uc0\\u233{} le 12 f\\uc0\\u233{}vrier 2018, https://www.cairn.info/revue-droit-et-societe-2009-3-p-591.htm.","plainCitation":"« Le processus de justice transitionnelle au Burundi | Cairn.info », 601, consulté le 12 février 2018, https://www.cairn.info/revue-droit-et-societe-2009-3-p-591.htm.","dontUpdate":true,"noteIndex":39},"citationItems":[{"id":1245,"uris":["http://zotero.org/users/3679831/items/2B839KPT"],"uri":["http://zotero.org/users/3679831/items/2B839KPT"],"itemData":{"id":1245,"type":"webpage","title":"Le processus de justice transitionnelle au Burundi | Cairn.info","URL":"https://www.cairn.info/revue-droit-et-societe-2009-3-p-591.htm","accessed":{"date-parts":[["2018",2,12]]}},"locator":"601","label":"page"}],"schema":"https://github.com/citation-style-language/schema/raw/master/csl-citation.json"} </w:instrText>
      </w:r>
      <w:r>
        <w:fldChar w:fldCharType="separate"/>
      </w:r>
      <w:r w:rsidRPr="0076221C">
        <w:rPr>
          <w:rFonts w:ascii="Calibri" w:hAnsi="Calibri" w:cs="Calibri"/>
        </w:rPr>
        <w:t xml:space="preserve"> Vandeginste</w:t>
      </w:r>
      <w:r w:rsidRPr="00710336">
        <w:rPr>
          <w:rFonts w:ascii="Calibri" w:hAnsi="Calibri" w:cs="Calibri"/>
          <w:szCs w:val="24"/>
        </w:rPr>
        <w:t>, 601</w:t>
      </w:r>
      <w:r>
        <w:rPr>
          <w:rFonts w:ascii="Calibri" w:hAnsi="Calibri" w:cs="Calibri"/>
          <w:szCs w:val="24"/>
        </w:rPr>
        <w:t>.</w:t>
      </w:r>
      <w:r w:rsidRPr="00710336">
        <w:rPr>
          <w:rFonts w:ascii="Calibri" w:hAnsi="Calibri" w:cs="Calibri"/>
          <w:szCs w:val="24"/>
        </w:rPr>
        <w:t xml:space="preserve"> </w:t>
      </w:r>
      <w:r>
        <w:fldChar w:fldCharType="end"/>
      </w:r>
    </w:p>
  </w:footnote>
  <w:footnote w:id="39">
    <w:p w14:paraId="4EDDE928" w14:textId="67DA0F87" w:rsidR="006F28E3" w:rsidRDefault="006F28E3" w:rsidP="001905B0">
      <w:pPr>
        <w:pStyle w:val="FootnoteText"/>
      </w:pPr>
      <w:r w:rsidRPr="0026745F">
        <w:rPr>
          <w:rStyle w:val="FootnoteReference"/>
        </w:rPr>
        <w:footnoteRef/>
      </w:r>
      <w:hyperlink r:id="rId1" w:tgtFrame="_blank" w:history="1">
        <w:r w:rsidRPr="00026235">
          <w:t>Déclaration du 10 octobre 2018 du parlement réuni en congrè</w:t>
        </w:r>
      </w:hyperlink>
      <w:r>
        <w:t xml:space="preserve">s. Cf. Université ANTWERPEN, </w:t>
      </w:r>
      <w:r>
        <w:fldChar w:fldCharType="begin"/>
      </w:r>
      <w:r>
        <w:instrText xml:space="preserve"> ADDIN ZOTERO_ITEM CSL_CITATION {"citationID":"ugJGXBGx","properties":{"formattedCitation":"\\uc0\\u171{}\\uc0\\u160{}CVR et Tribunal Sp\\uc0\\u233{}cial - Droit, pouvoir et paix au Burundi - University of Antwerp\\uc0\\u160{}\\uc0\\u187{}, 3.","plainCitation":"« CVR et Tribunal Spécial - Droit, pouvoir et paix au Burundi - University of Antwerp », 3.","noteIndex":39},"citationItems":[{"id":1831,"uris":["http://zotero.org/users/3679831/items/YGJ97NGD"],"uri":["http://zotero.org/users/3679831/items/YGJ97NGD"],"itemData":{"id":1831,"type":"webpage","title":"CVR et Tribunal Spécial - Droit, pouvoir et paix au Burundi - University of Antwerp","URL":"https://www.uantwerpen.be/en/projects/centre-des-grands-lacs-afrique/droit-pouvoir-paix-burundi/justice-transitionnelle/cvr-et-tribunal-special/","accessed":{"date-parts":[["2019",1,9]]}},"locator":"3","label":"page"}],"schema":"https://github.com/citation-style-language/schema/raw/master/csl-citation.json"} </w:instrText>
      </w:r>
      <w:r>
        <w:fldChar w:fldCharType="separate"/>
      </w:r>
      <w:r w:rsidRPr="00026235">
        <w:t>« CVR et Tribunal Spécial - Droit, pouvoir et paix au Burundi - University of Antwerp », 3.</w:t>
      </w:r>
      <w:r>
        <w:fldChar w:fldCharType="end"/>
      </w:r>
    </w:p>
  </w:footnote>
  <w:footnote w:id="40">
    <w:p w14:paraId="32468DB5" w14:textId="772940B9" w:rsidR="006F28E3" w:rsidRPr="00D416D4" w:rsidRDefault="006F28E3" w:rsidP="001905B0">
      <w:pPr>
        <w:jc w:val="both"/>
        <w:rPr>
          <w:rFonts w:ascii="Calibri" w:hAnsi="Calibri" w:cs="Calibri"/>
          <w:sz w:val="20"/>
          <w:szCs w:val="24"/>
        </w:rPr>
      </w:pPr>
      <w:r w:rsidRPr="0026745F">
        <w:rPr>
          <w:rStyle w:val="FootnoteReference"/>
        </w:rPr>
        <w:footnoteRef/>
      </w:r>
      <w:r>
        <w:t xml:space="preserve"> </w:t>
      </w:r>
      <w:r w:rsidRPr="00470E88">
        <w:rPr>
          <w:sz w:val="20"/>
          <w:szCs w:val="20"/>
        </w:rPr>
        <w:t xml:space="preserve">Une des raisons qui pourrait expliquer cette appréhension </w:t>
      </w:r>
      <w:r>
        <w:rPr>
          <w:sz w:val="20"/>
          <w:szCs w:val="20"/>
        </w:rPr>
        <w:t xml:space="preserve">est l’accusation de crimes contre l’humanité commis depuis avril 2015. Voici à ce propos une observation d’une des organisations importantes de la société civile au Burundi, dénommée Forum pour le renforcement de la société civile, FORSC : </w:t>
      </w:r>
      <w:r w:rsidRPr="00F26740">
        <w:rPr>
          <w:sz w:val="20"/>
          <w:szCs w:val="20"/>
        </w:rPr>
        <w:t>« Le lancement officiel des activités de la CVR a coïncidé avec une crise grave. Les crimes commis au Burundi depuis le 26 avril 2015 ont fait objet d’enquête par la commission d’enquête au Burundi qui a conclu avoir de</w:t>
      </w:r>
      <w:r>
        <w:rPr>
          <w:sz w:val="20"/>
          <w:szCs w:val="20"/>
        </w:rPr>
        <w:t>s</w:t>
      </w:r>
      <w:r w:rsidRPr="00F26740">
        <w:rPr>
          <w:sz w:val="20"/>
          <w:szCs w:val="20"/>
        </w:rPr>
        <w:t xml:space="preserve"> raisons de croire que des crimes contre l’humanité ont été commis au Burundi. Considérant la gravité des crimes commis au Burundi, la </w:t>
      </w:r>
      <w:r>
        <w:rPr>
          <w:sz w:val="20"/>
          <w:szCs w:val="20"/>
        </w:rPr>
        <w:t>C</w:t>
      </w:r>
      <w:r w:rsidRPr="00F26740">
        <w:rPr>
          <w:sz w:val="20"/>
          <w:szCs w:val="20"/>
        </w:rPr>
        <w:t xml:space="preserve">our </w:t>
      </w:r>
      <w:r>
        <w:rPr>
          <w:sz w:val="20"/>
          <w:szCs w:val="20"/>
        </w:rPr>
        <w:t>P</w:t>
      </w:r>
      <w:r w:rsidRPr="00F26740">
        <w:rPr>
          <w:sz w:val="20"/>
          <w:szCs w:val="20"/>
        </w:rPr>
        <w:t xml:space="preserve">énale </w:t>
      </w:r>
      <w:r>
        <w:rPr>
          <w:sz w:val="20"/>
          <w:szCs w:val="20"/>
        </w:rPr>
        <w:t>I</w:t>
      </w:r>
      <w:r w:rsidRPr="00F26740">
        <w:rPr>
          <w:sz w:val="20"/>
          <w:szCs w:val="20"/>
        </w:rPr>
        <w:t xml:space="preserve">nternationale </w:t>
      </w:r>
      <w:r>
        <w:rPr>
          <w:sz w:val="20"/>
          <w:szCs w:val="20"/>
        </w:rPr>
        <w:t xml:space="preserve">(CPI) </w:t>
      </w:r>
      <w:r w:rsidRPr="00F26740">
        <w:rPr>
          <w:sz w:val="20"/>
          <w:szCs w:val="20"/>
        </w:rPr>
        <w:t>a également donné l’autorisation au Procureur de la CPI d’ouvrir une enquête dans la situation du Burundi »</w:t>
      </w:r>
      <w:r>
        <w:rPr>
          <w:sz w:val="20"/>
          <w:szCs w:val="20"/>
        </w:rPr>
        <w:t xml:space="preserve">. </w:t>
      </w:r>
      <w:r w:rsidRPr="00F26740">
        <w:rPr>
          <w:sz w:val="20"/>
          <w:szCs w:val="20"/>
        </w:rPr>
        <w:fldChar w:fldCharType="begin"/>
      </w:r>
      <w:r>
        <w:rPr>
          <w:sz w:val="20"/>
          <w:szCs w:val="20"/>
        </w:rPr>
        <w:instrText xml:space="preserve"> ADDIN ZOTERO_ITEM CSL_CITATION {"citationID":"AireHaTE","properties":{"formattedCitation":"FORUM POUR LE RENFORCEMENT DE LA SOCIETE CIVILE, \\uc0\\u171{}\\uc0\\u160{}Trois ans depuis sa cr\\uc0\\u233{}ation, la CVR  effectue un travail purement pr\\uc0\\u233{}paratoire.\\uc0\\u160{}\\uc0\\u187{}, (Rapport, novembre 2017), 3.","plainCitation":"FORUM POUR LE RENFORCEMENT DE LA SOCIETE CIVILE, « Trois ans depuis sa création, la CVR  effectue un travail purement préparatoire. », (Rapport, novembre 2017), 3.","dontUpdate":true,"noteIndex":40},"citationItems":[{"id":1847,"uris":["http://zotero.org/users/3679831/items/7AFRJM4W"],"uri":["http://zotero.org/users/3679831/items/7AFRJM4W"],"itemData":{"id":1847,"type":"speech","title":"Trois ans depuis sa création, la CVR  effectue un travail purement préparatoire.","genre":"Rapport","author":[{"literal":"FORUM POUR LE RENFORCEMENT DE LA SOCIETE CIVILE"}],"issued":{"date-parts":[["2017",11]]}},"locator":"3","label":"page"}],"schema":"https://github.com/citation-style-language/schema/raw/master/csl-citation.json"} </w:instrText>
      </w:r>
      <w:r w:rsidRPr="00F26740">
        <w:rPr>
          <w:sz w:val="20"/>
          <w:szCs w:val="20"/>
        </w:rPr>
        <w:fldChar w:fldCharType="separate"/>
      </w:r>
      <w:r>
        <w:rPr>
          <w:rFonts w:ascii="Calibri" w:hAnsi="Calibri" w:cs="Calibri"/>
          <w:sz w:val="20"/>
          <w:szCs w:val="24"/>
        </w:rPr>
        <w:t>F</w:t>
      </w:r>
      <w:r w:rsidRPr="00B23C9B">
        <w:rPr>
          <w:rFonts w:ascii="Calibri" w:hAnsi="Calibri" w:cs="Calibri"/>
          <w:sz w:val="20"/>
          <w:szCs w:val="24"/>
        </w:rPr>
        <w:t xml:space="preserve">orum pour le renforcement de la société civile, « trois ans depuis sa création, la </w:t>
      </w:r>
      <w:r>
        <w:rPr>
          <w:rFonts w:ascii="Calibri" w:hAnsi="Calibri" w:cs="Calibri"/>
          <w:sz w:val="20"/>
          <w:szCs w:val="24"/>
        </w:rPr>
        <w:t xml:space="preserve">CVR </w:t>
      </w:r>
      <w:r w:rsidRPr="00B23C9B">
        <w:rPr>
          <w:rFonts w:ascii="Calibri" w:hAnsi="Calibri" w:cs="Calibri"/>
          <w:sz w:val="20"/>
          <w:szCs w:val="24"/>
        </w:rPr>
        <w:t>effectue un travail purement préparatoire. », (rapport, novembre 2017), 3.</w:t>
      </w:r>
      <w:r w:rsidRPr="00F26740">
        <w:rPr>
          <w:sz w:val="20"/>
          <w:szCs w:val="20"/>
        </w:rPr>
        <w:fldChar w:fldCharType="end"/>
      </w:r>
      <w:r w:rsidRPr="00EF556F">
        <w:rPr>
          <w:rFonts w:ascii="Calibri" w:hAnsi="Calibri" w:cs="Calibri"/>
          <w:sz w:val="20"/>
          <w:szCs w:val="24"/>
        </w:rPr>
        <w:t xml:space="preserve"> </w:t>
      </w:r>
    </w:p>
  </w:footnote>
  <w:footnote w:id="41">
    <w:p w14:paraId="57B71AFD" w14:textId="134F7083" w:rsidR="006F28E3" w:rsidRDefault="006F28E3" w:rsidP="001905B0">
      <w:pPr>
        <w:pStyle w:val="FootnoteText"/>
      </w:pPr>
      <w:r w:rsidRPr="0026745F">
        <w:rPr>
          <w:rStyle w:val="FootnoteReference"/>
        </w:rPr>
        <w:footnoteRef/>
      </w:r>
      <w:r>
        <w:t xml:space="preserve"> NKURUNZIZA, </w:t>
      </w:r>
      <w:r>
        <w:fldChar w:fldCharType="begin"/>
      </w:r>
      <w:r>
        <w:instrText xml:space="preserve"> ADDIN ZOTERO_ITEM CSL_CITATION {"citationID":"Avcmjrk7","properties":{"formattedCitation":"\\uc0\\u171{}\\uc0\\u160{}Loi du 15 mai 2014 portant CVR.pdf\\uc0\\u160{}\\uc0\\u187{}, 4, consult\\uc0\\u233{} le 11 janvier 2019, https://www.uantwerpen.be/images/uantwerpen/container2143/files/DPP%20Burundi/Justice%20Transitionnelle/CVR%20et%20Tribunal%20Sp%C3%A9cial/processus%20l%C3%A9gislatif/Loi%20du%2015%20mai%202014%20portant%20CVR.pdf.","plainCitation":"« Loi du 15 mai 2014 portant CVR.pdf », 4, consulté le 11 janvier 2019, https://www.uantwerpen.be/images/uantwerpen/container2143/files/DPP%20Burundi/Justice%20Transitionnelle/CVR%20et%20Tribunal%20Sp%C3%A9cial/processus%20l%C3%A9gislatif/Loi%20du%2015%20mai%202014%20portant%20CVR.pdf.","dontUpdate":true,"noteIndex":41},"citationItems":[{"id":1841,"uris":["http://zotero.org/users/3679831/items/XBKXDX8H"],"uri":["http://zotero.org/users/3679831/items/XBKXDX8H"],"itemData":{"id":1841,"type":"article","title":"Loi du 15 mai 2014 portant CVR.pdf","URL":"https://www.uantwerpen.be/images/uantwerpen/container2143/files/DPP%20Burundi/Justice%20Transitionnelle/CVR%20et%20Tribunal%20Sp%C3%A9cial/processus%20l%C3%A9gislatif/Loi%20du%2015%20mai%202014%20portant%20CVR.pdf","accessed":{"date-parts":[["2019",1,11]]}},"locator":"4","label":"page"}],"schema":"https://github.com/citation-style-language/schema/raw/master/csl-citation.json"} </w:instrText>
      </w:r>
      <w:r>
        <w:fldChar w:fldCharType="separate"/>
      </w:r>
      <w:r w:rsidRPr="00883803">
        <w:rPr>
          <w:rFonts w:ascii="Calibri" w:hAnsi="Calibri" w:cs="Calibri"/>
          <w:szCs w:val="24"/>
        </w:rPr>
        <w:t>« Loi du 15 mai 2014 portant CVR.pdf », 4.</w:t>
      </w:r>
      <w:r>
        <w:fldChar w:fldCharType="end"/>
      </w:r>
    </w:p>
  </w:footnote>
  <w:footnote w:id="42">
    <w:p w14:paraId="26934BA1" w14:textId="09942032" w:rsidR="006F28E3" w:rsidRPr="00EE64C5" w:rsidRDefault="006F28E3" w:rsidP="001905B0">
      <w:pPr>
        <w:pStyle w:val="FootnoteText"/>
      </w:pPr>
      <w:r w:rsidRPr="0026745F">
        <w:rPr>
          <w:rStyle w:val="FootnoteReference"/>
        </w:rPr>
        <w:footnoteRef/>
      </w:r>
      <w:r w:rsidRPr="00EE64C5">
        <w:t xml:space="preserve"> </w:t>
      </w:r>
      <w:r>
        <w:fldChar w:fldCharType="begin"/>
      </w:r>
      <w:r>
        <w:instrText xml:space="preserve"> ADDIN ZOTERO_ITEM CSL_CITATION {"citationID":"JhJlaN2v","properties":{"formattedCitation":"\\uc0\\u171{}\\uc0\\u160{}Loi du 15 mai 2014 portant CVR.pdf\\uc0\\u160{}\\uc0\\u187{}, 4\\uc0\\u8209{}5.","plainCitation":"« Loi du 15 mai 2014 portant CVR.pdf », 4</w:instrText>
      </w:r>
      <w:r>
        <w:rPr>
          <w:rFonts w:ascii="Cambria Math" w:hAnsi="Cambria Math" w:cs="Cambria Math"/>
        </w:rPr>
        <w:instrText>‑</w:instrText>
      </w:r>
      <w:r>
        <w:instrText xml:space="preserve">5.","dontUpdate":true,"noteIndex":42},"citationItems":[{"id":1841,"uris":["http://zotero.org/users/3679831/items/XBKXDX8H"],"uri":["http://zotero.org/users/3679831/items/XBKXDX8H"],"itemData":{"id":1841,"type":"article","title":"Loi du 15 mai 2014 portant CVR.pdf","URL":"https://www.uantwerpen.be/images/uantwerpen/container2143/files/DPP%20Burundi/Justice%20Transitionnelle/CVR%20et%20Tribunal%20Sp%C3%A9cial/processus%20l%C3%A9gislatif/Loi%20du%2015%20mai%202014%20portant%20CVR.pdf","accessed":{"date-parts":[["2019",1,11]]}},"locator":"4-5","label":"page"}],"schema":"https://github.com/citation-style-language/schema/raw/master/csl-citation.json"} </w:instrText>
      </w:r>
      <w:r>
        <w:fldChar w:fldCharType="separate"/>
      </w:r>
      <w:r w:rsidRPr="00EE64C5">
        <w:rPr>
          <w:rFonts w:ascii="Calibri" w:hAnsi="Calibri" w:cs="Calibri"/>
        </w:rPr>
        <w:t xml:space="preserve"> </w:t>
      </w:r>
      <w:r>
        <w:t>NKURUNZIZA</w:t>
      </w:r>
      <w:r w:rsidRPr="00EE64C5">
        <w:rPr>
          <w:rFonts w:ascii="Calibri" w:hAnsi="Calibri" w:cs="Calibri"/>
          <w:szCs w:val="24"/>
        </w:rPr>
        <w:t>, 4‑5.</w:t>
      </w:r>
      <w:r>
        <w:fldChar w:fldCharType="end"/>
      </w:r>
    </w:p>
  </w:footnote>
  <w:footnote w:id="43">
    <w:p w14:paraId="7BC932A8" w14:textId="26BD0468" w:rsidR="006F28E3" w:rsidRDefault="006F28E3" w:rsidP="001905B0">
      <w:pPr>
        <w:pStyle w:val="FootnoteText"/>
      </w:pPr>
      <w:r w:rsidRPr="0026745F">
        <w:rPr>
          <w:rStyle w:val="FootnoteReference"/>
        </w:rPr>
        <w:footnoteRef/>
      </w:r>
      <w:r w:rsidRPr="00EE64C5">
        <w:t xml:space="preserve"> </w:t>
      </w:r>
      <w:r w:rsidRPr="00681471">
        <w:fldChar w:fldCharType="begin"/>
      </w:r>
      <w:r>
        <w:instrText xml:space="preserve"> ADDIN ZOTERO_ITEM CSL_CITATION {"citationID":"I9pIZKBC","properties":{"formattedCitation":"(\\uc0\\u171{}\\uc0\\u160{}CVR et Tribunal Sp\\uc0\\u233{}cial - Droit, pouvoir et paix au Burundi - University of Antwerp\\uc0\\u160{}\\uc0\\u187{} s.\\uc0\\u160{}d.)","plainCitation":"(« CVR et Tribunal Spécial - Droit, pouvoir et paix au Burundi - University of Antwerp » s. d.)","dontUpdate":true,"noteIndex":43},"citationItems":[{"id":1831,"uris":["http://zotero.org/users/3679831/items/YGJ97NGD"],"uri":["http://zotero.org/users/3679831/items/YGJ97NGD"],"itemData":{"id":1831,"type":"webpage","title":"CVR et Tribunal Spécial - Droit, pouvoir et paix au Burundi - University of Antwerp","URL":"https://www.uantwerpen.be/en/projects/centre-des-grands-lacs-afrique/droit-pouvoir-paix-burundi/justice-transitionnelle/cvr-et-tribunal-special/","accessed":{"date-parts":[["2019",1,9]]}}}],"schema":"https://github.com/citation-style-language/schema/raw/master/csl-citation.json"} </w:instrText>
      </w:r>
      <w:r w:rsidRPr="00681471">
        <w:fldChar w:fldCharType="separate"/>
      </w:r>
      <w:hyperlink r:id="rId2" w:tgtFrame="_blank" w:history="1">
        <w:r w:rsidRPr="00EE64C5">
          <w:t>Déclaration du 10 octobre 2018 du parlement réuni en congrès</w:t>
        </w:r>
      </w:hyperlink>
      <w:r w:rsidRPr="00EE64C5">
        <w:t xml:space="preserve"> pour analyser le Rapport provisoire de la CVR. </w:t>
      </w:r>
      <w:r>
        <w:t>Dans</w:t>
      </w:r>
      <w:r w:rsidRPr="00681471">
        <w:t xml:space="preserve"> « CVR et Tribunal Spécial - Droit, pouvoir et paix au Burundi - University of Antwerp » s. d.)</w:t>
      </w:r>
      <w:r w:rsidRPr="00681471">
        <w:fldChar w:fldCharType="end"/>
      </w:r>
    </w:p>
  </w:footnote>
  <w:footnote w:id="44">
    <w:p w14:paraId="70A948B2" w14:textId="3689E5EF" w:rsidR="006F28E3" w:rsidRDefault="006F28E3" w:rsidP="001905B0">
      <w:pPr>
        <w:pStyle w:val="FootnoteText"/>
      </w:pPr>
      <w:r w:rsidRPr="0026745F">
        <w:rPr>
          <w:rStyle w:val="FootnoteReference"/>
        </w:rPr>
        <w:footnoteRef/>
      </w:r>
      <w:r>
        <w:t xml:space="preserve"> </w:t>
      </w:r>
      <w:hyperlink r:id="rId3" w:tgtFrame="_blank" w:history="1">
        <w:r w:rsidRPr="00AB371E">
          <w:rPr>
            <w:rFonts w:ascii="Calibri" w:hAnsi="Calibri" w:cs="Calibri"/>
            <w:szCs w:val="24"/>
          </w:rPr>
          <w:t xml:space="preserve">Mgr JL Nahimana, </w:t>
        </w:r>
        <w:r>
          <w:rPr>
            <w:rFonts w:ascii="Calibri" w:hAnsi="Calibri" w:cs="Calibri"/>
            <w:szCs w:val="24"/>
          </w:rPr>
          <w:t xml:space="preserve">« </w:t>
        </w:r>
        <w:r w:rsidRPr="00AB371E">
          <w:rPr>
            <w:rFonts w:ascii="Calibri" w:hAnsi="Calibri" w:cs="Calibri"/>
            <w:szCs w:val="24"/>
          </w:rPr>
          <w:t>Discours lors de l'ouverture de la Conférence publique sur l'établissement des responsabilités dans le cadre de la justice de transition, 23 mai 2018</w:t>
        </w:r>
      </w:hyperlink>
      <w:r>
        <w:rPr>
          <w:rFonts w:ascii="Calibri" w:hAnsi="Calibri" w:cs="Calibri"/>
          <w:szCs w:val="24"/>
        </w:rPr>
        <w:t>», Cf. Université d’Antwerpen,</w:t>
      </w:r>
      <w:r w:rsidRPr="00AB371E">
        <w:rPr>
          <w:rFonts w:ascii="Calibri" w:hAnsi="Calibri" w:cs="Calibri"/>
          <w:szCs w:val="24"/>
        </w:rPr>
        <w:t xml:space="preserve"> dans </w:t>
      </w:r>
      <w:r w:rsidRPr="00AB371E">
        <w:rPr>
          <w:rFonts w:ascii="Calibri" w:hAnsi="Calibri" w:cs="Calibri"/>
          <w:szCs w:val="24"/>
        </w:rPr>
        <w:fldChar w:fldCharType="begin"/>
      </w:r>
      <w:r>
        <w:rPr>
          <w:rFonts w:ascii="Calibri" w:hAnsi="Calibri" w:cs="Calibri"/>
          <w:szCs w:val="24"/>
        </w:rPr>
        <w:instrText xml:space="preserve"> ADDIN ZOTERO_ITEM CSL_CITATION {"citationID":"AiQEL3Av","properties":{"formattedCitation":"\\uc0\\u171{}\\uc0\\u160{}CVR et Tribunal Sp\\uc0\\u233{}cial - Droit, pouvoir et paix au Burundi - University of Antwerp\\uc0\\u160{}\\uc0\\u187{}.","plainCitation":"« CVR et Tribunal Spécial - Droit, pouvoir et paix au Burundi - University of Antwerp ».","noteIndex":44},"citationItems":[{"id":1831,"uris":["http://zotero.org/users/3679831/items/YGJ97NGD"],"uri":["http://zotero.org/users/3679831/items/YGJ97NGD"],"itemData":{"id":1831,"type":"webpage","title":"CVR et Tribunal Spécial - Droit, pouvoir et paix au Burundi - University of Antwerp","URL":"https://www.uantwerpen.be/en/projects/centre-des-grands-lacs-afrique/droit-pouvoir-paix-burundi/justice-transitionnelle/cvr-et-tribunal-special/","accessed":{"date-parts":[["2019",1,9]]}}}],"schema":"https://github.com/citation-style-language/schema/raw/master/csl-citation.json"} </w:instrText>
      </w:r>
      <w:r w:rsidRPr="00AB371E">
        <w:rPr>
          <w:rFonts w:ascii="Calibri" w:hAnsi="Calibri" w:cs="Calibri"/>
          <w:szCs w:val="24"/>
        </w:rPr>
        <w:fldChar w:fldCharType="separate"/>
      </w:r>
      <w:r w:rsidRPr="00AB371E">
        <w:rPr>
          <w:rFonts w:ascii="Calibri" w:hAnsi="Calibri" w:cs="Calibri"/>
          <w:szCs w:val="24"/>
        </w:rPr>
        <w:t>« CVR et Tribunal Spécial - Droit, pouvoir et paix au Burundi - University of Antwerp ».</w:t>
      </w:r>
      <w:r w:rsidRPr="00AB371E">
        <w:rPr>
          <w:rFonts w:ascii="Calibri" w:hAnsi="Calibri" w:cs="Calibri"/>
          <w:szCs w:val="24"/>
        </w:rPr>
        <w:fldChar w:fldCharType="end"/>
      </w:r>
    </w:p>
  </w:footnote>
  <w:footnote w:id="45">
    <w:p w14:paraId="2956C3A2" w14:textId="77777777" w:rsidR="006F28E3" w:rsidRDefault="006F28E3" w:rsidP="001905B0">
      <w:pPr>
        <w:pStyle w:val="FootnoteText"/>
      </w:pPr>
      <w:r w:rsidRPr="0026745F">
        <w:rPr>
          <w:rStyle w:val="FootnoteReference"/>
        </w:rPr>
        <w:footnoteRef/>
      </w:r>
      <w:r>
        <w:t xml:space="preserve"> </w:t>
      </w:r>
      <w:r w:rsidRPr="00A2657D">
        <w:t>Nahimana</w:t>
      </w:r>
      <w:r>
        <w:t>,</w:t>
      </w:r>
      <w:r w:rsidRPr="00A2657D">
        <w:t xml:space="preserve"> 2018</w:t>
      </w:r>
      <w:r>
        <w:t>.</w:t>
      </w:r>
    </w:p>
  </w:footnote>
  <w:footnote w:id="46">
    <w:p w14:paraId="009BF825" w14:textId="77777777" w:rsidR="006F28E3" w:rsidRDefault="006F28E3" w:rsidP="001905B0">
      <w:pPr>
        <w:pStyle w:val="FootnoteText"/>
      </w:pPr>
      <w:r w:rsidRPr="0026745F">
        <w:rPr>
          <w:rStyle w:val="FootnoteReference"/>
        </w:rPr>
        <w:footnoteRef/>
      </w:r>
      <w:r>
        <w:t xml:space="preserve"> </w:t>
      </w:r>
      <w:r w:rsidRPr="00A2657D">
        <w:t>Nahimana</w:t>
      </w:r>
      <w:r>
        <w:t>,</w:t>
      </w:r>
      <w:r w:rsidRPr="00A2657D">
        <w:t xml:space="preserve"> 2018</w:t>
      </w:r>
      <w:r>
        <w:t>.</w:t>
      </w:r>
    </w:p>
  </w:footnote>
  <w:footnote w:id="47">
    <w:p w14:paraId="7A8B5232" w14:textId="7DF7C637" w:rsidR="006F28E3" w:rsidRDefault="006F28E3" w:rsidP="001905B0">
      <w:pPr>
        <w:pStyle w:val="FootnoteText"/>
      </w:pPr>
      <w:r w:rsidRPr="0026745F">
        <w:rPr>
          <w:rStyle w:val="FootnoteReference"/>
        </w:rPr>
        <w:footnoteRef/>
      </w:r>
      <w:r>
        <w:t xml:space="preserve"> </w:t>
      </w:r>
      <w:r>
        <w:fldChar w:fldCharType="begin"/>
      </w:r>
      <w:r>
        <w:instrText xml:space="preserve"> ADDIN ZOTERO_ITEM CSL_CITATION {"citationID":"h1Ci9SDi","properties":{"formattedCitation":"FORUM POUR LE RENFORCEMENT DE LA SOCIETE CIVILE, \\uc0\\u171{}\\uc0\\u160{}Trois ans depuis sa cr\\uc0\\u233{}ation, la CVR  effectue un travail purement pr\\uc0\\u233{}paratoire.\\uc0\\u160{}\\uc0\\u187{}, 5\\uc0\\u8209{}6.","plainCitation":"FORUM POUR LE RENFORCEMENT DE LA SOCIETE CIVILE, « Trois ans depuis sa création, la CVR  effectue un travail purement préparatoire. », 5</w:instrText>
      </w:r>
      <w:r>
        <w:rPr>
          <w:rFonts w:ascii="Cambria Math" w:hAnsi="Cambria Math" w:cs="Cambria Math"/>
        </w:rPr>
        <w:instrText>‑</w:instrText>
      </w:r>
      <w:r>
        <w:instrText>6.","dontUpdate":true,"noteIndex":47},"citationItems":[{"id":1847,"uris":["http://zotero.org/users/3679831/items/7AFRJM4W"],"uri":["http://zotero.org/users/3679831/items/7AFRJM4W"],"itemData":{"id":1847,"type":"speech","title":"Trois ans depuis sa cr</w:instrText>
      </w:r>
      <w:r>
        <w:rPr>
          <w:rFonts w:ascii="Calibri" w:hAnsi="Calibri" w:cs="Calibri"/>
        </w:rPr>
        <w:instrText>é</w:instrText>
      </w:r>
      <w:r>
        <w:instrText xml:space="preserve">ation, la CVR  effectue un travail purement préparatoire.","genre":"Rapport","author":[{"literal":"FORUM POUR LE RENFORCEMENT DE LA SOCIETE CIVILE"}],"issued":{"date-parts":[["2017",11]]}},"locator":"5-6","label":"page"}],"schema":"https://github.com/citation-style-language/schema/raw/master/csl-citation.json"} </w:instrText>
      </w:r>
      <w:r>
        <w:fldChar w:fldCharType="separate"/>
      </w:r>
      <w:r>
        <w:rPr>
          <w:rFonts w:ascii="Calibri" w:hAnsi="Calibri" w:cs="Calibri"/>
          <w:szCs w:val="24"/>
        </w:rPr>
        <w:t>F</w:t>
      </w:r>
      <w:r w:rsidRPr="00026235">
        <w:rPr>
          <w:rFonts w:ascii="Calibri" w:hAnsi="Calibri" w:cs="Calibri"/>
          <w:szCs w:val="24"/>
        </w:rPr>
        <w:t>orum pour le renforcement de la société civile, « </w:t>
      </w:r>
      <w:r>
        <w:rPr>
          <w:rFonts w:ascii="Calibri" w:hAnsi="Calibri" w:cs="Calibri"/>
          <w:szCs w:val="24"/>
        </w:rPr>
        <w:t>T</w:t>
      </w:r>
      <w:r w:rsidRPr="00026235">
        <w:rPr>
          <w:rFonts w:ascii="Calibri" w:hAnsi="Calibri" w:cs="Calibri"/>
          <w:szCs w:val="24"/>
        </w:rPr>
        <w:t xml:space="preserve">rois ans depuis sa création, la </w:t>
      </w:r>
      <w:r>
        <w:rPr>
          <w:rFonts w:ascii="Calibri" w:hAnsi="Calibri" w:cs="Calibri"/>
          <w:szCs w:val="24"/>
        </w:rPr>
        <w:t>CVR</w:t>
      </w:r>
      <w:r w:rsidRPr="00026235">
        <w:rPr>
          <w:rFonts w:ascii="Calibri" w:hAnsi="Calibri" w:cs="Calibri"/>
          <w:szCs w:val="24"/>
        </w:rPr>
        <w:t xml:space="preserve"> effectue un travail purement préparatoire. », 5</w:t>
      </w:r>
      <w:r>
        <w:rPr>
          <w:rFonts w:ascii="Calibri" w:hAnsi="Calibri" w:cs="Calibri"/>
          <w:szCs w:val="24"/>
        </w:rPr>
        <w:t>-</w:t>
      </w:r>
      <w:r w:rsidRPr="00026235">
        <w:rPr>
          <w:rFonts w:ascii="Calibri" w:hAnsi="Calibri" w:cs="Calibri"/>
          <w:szCs w:val="24"/>
        </w:rPr>
        <w:t>6.</w:t>
      </w:r>
      <w:r>
        <w:fldChar w:fldCharType="end"/>
      </w:r>
    </w:p>
  </w:footnote>
  <w:footnote w:id="48">
    <w:p w14:paraId="4DDD2F31" w14:textId="663B3A95" w:rsidR="006F28E3" w:rsidRPr="0027487D" w:rsidRDefault="006F28E3" w:rsidP="001905B0">
      <w:pPr>
        <w:pStyle w:val="FootnoteText"/>
        <w:rPr>
          <w:lang w:val="en-CA"/>
        </w:rPr>
      </w:pPr>
      <w:r w:rsidRPr="0026745F">
        <w:rPr>
          <w:rStyle w:val="FootnoteReference"/>
        </w:rPr>
        <w:footnoteRef/>
      </w:r>
      <w:r w:rsidRPr="0027487D">
        <w:rPr>
          <w:lang w:val="en-CA"/>
        </w:rPr>
        <w:t xml:space="preserve"> Impunity Watch, </w:t>
      </w:r>
      <w:r>
        <w:fldChar w:fldCharType="begin"/>
      </w:r>
      <w:r>
        <w:rPr>
          <w:lang w:val="en-CA"/>
        </w:rPr>
        <w:instrText xml:space="preserve"> ADDIN ZOTERO_ITEM CSL_CITATION {"citationID":"0sfDysWU","properties":{"formattedCitation":"\\uc0\\u171{}\\uc0\\u160{}IW Policy Brief TRC 1214.pdf\\uc0\\u160{}\\uc0\\u187{}, 1, consult\\uc0\\u233{} le 15 janvier 2019, https://www.uantwerpen.be/images/uantwerpen/container2143/files/DPP%20Burundi/Justice%20Transitionnelle/CVR%20et%20Tribunal%20Sp%C3%A9cial/IW%20Policy%20Brief%20TRC%201214.pdf.","plainCitation":"« IW Policy Brief TRC 1214.pdf », 1, consulté le 15 janvier 2019, https://www.uantwerpen.be/images/uantwerpen/container2143/files/DPP%20Burundi/Justice%20Transitionnelle/CVR%20et%20Tribunal%20Sp%C3%A9cial/IW%20Policy%20Brief%20TRC%201214.pdf.","dontUpdate":true,"noteIndex":49},"citationItems":[{"id":1845,"uris":["http://zotero.org/users/3679831/items/DHQM8X4A"],"uri":["http://zotero.org/users/3679831/items/DHQM8X4A"],"itemData":{"id":1845,"type":"article","title":"IW Policy Brief TRC 1214.pdf","URL":"https://www.uantwerpen.be/images/uantwerpen/container2143/files/DPP%20Burundi/Justice%20Transitionnelle/CVR%20et%20Tribunal%20Sp%C3%A9cial/IW%20Policy%20Brief%20TRC%201214.pdf","accessed":{"date-parts":[["2019",1,15]]}},"locator":"1","label":"page"}],"schema":"https://github.com/citation-style-language/schema/raw/master/csl-citation.json"} </w:instrText>
      </w:r>
      <w:r>
        <w:fldChar w:fldCharType="separate"/>
      </w:r>
      <w:r w:rsidRPr="0027487D">
        <w:rPr>
          <w:rFonts w:ascii="Calibri" w:hAnsi="Calibri" w:cs="Calibri"/>
          <w:szCs w:val="24"/>
          <w:lang w:val="en-CA"/>
        </w:rPr>
        <w:t>« IW Policy Brief TRC 1214.pdf », 1, consulté le 15 janvier 2019.</w:t>
      </w:r>
      <w:r>
        <w:fldChar w:fldCharType="end"/>
      </w:r>
    </w:p>
  </w:footnote>
  <w:footnote w:id="49">
    <w:p w14:paraId="396846E3" w14:textId="3D92BAD0" w:rsidR="006F28E3" w:rsidRDefault="006F28E3" w:rsidP="001905B0">
      <w:pPr>
        <w:pStyle w:val="FootnoteText"/>
      </w:pPr>
      <w:r w:rsidRPr="0026745F">
        <w:rPr>
          <w:rStyle w:val="FootnoteReference"/>
        </w:rPr>
        <w:footnoteRef/>
      </w:r>
      <w:r>
        <w:t xml:space="preserve"> Nous faisons référence aux trois problèmes de fond de toute action collective selon Jean Gustave Padioleau. </w:t>
      </w:r>
      <w:r w:rsidRPr="00B869BC">
        <w:fldChar w:fldCharType="begin"/>
      </w:r>
      <w:r>
        <w:instrText xml:space="preserve"> ADDIN ZOTERO_ITEM CSL_CITATION {"citationID":"k0uaqANe","properties":{"formattedCitation":"Jean Padioleau, {\\i{}ARTS PRATIQUES DE L\\uc0\\u8217{}ACTION PUBLIQUE ULTRA-MODERNE} (Paris: Harmattan, 2004), 16, http://www.harmatheque.com/ebook/274755869X.","plainCitation":"Jean Padioleau, ARTS PRATIQUES DE L’ACTION PUBLIQUE ULTRA-MODERNE (Paris: Harmattan, 2004), 16, http://www.harmatheque.com/ebook/274755869X.","dontUpdate":true,"noteIndex":50},"citationItems":[{"id":1851,"uris":["http://zotero.org/users/3679831/items/476V6RBM"],"uri":["http://zotero.org/users/3679831/items/476V6RBM"],"itemData":{"id":1851,"type":"book","title":"ARTS PRATIQUES DE L'ACTION PUBLIQUE ULTRA-MODERNE","publisher":"Harmattan","publisher-place":"Paris","source":"Open WorldCat","event-place":"Paris","abstract":"L'Art Pratique est \"la conduite des usages de moyens disponibles en vue de fins que l'on se propose\". Un questionnement originel tire l'ambition de la scientificité, c'est à dire la connaissance du \"quoi?\". Quant aux décideurs, exécutants, subalternes, ils éprouvent les inquiétudes et subissent les contraintes de la connaissance du \"comment?\". Les arts pratiques répondent à l'interrogation de la connaissance du comment de l'action. Ils offrent de nouvelles manières de voir, de penser et d'agir aux gouvernants, élus, fonctionnaires, étudiants, consultants et citoyens. Cet ouvrage pense concrètement l'action publique ultra-moderne.","URL":"http://www.harmatheque.com/ebook/274755869X","ISBN":"978-2-7475-5869-3","note":"OCLC: 848108286","language":"French","author":[{"family":"Padioleau","given":"Jean"}],"issued":{"date-parts":[["2004"]]},"accessed":{"date-parts":[["2019",1,22]]}},"locator":"16","label":"page"}],"schema":"https://github.com/citation-style-language/schema/raw/master/csl-citation.json"} </w:instrText>
      </w:r>
      <w:r w:rsidRPr="00B869BC">
        <w:fldChar w:fldCharType="separate"/>
      </w:r>
      <w:r w:rsidRPr="00B23C9B">
        <w:rPr>
          <w:rFonts w:ascii="Calibri" w:hAnsi="Calibri" w:cs="Calibri"/>
          <w:szCs w:val="24"/>
        </w:rPr>
        <w:t xml:space="preserve">Jean Padioleau, </w:t>
      </w:r>
      <w:r>
        <w:rPr>
          <w:rFonts w:ascii="Calibri" w:hAnsi="Calibri" w:cs="Calibri"/>
          <w:i/>
          <w:iCs/>
          <w:szCs w:val="24"/>
        </w:rPr>
        <w:t>A</w:t>
      </w:r>
      <w:r w:rsidRPr="00B23C9B">
        <w:rPr>
          <w:rFonts w:ascii="Calibri" w:hAnsi="Calibri" w:cs="Calibri"/>
          <w:i/>
          <w:iCs/>
          <w:szCs w:val="24"/>
        </w:rPr>
        <w:t>rts pratiques de l’action publique ultra-moderne</w:t>
      </w:r>
      <w:r w:rsidRPr="00B23C9B">
        <w:rPr>
          <w:rFonts w:ascii="Calibri" w:hAnsi="Calibri" w:cs="Calibri"/>
          <w:szCs w:val="24"/>
        </w:rPr>
        <w:t xml:space="preserve"> (Paris: Harmattan, 2004), 16.</w:t>
      </w:r>
      <w:r w:rsidRPr="00B869BC">
        <w:fldChar w:fldCharType="end"/>
      </w:r>
      <w:r>
        <w:rPr>
          <w:rFonts w:ascii="Times New Roman" w:eastAsia="Times New Roman" w:hAnsi="Times New Roman" w:cs="Times New Roman"/>
          <w:sz w:val="24"/>
          <w:szCs w:val="24"/>
          <w:lang w:eastAsia="fr-CA"/>
        </w:rPr>
        <w:t> </w:t>
      </w:r>
    </w:p>
  </w:footnote>
  <w:footnote w:id="50">
    <w:p w14:paraId="7074555E" w14:textId="4F1A2471" w:rsidR="006F28E3" w:rsidRDefault="006F28E3" w:rsidP="001905B0">
      <w:pPr>
        <w:pStyle w:val="FootnoteText"/>
        <w:jc w:val="both"/>
      </w:pPr>
      <w:r w:rsidRPr="0026745F">
        <w:rPr>
          <w:rStyle w:val="FootnoteReference"/>
        </w:rPr>
        <w:footnoteRef/>
      </w:r>
      <w:r>
        <w:t xml:space="preserve"> L’auteur emploie l’image des joueurs d’échecs. La structure représente la situation qui résulte de l’interaction des joueurs à un moment déterminé de la partie </w:t>
      </w:r>
      <w:r w:rsidRPr="003F6DA0">
        <w:fldChar w:fldCharType="begin"/>
      </w:r>
      <w:r>
        <w:instrText xml:space="preserve"> ADDIN ZOTERO_ITEM CSL_CITATION {"citationID":"Rd4OCjZz","properties":{"formattedCitation":"(Ferry 1996, 14)","plainCitation":"(Ferry 1996, 14)","dontUpdate":true,"noteIndex":50},"citationItems":[{"id":1465,"uris":["http://zotero.org/users/3679831/items/HMSTGS4I"],"uri":["http://zotero.org/users/3679831/items/HMSTGS4I"],"itemData":{"id":1465,"type":"book","title":"L'éthique reconstructive","collection-title":"Humanités","publisher":"Cerf","publisher-place":"Paris","number-of-pages":"115","source":"Library of Congress ISBN","event-place":"Paris","ISBN":"978-2-204-05383-9","call-number":"BD237 .F47 1996","author":[{"family":"Ferry","given":"Jean-Marc"}],"issued":{"date-parts":[["1996"]]}},"locator":"14","label":"page"}],"schema":"https://github.com/citation-style-language/schema/raw/master/csl-citation.json"} </w:instrText>
      </w:r>
      <w:r w:rsidRPr="003F6DA0">
        <w:fldChar w:fldCharType="separate"/>
      </w:r>
      <w:r w:rsidRPr="003F6DA0">
        <w:t>(Ferry</w:t>
      </w:r>
      <w:r>
        <w:t>,</w:t>
      </w:r>
      <w:r w:rsidRPr="003F6DA0">
        <w:t xml:space="preserve"> </w:t>
      </w:r>
      <w:r w:rsidRPr="00EE64C5">
        <w:rPr>
          <w:rFonts w:ascii="Calibri" w:hAnsi="Calibri" w:cs="Calibri"/>
          <w:i/>
          <w:iCs/>
          <w:szCs w:val="24"/>
        </w:rPr>
        <w:t>L’éthique reconstructive</w:t>
      </w:r>
      <w:r w:rsidRPr="003F6DA0">
        <w:t xml:space="preserve"> </w:t>
      </w:r>
      <w:r>
        <w:t xml:space="preserve">, </w:t>
      </w:r>
      <w:r w:rsidRPr="003F6DA0">
        <w:t xml:space="preserve">1996, </w:t>
      </w:r>
      <w:r>
        <w:t>9</w:t>
      </w:r>
      <w:r w:rsidRPr="003F6DA0">
        <w:t>)</w:t>
      </w:r>
      <w:r w:rsidRPr="003F6DA0">
        <w:fldChar w:fldCharType="end"/>
      </w:r>
      <w:r w:rsidRPr="003F6DA0">
        <w:t>.</w:t>
      </w:r>
      <w:r>
        <w:t xml:space="preserve"> Pour le cas du Burundi, cette notion de structure renvoie à la situation actuelle résultant des interactions dans un contexte de crise politique et identitaire.</w:t>
      </w:r>
    </w:p>
  </w:footnote>
  <w:footnote w:id="51">
    <w:p w14:paraId="39FBEE5C" w14:textId="711E7426" w:rsidR="006F28E3" w:rsidRPr="008E32AB" w:rsidRDefault="006F28E3" w:rsidP="001905B0">
      <w:pPr>
        <w:pStyle w:val="FootnoteText"/>
        <w:rPr>
          <w:lang w:val="en-CA"/>
        </w:rPr>
      </w:pPr>
      <w:r w:rsidRPr="0026745F">
        <w:rPr>
          <w:rStyle w:val="FootnoteReference"/>
        </w:rPr>
        <w:footnoteRef/>
      </w:r>
      <w:r w:rsidRPr="008E32AB">
        <w:rPr>
          <w:lang w:val="en-CA"/>
        </w:rPr>
        <w:t xml:space="preserve"> </w:t>
      </w:r>
      <w:r>
        <w:fldChar w:fldCharType="begin"/>
      </w:r>
      <w:r>
        <w:rPr>
          <w:lang w:val="en-CA"/>
        </w:rPr>
        <w:instrText xml:space="preserve"> ADDIN ZOTERO_ITEM CSL_CITATION {"citationID":"hbIaYmXo","properties":{"formattedCitation":"Ferry, {\\i{}L\\uc0\\u8217{}\\uc0\\u233{}thique reconstructive}, 1996, 14.","plainCitation":"Ferry, L’éthique reconstructive, 1996, 14.","dontUpdate":true,"noteIndex":51},"citationItems":[{"id":1896,"uris":["http://zotero.org/users/3679831/items/JSMRLHEE"],"uri":["http://zotero.org/users/3679831/items/JSMRLHEE"],"itemData":{"id":1896,"type":"book","title":"L'éthique reconstructive","publisher":"Ed. du Cerf","publisher-place":"Paris","source":"Open WorldCat","event-place":"Paris","abstract":"Narration ou argumentation? Une nouvelle polarité philosophique se dessine ainsi, chargée d'enjeux relatifs à la question de l'éthique. Par la mise en récit des expériences, la narration confère à l'identité personnelle un ancrage et une épaisseur historiques, orientant l'éthique vers un idéal substantiel de vie bonne. Mais comment articuler la visée substantielle à la voie procédurale? Comment assurer, sur la voie du discours, le principe de reconnaissance? Dans cette entreprise, \"l'éthique de la reconstruction\" revêt une signification décisive.","ISBN":"978-2-204-05383-9","note":"OCLC: 243849619","language":"French","author":[{"family":"Ferry","given":"Jean-Marc"}],"issued":{"date-parts":[["1996"]]}},"locator":"14","label":"page"}],"schema":"https://github.com/citation-style-language/schema/raw/master/csl-citation.json"} </w:instrText>
      </w:r>
      <w:r>
        <w:fldChar w:fldCharType="separate"/>
      </w:r>
      <w:r w:rsidRPr="008E32AB">
        <w:rPr>
          <w:rFonts w:ascii="Calibri" w:hAnsi="Calibri" w:cs="Calibri"/>
          <w:szCs w:val="24"/>
          <w:lang w:val="en-CA"/>
        </w:rPr>
        <w:t>Ferry, 14.</w:t>
      </w:r>
      <w:r>
        <w:fldChar w:fldCharType="end"/>
      </w:r>
    </w:p>
  </w:footnote>
  <w:footnote w:id="52">
    <w:p w14:paraId="10F418F7" w14:textId="46424760" w:rsidR="006F28E3" w:rsidRPr="008E32AB" w:rsidRDefault="006F28E3" w:rsidP="001905B0">
      <w:pPr>
        <w:pStyle w:val="FootnoteText"/>
        <w:rPr>
          <w:lang w:val="en-CA"/>
        </w:rPr>
      </w:pPr>
      <w:r w:rsidRPr="0026745F">
        <w:rPr>
          <w:rStyle w:val="FootnoteReference"/>
        </w:rPr>
        <w:footnoteRef/>
      </w:r>
      <w:r w:rsidRPr="008E32AB">
        <w:rPr>
          <w:lang w:val="en-CA"/>
        </w:rPr>
        <w:t xml:space="preserve"> </w:t>
      </w:r>
      <w:r>
        <w:fldChar w:fldCharType="begin"/>
      </w:r>
      <w:r>
        <w:rPr>
          <w:lang w:val="en-CA"/>
        </w:rPr>
        <w:instrText xml:space="preserve"> ADDIN ZOTERO_ITEM CSL_CITATION {"citationID":"gtc6Ypul","properties":{"formattedCitation":"Jean-Marc Ferry, {\\i{}L\\uc0\\u8217{}\\uc0\\u201{}thique reconstructive}, Les \\uc0\\u201{}ditions du Cerf, Humanit\\uc0\\u233{}s (Paris, 1996), 16.","plainCitation":"Jean-Marc Ferry, L’Éthique reconstructive, Les Éditions du Cerf, Humanités (Paris, 1996), 16.","dontUpdate":true,"noteIndex":52},"citationItems":[{"id":1393,"uris":["http://zotero.org/users/3679831/items/ICS3U4XU"],"uri":["http://zotero.org/users/3679831/items/ICS3U4XU"],"itemData":{"id":1393,"type":"book","title":"L'Éthique reconstructive","collection-title":"Humanités","publisher-place":"Paris","edition":"Les Éditions du Cerf","event-place":"Paris","ISBN":"2-204-05383-X","author":[{"family":"","given":"Jean-Marc Ferry"}],"issued":{"date-parts":[["1996"]]}},"locator":"16","label":"page"}],"schema":"https://github.com/citation-style-language/schema/raw/master/csl-citation.json"} </w:instrText>
      </w:r>
      <w:r>
        <w:fldChar w:fldCharType="separate"/>
      </w:r>
      <w:r w:rsidRPr="00E03D6B">
        <w:rPr>
          <w:rFonts w:ascii="Calibri" w:hAnsi="Calibri" w:cs="Calibri"/>
          <w:szCs w:val="24"/>
          <w:lang w:val="en-CA"/>
        </w:rPr>
        <w:t>Ferry,</w:t>
      </w:r>
      <w:r w:rsidRPr="008E32AB">
        <w:rPr>
          <w:rFonts w:ascii="Calibri" w:hAnsi="Calibri" w:cs="Calibri"/>
          <w:szCs w:val="24"/>
          <w:lang w:val="en-CA"/>
        </w:rPr>
        <w:t xml:space="preserve"> 16.</w:t>
      </w:r>
      <w:r>
        <w:fldChar w:fldCharType="end"/>
      </w:r>
    </w:p>
  </w:footnote>
  <w:footnote w:id="53">
    <w:p w14:paraId="7F6E7187" w14:textId="77777777" w:rsidR="006F28E3" w:rsidRPr="00E03D6B" w:rsidRDefault="006F28E3" w:rsidP="001905B0">
      <w:pPr>
        <w:pStyle w:val="FootnoteText"/>
        <w:rPr>
          <w:lang w:val="en-CA"/>
        </w:rPr>
      </w:pPr>
      <w:r w:rsidRPr="0026745F">
        <w:rPr>
          <w:rStyle w:val="FootnoteReference"/>
        </w:rPr>
        <w:footnoteRef/>
      </w:r>
      <w:r w:rsidRPr="00E03D6B">
        <w:rPr>
          <w:lang w:val="en-CA"/>
        </w:rPr>
        <w:t xml:space="preserve"> </w:t>
      </w:r>
      <w:r w:rsidRPr="00E03D6B">
        <w:rPr>
          <w:rFonts w:ascii="Calibri" w:hAnsi="Calibri" w:cs="Calibri"/>
          <w:szCs w:val="24"/>
          <w:lang w:val="en-CA"/>
        </w:rPr>
        <w:t>Ferry,</w:t>
      </w:r>
      <w:r w:rsidRPr="008E32AB">
        <w:rPr>
          <w:rFonts w:ascii="Calibri" w:hAnsi="Calibri" w:cs="Calibri"/>
          <w:szCs w:val="24"/>
          <w:lang w:val="en-CA"/>
        </w:rPr>
        <w:t xml:space="preserve"> 16.</w:t>
      </w:r>
    </w:p>
  </w:footnote>
  <w:footnote w:id="54">
    <w:p w14:paraId="4B0631EB" w14:textId="284CA6B0" w:rsidR="006F28E3" w:rsidRPr="00E03D6B" w:rsidRDefault="006F28E3" w:rsidP="001905B0">
      <w:pPr>
        <w:pStyle w:val="FootnoteText"/>
        <w:rPr>
          <w:lang w:val="en-CA"/>
        </w:rPr>
      </w:pPr>
      <w:r w:rsidRPr="0026745F">
        <w:rPr>
          <w:rStyle w:val="FootnoteReference"/>
        </w:rPr>
        <w:footnoteRef/>
      </w:r>
      <w:r w:rsidRPr="00E03D6B">
        <w:rPr>
          <w:lang w:val="en-CA"/>
        </w:rPr>
        <w:t xml:space="preserve"> </w:t>
      </w:r>
      <w:r>
        <w:fldChar w:fldCharType="begin"/>
      </w:r>
      <w:r>
        <w:rPr>
          <w:lang w:val="en-CA"/>
        </w:rPr>
        <w:instrText xml:space="preserve"> ADDIN ZOTERO_ITEM CSL_CITATION {"citationID":"MbweVShB","properties":{"formattedCitation":"Ferry, {\\i{}L\\uc0\\u8217{}\\uc0\\u233{}thique reconstructive}, 1996, 16\\uc0\\u8209{}17.","plainCitation":"Ferry, L’éthique reconstructive, 1996, 16</w:instrText>
      </w:r>
      <w:r>
        <w:rPr>
          <w:rFonts w:ascii="Cambria Math" w:hAnsi="Cambria Math" w:cs="Cambria Math"/>
          <w:lang w:val="en-CA"/>
        </w:rPr>
        <w:instrText>‑</w:instrText>
      </w:r>
      <w:r>
        <w:rPr>
          <w:lang w:val="en-CA"/>
        </w:rPr>
        <w:instrText xml:space="preserve">17.","dontUpdate":true,"noteIndex":54},"citationItems":[{"id":1465,"uris":["http://zotero.org/users/3679831/items/HMSTGS4I"],"uri":["http://zotero.org/users/3679831/items/HMSTGS4I"],"itemData":{"id":1465,"type":"book","title":"L'éthique reconstructive","collection-title":"Humanités","publisher":"Cerf","publisher-place":"Paris","number-of-pages":"115","source":"Library of Congress ISBN","event-place":"Paris","ISBN":"978-2-204-05383-9","call-number":"BD237 .F47 1996","author":[{"family":"Ferry","given":"Jean-Marc"}],"issued":{"date-parts":[["1996"]]}},"locator":"16-17","label":"page"}],"schema":"https://github.com/citation-style-language/schema/raw/master/csl-citation.json"} </w:instrText>
      </w:r>
      <w:r>
        <w:fldChar w:fldCharType="separate"/>
      </w:r>
      <w:r w:rsidRPr="00E03D6B">
        <w:rPr>
          <w:rFonts w:ascii="Calibri" w:hAnsi="Calibri" w:cs="Calibri"/>
          <w:szCs w:val="24"/>
          <w:lang w:val="en-CA"/>
        </w:rPr>
        <w:t>Ferry, 16‑17.</w:t>
      </w:r>
      <w:r>
        <w:fldChar w:fldCharType="end"/>
      </w:r>
    </w:p>
  </w:footnote>
  <w:footnote w:id="55">
    <w:p w14:paraId="47B5D12C" w14:textId="32E0C207" w:rsidR="006F28E3" w:rsidRPr="00E03D6B" w:rsidRDefault="006F28E3" w:rsidP="001905B0">
      <w:pPr>
        <w:pStyle w:val="FootnoteText"/>
        <w:rPr>
          <w:lang w:val="en-CA"/>
        </w:rPr>
      </w:pPr>
      <w:r w:rsidRPr="0026745F">
        <w:rPr>
          <w:rStyle w:val="FootnoteReference"/>
        </w:rPr>
        <w:footnoteRef/>
      </w:r>
      <w:r w:rsidRPr="00E03D6B">
        <w:rPr>
          <w:lang w:val="en-CA"/>
        </w:rPr>
        <w:t xml:space="preserve"> </w:t>
      </w:r>
      <w:r>
        <w:fldChar w:fldCharType="begin"/>
      </w:r>
      <w:r>
        <w:rPr>
          <w:lang w:val="en-CA"/>
        </w:rPr>
        <w:instrText xml:space="preserve"> ADDIN ZOTERO_ITEM CSL_CITATION {"citationID":"o6T5eqsq","properties":{"formattedCitation":"Ferry, 23.","plainCitation":"Ferry, 23.","noteIndex":55},"citationItems":[{"id":1465,"uris":["http://zotero.org/users/3679831/items/HMSTGS4I"],"uri":["http://zotero.org/users/3679831/items/HMSTGS4I"],"itemData":{"id":1465,"type":"book","title":"L'éthique reconstructive","collection-title":"Humanités","publisher":"Cerf","publisher-place":"Paris","number-of-pages":"115","source":"Library of Congress ISBN","event-place":"Paris","ISBN":"978-2-204-05383-9","call-number":"BD237 .F47 1996","author":[{"family":"Ferry","given":"Jean-Marc"}],"issued":{"date-parts":[["1996"]]}},"locator":"23","label":"page"}],"schema":"https://github.com/citation-style-language/schema/raw/master/csl-citation.json"} </w:instrText>
      </w:r>
      <w:r>
        <w:fldChar w:fldCharType="separate"/>
      </w:r>
      <w:r w:rsidRPr="00E03D6B">
        <w:rPr>
          <w:rFonts w:ascii="Calibri" w:hAnsi="Calibri" w:cs="Calibri"/>
          <w:lang w:val="en-CA"/>
        </w:rPr>
        <w:t>Ferry, 23.</w:t>
      </w:r>
      <w:r>
        <w:fldChar w:fldCharType="end"/>
      </w:r>
    </w:p>
  </w:footnote>
  <w:footnote w:id="56">
    <w:p w14:paraId="252665CB" w14:textId="46F46BD5" w:rsidR="006F28E3" w:rsidRPr="005B2662" w:rsidRDefault="006F28E3" w:rsidP="001905B0">
      <w:pPr>
        <w:pStyle w:val="FootnoteText"/>
      </w:pPr>
      <w:r w:rsidRPr="0026745F">
        <w:rPr>
          <w:rStyle w:val="FootnoteReference"/>
        </w:rPr>
        <w:footnoteRef/>
      </w:r>
      <w:r w:rsidRPr="005B2662">
        <w:t xml:space="preserve"> </w:t>
      </w:r>
      <w:r w:rsidRPr="005B2662">
        <w:rPr>
          <w:rFonts w:ascii="Calibri" w:hAnsi="Calibri" w:cs="Calibri"/>
          <w:szCs w:val="24"/>
        </w:rPr>
        <w:t>Jean-Marc Ferry</w:t>
      </w:r>
      <w:r w:rsidRPr="005B2662">
        <w:t xml:space="preserve">, </w:t>
      </w:r>
      <w:r>
        <w:fldChar w:fldCharType="begin"/>
      </w:r>
      <w:r w:rsidRPr="005B2662">
        <w:instrText xml:space="preserve"> ADDIN ZOTERO_ITEM CSL_CITATION {"citationID":"blSVnRDp","properties":{"formattedCitation":"\\uc0\\u171{}\\uc0\\u160{}QU\\uc0\\u8217{}EST-CE QUE L\\uc0\\u8217{}\\uc0\\u201{}THIQUE RECONSTRUCTIVE\\uc0\\u160{}\\uc0\\u187{}, 5, consult\\uc0\\u233{} le 23 f\\uc0\\u233{}vrier 2019, http://webcache.googleusercontent.com/search?q=cache:9AdPDX5KtNcJ:users.skynet.be/jean.marc.ferry/Cfce207.doc+&amp;cd=6&amp;hl=fr&amp;ct=clnk&amp;gl=ca.","plainCitation":"« QU’EST-CE QUE L’ÉTHIQUE RECONSTRUCTIVE », 5, consulté le 23 février 2019, http://webcache.googleusercontent.com/search?q=cache:9AdPDX5KtNcJ:users.skynet.be/jean.marc.ferry/Cfce207.doc+&amp;cd=6&amp;hl=fr&amp;ct=clnk&amp;gl=ca.","dontUpdate":true,"noteIndex":56},"citationItems":[{"id":1911,"uris":["http://zotero.org/users/3679831/items/ICARGDFM"],"uri":["http://zotero.org/users/3679831/items/ICARGDFM"],"itemData":{"id":1911,"type":"webpage","title":"QU’EST-CE QUE L’ÉTHIQUE RECONSTRUCTIVE","URL":"http://webcache.googleusercontent.com/search?q=cache:9AdPDX5KtNcJ:users.skynet.be/jean.marc.ferry/Cfce207.doc+&amp;cd=6&amp;hl=fr&amp;ct=clnk&amp;gl=ca","author":[{"literal":"Jean-Marc Ferry"}],"accessed":{"date-parts":[["2019",2,23]]}},"locator":"5","label":"page"}],"schema":"https://github.com/citation-style-language/schema/raw/master/csl-citation.json"} </w:instrText>
      </w:r>
      <w:r>
        <w:fldChar w:fldCharType="separate"/>
      </w:r>
      <w:r w:rsidRPr="005B2662">
        <w:rPr>
          <w:rFonts w:ascii="Calibri" w:hAnsi="Calibri" w:cs="Calibri"/>
          <w:szCs w:val="24"/>
        </w:rPr>
        <w:t>« Qu’est-ce que l’éthique reconstructive », 5, consulté le 23 février 2019</w:t>
      </w:r>
      <w:r>
        <w:fldChar w:fldCharType="end"/>
      </w:r>
    </w:p>
  </w:footnote>
  <w:footnote w:id="57">
    <w:p w14:paraId="4D1BEA4C" w14:textId="3D52BACF" w:rsidR="006F28E3" w:rsidRPr="00E03D6B" w:rsidRDefault="006F28E3" w:rsidP="001905B0">
      <w:pPr>
        <w:pStyle w:val="FootnoteText"/>
        <w:rPr>
          <w:lang w:val="en-CA"/>
        </w:rPr>
      </w:pPr>
      <w:r w:rsidRPr="0026745F">
        <w:rPr>
          <w:rStyle w:val="FootnoteReference"/>
        </w:rPr>
        <w:footnoteRef/>
      </w:r>
      <w:r w:rsidRPr="00E03D6B">
        <w:rPr>
          <w:lang w:val="en-CA"/>
        </w:rPr>
        <w:t xml:space="preserve"> </w:t>
      </w:r>
      <w:r>
        <w:fldChar w:fldCharType="begin"/>
      </w:r>
      <w:r>
        <w:rPr>
          <w:lang w:val="en-CA"/>
        </w:rPr>
        <w:instrText xml:space="preserve"> ADDIN ZOTERO_ITEM CSL_CITATION {"citationID":"8wXFXOou","properties":{"formattedCitation":"Ferry, {\\i{}L\\uc0\\u8217{}\\uc0\\u233{}thique reconstructive}, 1996, 21.","plainCitation":"Ferry, L’éthique reconstructive, 1996, 21.","noteIndex":57},"citationItems":[{"id":1465,"uris":["http://zotero.org/users/3679831/items/HMSTGS4I"],"uri":["http://zotero.org/users/3679831/items/HMSTGS4I"],"itemData":{"id":1465,"type":"book","title":"L'éthique reconstructive","collection-title":"Humanités","publisher":"Cerf","publisher-place":"Paris","number-of-pages":"115","source":"Library of Congress ISBN","event-place":"Paris","ISBN":"978-2-204-05383-9","call-number":"BD237 .F47 1996","author":[{"family":"Ferry","given":"Jean-Marc"}],"issued":{"date-parts":[["1996"]]}},"locator":"21","label":"page"}],"schema":"https://github.com/citation-style-language/schema/raw/master/csl-citation.json"} </w:instrText>
      </w:r>
      <w:r>
        <w:fldChar w:fldCharType="separate"/>
      </w:r>
      <w:r w:rsidRPr="00E03D6B">
        <w:rPr>
          <w:rFonts w:ascii="Calibri" w:hAnsi="Calibri" w:cs="Calibri"/>
          <w:szCs w:val="24"/>
          <w:lang w:val="en-CA"/>
        </w:rPr>
        <w:t xml:space="preserve">Ferry, </w:t>
      </w:r>
      <w:r w:rsidRPr="00E03D6B">
        <w:rPr>
          <w:rFonts w:ascii="Calibri" w:hAnsi="Calibri" w:cs="Calibri"/>
          <w:i/>
          <w:iCs/>
          <w:szCs w:val="24"/>
          <w:lang w:val="en-CA"/>
        </w:rPr>
        <w:t>L’éthique reconstructive</w:t>
      </w:r>
      <w:r w:rsidRPr="00E03D6B">
        <w:rPr>
          <w:rFonts w:ascii="Calibri" w:hAnsi="Calibri" w:cs="Calibri"/>
          <w:szCs w:val="24"/>
          <w:lang w:val="en-CA"/>
        </w:rPr>
        <w:t>, 1996, 21.</w:t>
      </w:r>
      <w:r>
        <w:fldChar w:fldCharType="end"/>
      </w:r>
    </w:p>
  </w:footnote>
  <w:footnote w:id="58">
    <w:p w14:paraId="42F83F60" w14:textId="081B75BB" w:rsidR="006F28E3" w:rsidRPr="00E03D6B" w:rsidRDefault="006F28E3" w:rsidP="001905B0">
      <w:pPr>
        <w:pStyle w:val="FootnoteText"/>
        <w:rPr>
          <w:lang w:val="en-CA"/>
        </w:rPr>
      </w:pPr>
      <w:r w:rsidRPr="0026745F">
        <w:rPr>
          <w:rStyle w:val="FootnoteReference"/>
        </w:rPr>
        <w:footnoteRef/>
      </w:r>
      <w:r w:rsidRPr="00E03D6B">
        <w:rPr>
          <w:lang w:val="en-CA"/>
        </w:rPr>
        <w:t xml:space="preserve"> </w:t>
      </w:r>
      <w:r>
        <w:fldChar w:fldCharType="begin"/>
      </w:r>
      <w:r>
        <w:rPr>
          <w:lang w:val="en-CA"/>
        </w:rPr>
        <w:instrText xml:space="preserve"> ADDIN ZOTERO_ITEM CSL_CITATION {"citationID":"YtEMMM7a","properties":{"formattedCitation":"Ferry, 21.","plainCitation":"Ferry, 21.","noteIndex":58},"citationItems":[{"id":1465,"uris":["http://zotero.org/users/3679831/items/HMSTGS4I"],"uri":["http://zotero.org/users/3679831/items/HMSTGS4I"],"itemData":{"id":1465,"type":"book","title":"L'éthique reconstructive","collection-title":"Humanités","publisher":"Cerf","publisher-place":"Paris","number-of-pages":"115","source":"Library of Congress ISBN","event-place":"Paris","ISBN":"978-2-204-05383-9","call-number":"BD237 .F47 1996","author":[{"family":"Ferry","given":"Jean-Marc"}],"issued":{"date-parts":[["1996"]]}},"locator":"21","label":"page"}],"schema":"https://github.com/citation-style-language/schema/raw/master/csl-citation.json"} </w:instrText>
      </w:r>
      <w:r>
        <w:fldChar w:fldCharType="separate"/>
      </w:r>
      <w:r w:rsidRPr="00E03D6B">
        <w:rPr>
          <w:rFonts w:ascii="Calibri" w:hAnsi="Calibri" w:cs="Calibri"/>
          <w:lang w:val="en-CA"/>
        </w:rPr>
        <w:t>Ferry, 21.</w:t>
      </w:r>
      <w:r>
        <w:fldChar w:fldCharType="end"/>
      </w:r>
    </w:p>
  </w:footnote>
  <w:footnote w:id="59">
    <w:p w14:paraId="48A41094" w14:textId="76114DA7" w:rsidR="006F28E3" w:rsidRPr="00E03D6B" w:rsidRDefault="006F28E3" w:rsidP="001905B0">
      <w:pPr>
        <w:pStyle w:val="FootnoteText"/>
        <w:rPr>
          <w:lang w:val="en-CA"/>
        </w:rPr>
      </w:pPr>
      <w:r w:rsidRPr="0026745F">
        <w:rPr>
          <w:rStyle w:val="FootnoteReference"/>
        </w:rPr>
        <w:footnoteRef/>
      </w:r>
      <w:r w:rsidRPr="00E03D6B">
        <w:rPr>
          <w:lang w:val="en-CA"/>
        </w:rPr>
        <w:t xml:space="preserve"> </w:t>
      </w:r>
      <w:r>
        <w:fldChar w:fldCharType="begin"/>
      </w:r>
      <w:r>
        <w:rPr>
          <w:lang w:val="en-CA"/>
        </w:rPr>
        <w:instrText xml:space="preserve"> ADDIN ZOTERO_ITEM CSL_CITATION {"citationID":"NnIAShnV","properties":{"formattedCitation":"Ferry, 20.","plainCitation":"Ferry, 20.","noteIndex":59},"citationItems":[{"id":1465,"uris":["http://zotero.org/users/3679831/items/HMSTGS4I"],"uri":["http://zotero.org/users/3679831/items/HMSTGS4I"],"itemData":{"id":1465,"type":"book","title":"L'éthique reconstructive","collection-title":"Humanités","publisher":"Cerf","publisher-place":"Paris","number-of-pages":"115","source":"Library of Congress ISBN","event-place":"Paris","ISBN":"978-2-204-05383-9","call-number":"BD237 .F47 1996","author":[{"family":"Ferry","given":"Jean-Marc"}],"issued":{"date-parts":[["1996"]]}},"locator":"20","label":"page"}],"schema":"https://github.com/citation-style-language/schema/raw/master/csl-citation.json"} </w:instrText>
      </w:r>
      <w:r>
        <w:fldChar w:fldCharType="separate"/>
      </w:r>
      <w:r w:rsidRPr="00E03D6B">
        <w:rPr>
          <w:rFonts w:ascii="Calibri" w:hAnsi="Calibri" w:cs="Calibri"/>
          <w:lang w:val="en-CA"/>
        </w:rPr>
        <w:t>Ferry, 20.</w:t>
      </w:r>
      <w:r>
        <w:fldChar w:fldCharType="end"/>
      </w:r>
    </w:p>
  </w:footnote>
  <w:footnote w:id="60">
    <w:p w14:paraId="591CDB46" w14:textId="1679C9D0" w:rsidR="006F28E3" w:rsidRPr="008866EE" w:rsidRDefault="006F28E3" w:rsidP="001905B0">
      <w:pPr>
        <w:pStyle w:val="FootnoteText"/>
      </w:pPr>
      <w:r w:rsidRPr="0026745F">
        <w:rPr>
          <w:rStyle w:val="FootnoteReference"/>
        </w:rPr>
        <w:footnoteRef/>
      </w:r>
      <w:r w:rsidRPr="008866EE">
        <w:t xml:space="preserve"> </w:t>
      </w:r>
      <w:r>
        <w:fldChar w:fldCharType="begin"/>
      </w:r>
      <w:r>
        <w:instrText xml:space="preserve"> ADDIN ZOTERO_ITEM CSL_CITATION {"citationID":"5HghB6oN","properties":{"formattedCitation":"Ferry, 20.","plainCitation":"Ferry, 20.","noteIndex":60},"citationItems":[{"id":1465,"uris":["http://zotero.org/users/3679831/items/HMSTGS4I"],"uri":["http://zotero.org/users/3679831/items/HMSTGS4I"],"itemData":{"id":1465,"type":"book","title":"L'éthique reconstructive","collection-title":"Humanités","publisher":"Cerf","publisher-place":"Paris","number-of-pages":"115","source":"Library of Congress ISBN","event-place":"Paris","ISBN":"978-2-204-05383-9","call-number":"BD237 .F47 1996","author":[{"family":"Ferry","given":"Jean-Marc"}],"issued":{"date-parts":[["1996"]]}},"locator":"20","label":"page"}],"schema":"https://github.com/citation-style-language/schema/raw/master/csl-citation.json"} </w:instrText>
      </w:r>
      <w:r>
        <w:fldChar w:fldCharType="separate"/>
      </w:r>
      <w:r w:rsidRPr="0076221C">
        <w:rPr>
          <w:rFonts w:ascii="Calibri" w:hAnsi="Calibri" w:cs="Calibri"/>
        </w:rPr>
        <w:t>Ferry, 20.</w:t>
      </w:r>
      <w:r>
        <w:fldChar w:fldCharType="end"/>
      </w:r>
    </w:p>
  </w:footnote>
  <w:footnote w:id="61">
    <w:p w14:paraId="431500A5" w14:textId="6F3EC671" w:rsidR="006F28E3" w:rsidRPr="008866EE" w:rsidRDefault="006F28E3" w:rsidP="001905B0">
      <w:pPr>
        <w:pStyle w:val="FootnoteText"/>
      </w:pPr>
      <w:r w:rsidRPr="0026745F">
        <w:rPr>
          <w:rStyle w:val="FootnoteReference"/>
        </w:rPr>
        <w:footnoteRef/>
      </w:r>
      <w:r w:rsidRPr="008866EE">
        <w:t xml:space="preserve"> </w:t>
      </w:r>
      <w:r w:rsidRPr="008866EE">
        <w:rPr>
          <w:rFonts w:ascii="Calibri" w:hAnsi="Calibri" w:cs="Calibri"/>
          <w:szCs w:val="24"/>
        </w:rPr>
        <w:t>Ferry</w:t>
      </w:r>
      <w:r w:rsidRPr="008866EE">
        <w:t xml:space="preserve">, </w:t>
      </w:r>
      <w:r>
        <w:fldChar w:fldCharType="begin"/>
      </w:r>
      <w:r>
        <w:instrText xml:space="preserve"> ADDIN ZOTERO_ITEM CSL_CITATION {"citationID":"tDwePhwO","properties":{"formattedCitation":"\\uc0\\u171{}\\uc0\\u160{}QU\\uc0\\u8217{}EST-CE QUE L\\uc0\\u8217{}\\uc0\\u201{}THIQUE RECONSTRUCTIVE\\uc0\\u160{}\\uc0\\u187{}, 5, consult\\uc0\\u233{} le 23 f\\uc0\\u233{}vrier 2019, http://webcache.googleusercontent.com/search?q=cache:9AdPDX5KtNcJ:users.skynet.be/jean.marc.ferry/Cfce207.doc+&amp;cd=6&amp;hl=fr&amp;ct=clnk&amp;gl=ca.","plainCitation":"« QU’EST-CE QUE L’ÉTHIQUE RECONSTRUCTIVE », 5, consulté le 23 février 2019, http://webcache.googleusercontent.com/search?q=cache:9AdPDX5KtNcJ:users.skynet.be/jean.marc.ferry/Cfce207.doc+&amp;cd=6&amp;hl=fr&amp;ct=clnk&amp;gl=ca.","dontUpdate":true,"noteIndex":61},"citationItems":[{"id":1911,"uris":["http://zotero.org/users/3679831/items/ICARGDFM"],"uri":["http://zotero.org/users/3679831/items/ICARGDFM"],"itemData":{"id":1911,"type":"webpage","title":"QU’EST-CE QUE L’ÉTHIQUE RECONSTRUCTIVE","URL":"http://webcache.googleusercontent.com/search?q=cache:9AdPDX5KtNcJ:users.skynet.be/jean.marc.ferry/Cfce207.doc+&amp;cd=6&amp;hl=fr&amp;ct=clnk&amp;gl=ca","author":[{"literal":"Jean-Marc Ferry"}],"accessed":{"date-parts":[["2019",2,23]]}},"locator":"5","label":"page"}],"schema":"https://github.com/citation-style-language/schema/raw/master/csl-citation.json"} </w:instrText>
      </w:r>
      <w:r>
        <w:fldChar w:fldCharType="separate"/>
      </w:r>
      <w:r w:rsidRPr="008866EE">
        <w:rPr>
          <w:rFonts w:ascii="Calibri" w:hAnsi="Calibri" w:cs="Calibri"/>
          <w:szCs w:val="24"/>
        </w:rPr>
        <w:t>« Qu’est-ce que l’éthique reconstructive », 4.</w:t>
      </w:r>
      <w:r>
        <w:fldChar w:fldCharType="end"/>
      </w:r>
    </w:p>
  </w:footnote>
  <w:footnote w:id="62">
    <w:p w14:paraId="17C68938" w14:textId="635AF83D" w:rsidR="006F28E3" w:rsidRPr="00FD45E8" w:rsidRDefault="006F28E3" w:rsidP="001905B0">
      <w:pPr>
        <w:pStyle w:val="FootnoteText"/>
        <w:rPr>
          <w:lang w:val="en-CA"/>
        </w:rPr>
      </w:pPr>
      <w:r w:rsidRPr="0026745F">
        <w:rPr>
          <w:rStyle w:val="FootnoteReference"/>
        </w:rPr>
        <w:footnoteRef/>
      </w:r>
      <w:r w:rsidRPr="00FD45E8">
        <w:rPr>
          <w:lang w:val="en-CA"/>
        </w:rPr>
        <w:t xml:space="preserve"> </w:t>
      </w:r>
      <w:r>
        <w:fldChar w:fldCharType="begin"/>
      </w:r>
      <w:r>
        <w:rPr>
          <w:lang w:val="en-CA"/>
        </w:rPr>
        <w:instrText xml:space="preserve"> ADDIN ZOTERO_ITEM CSL_CITATION {"citationID":"TbL5i6KJ","properties":{"formattedCitation":"\\uc0\\u171{}\\uc0\\u160{}QU\\uc0\\u8217{}EST-CE QUE L\\uc0\\u8217{}\\uc0\\u201{}THIQUE RECONSTRUCTIVE\\uc0\\u160{}\\uc0\\u187{}, 5.","plainCitation":"« QU’EST-CE QUE L’ÉTHIQUE RECONSTRUCTIVE », 5.","dontUpdate":true,"noteIndex":62},"citationItems":[{"id":1911,"uris":["http://zotero.org/users/3679831/items/ICARGDFM"],"uri":["http://zotero.org/users/3679831/items/ICARGDFM"],"itemData":{"id":1911,"type":"webpage","title":"QU’EST-CE QUE L’ÉTHIQUE RECONSTRUCTIVE","URL":"http://webcache.googleusercontent.com/search?q=cache:9AdPDX5KtNcJ:users.skynet.be/jean.marc.ferry/Cfce207.doc+&amp;cd=6&amp;hl=fr&amp;ct=clnk&amp;gl=ca","author":[{"literal":"Jean-Marc Ferry"}],"accessed":{"date-parts":[["2019",2,23]]}},"locator":"5","label":"page"}],"schema":"https://github.com/citation-style-language/schema/raw/master/csl-citation.json"} </w:instrText>
      </w:r>
      <w:r>
        <w:fldChar w:fldCharType="separate"/>
      </w:r>
      <w:r>
        <w:rPr>
          <w:rFonts w:ascii="Calibri" w:hAnsi="Calibri" w:cs="Calibri"/>
          <w:szCs w:val="24"/>
          <w:lang w:val="en-CA"/>
        </w:rPr>
        <w:t>Ferry</w:t>
      </w:r>
      <w:r w:rsidRPr="00FD45E8">
        <w:rPr>
          <w:rFonts w:ascii="Calibri" w:hAnsi="Calibri" w:cs="Calibri"/>
          <w:szCs w:val="24"/>
          <w:lang w:val="en-CA"/>
        </w:rPr>
        <w:t>, 5.</w:t>
      </w:r>
      <w:r>
        <w:fldChar w:fldCharType="end"/>
      </w:r>
    </w:p>
  </w:footnote>
  <w:footnote w:id="63">
    <w:p w14:paraId="368AE390" w14:textId="18D8224F" w:rsidR="006F28E3" w:rsidRPr="00FD45E8" w:rsidRDefault="006F28E3" w:rsidP="001905B0">
      <w:pPr>
        <w:pStyle w:val="FootnoteText"/>
        <w:rPr>
          <w:lang w:val="en-CA"/>
        </w:rPr>
      </w:pPr>
      <w:r w:rsidRPr="0026745F">
        <w:rPr>
          <w:rStyle w:val="FootnoteReference"/>
        </w:rPr>
        <w:footnoteRef/>
      </w:r>
      <w:r w:rsidRPr="00FD45E8">
        <w:rPr>
          <w:lang w:val="en-CA"/>
        </w:rPr>
        <w:t xml:space="preserve"> </w:t>
      </w:r>
      <w:r>
        <w:fldChar w:fldCharType="begin"/>
      </w:r>
      <w:r>
        <w:rPr>
          <w:lang w:val="en-CA"/>
        </w:rPr>
        <w:instrText xml:space="preserve"> ADDIN ZOTERO_ITEM CSL_CITATION {"citationID":"jEY2vTML","properties":{"formattedCitation":"Ferry, {\\i{}L\\uc0\\u8217{}\\uc0\\u233{}thique reconstructive}, 1996, 20.","plainCitation":"Ferry, L’éthique reconstructive, 1996, 20.","noteIndex":63},"citationItems":[{"id":1465,"uris":["http://zotero.org/users/3679831/items/HMSTGS4I"],"uri":["http://zotero.org/users/3679831/items/HMSTGS4I"],"itemData":{"id":1465,"type":"book","title":"L'éthique reconstructive","collection-title":"Humanités","publisher":"Cerf","publisher-place":"Paris","number-of-pages":"115","source":"Library of Congress ISBN","event-place":"Paris","ISBN":"978-2-204-05383-9","call-number":"BD237 .F47 1996","author":[{"family":"Ferry","given":"Jean-Marc"}],"issued":{"date-parts":[["1996"]]}},"locator":"20","label":"page"}],"schema":"https://github.com/citation-style-language/schema/raw/master/csl-citation.json"} </w:instrText>
      </w:r>
      <w:r>
        <w:fldChar w:fldCharType="separate"/>
      </w:r>
      <w:r w:rsidRPr="00FD45E8">
        <w:rPr>
          <w:rFonts w:ascii="Calibri" w:hAnsi="Calibri" w:cs="Calibri"/>
          <w:szCs w:val="24"/>
          <w:lang w:val="en-CA"/>
        </w:rPr>
        <w:t xml:space="preserve">Ferry, </w:t>
      </w:r>
      <w:r w:rsidRPr="00FD45E8">
        <w:rPr>
          <w:rFonts w:ascii="Calibri" w:hAnsi="Calibri" w:cs="Calibri"/>
          <w:i/>
          <w:iCs/>
          <w:szCs w:val="24"/>
          <w:lang w:val="en-CA"/>
        </w:rPr>
        <w:t>L’éthique reconstructive</w:t>
      </w:r>
      <w:r w:rsidRPr="00FD45E8">
        <w:rPr>
          <w:rFonts w:ascii="Calibri" w:hAnsi="Calibri" w:cs="Calibri"/>
          <w:szCs w:val="24"/>
          <w:lang w:val="en-CA"/>
        </w:rPr>
        <w:t>, 1996, 20.</w:t>
      </w:r>
      <w:r>
        <w:fldChar w:fldCharType="end"/>
      </w:r>
    </w:p>
  </w:footnote>
  <w:footnote w:id="64">
    <w:p w14:paraId="0948EA53" w14:textId="246B3D85" w:rsidR="006F28E3" w:rsidRPr="00E03D6B" w:rsidRDefault="006F28E3" w:rsidP="001905B0">
      <w:pPr>
        <w:pStyle w:val="FootnoteText"/>
        <w:rPr>
          <w:lang w:val="en-CA"/>
        </w:rPr>
      </w:pPr>
      <w:r w:rsidRPr="0026745F">
        <w:rPr>
          <w:rStyle w:val="FootnoteReference"/>
        </w:rPr>
        <w:footnoteRef/>
      </w:r>
      <w:r w:rsidRPr="00E03D6B">
        <w:rPr>
          <w:lang w:val="en-CA"/>
        </w:rPr>
        <w:t xml:space="preserve"> </w:t>
      </w:r>
      <w:r>
        <w:fldChar w:fldCharType="begin"/>
      </w:r>
      <w:r>
        <w:rPr>
          <w:lang w:val="en-CA"/>
        </w:rPr>
        <w:instrText xml:space="preserve"> ADDIN ZOTERO_ITEM CSL_CITATION {"citationID":"8ha8HBMf","properties":{"formattedCitation":"\\uc0\\u171{}\\uc0\\u160{}QU\\uc0\\u8217{}EST-CE QUE L\\uc0\\u8217{}\\uc0\\u201{}THIQUE RECONSTRUCTIVE\\uc0\\u160{}\\uc0\\u187{}, 5.","plainCitation":"« QU’EST-CE QUE L’ÉTHIQUE RECONSTRUCTIVE », 5.","dontUpdate":true,"noteIndex":64},"citationItems":[{"id":1911,"uris":["http://zotero.org/users/3679831/items/ICARGDFM"],"uri":["http://zotero.org/users/3679831/items/ICARGDFM"],"itemData":{"id":1911,"type":"webpage","title":"QU’EST-CE QUE L’ÉTHIQUE RECONSTRUCTIVE","URL":"http://webcache.googleusercontent.com/search?q=cache:9AdPDX5KtNcJ:users.skynet.be/jean.marc.ferry/Cfce207.doc+&amp;cd=6&amp;hl=fr&amp;ct=clnk&amp;gl=ca","author":[{"literal":"Jean-Marc Ferry"}],"accessed":{"date-parts":[["2019",2,23]]}},"locator":"5","label":"page"}],"schema":"https://github.com/citation-style-language/schema/raw/master/csl-citation.json"} </w:instrText>
      </w:r>
      <w:r>
        <w:fldChar w:fldCharType="separate"/>
      </w:r>
      <w:r>
        <w:rPr>
          <w:rFonts w:ascii="Calibri" w:hAnsi="Calibri" w:cs="Calibri"/>
          <w:szCs w:val="24"/>
          <w:lang w:val="en-CA"/>
        </w:rPr>
        <w:t>Ferry</w:t>
      </w:r>
      <w:r w:rsidRPr="00FD45E8">
        <w:rPr>
          <w:rFonts w:ascii="Calibri" w:hAnsi="Calibri" w:cs="Calibri"/>
          <w:szCs w:val="24"/>
          <w:lang w:val="en-CA"/>
        </w:rPr>
        <w:t xml:space="preserve">, </w:t>
      </w:r>
      <w:r>
        <w:rPr>
          <w:rFonts w:ascii="Calibri" w:hAnsi="Calibri" w:cs="Calibri"/>
          <w:szCs w:val="24"/>
          <w:lang w:val="en-CA"/>
        </w:rPr>
        <w:t>20</w:t>
      </w:r>
      <w:r w:rsidRPr="00FD45E8">
        <w:rPr>
          <w:rFonts w:ascii="Calibri" w:hAnsi="Calibri" w:cs="Calibri"/>
          <w:szCs w:val="24"/>
          <w:lang w:val="en-CA"/>
        </w:rPr>
        <w:t>.</w:t>
      </w:r>
      <w:r>
        <w:fldChar w:fldCharType="end"/>
      </w:r>
    </w:p>
  </w:footnote>
  <w:footnote w:id="65">
    <w:p w14:paraId="4D5231EA" w14:textId="295FF6EC" w:rsidR="006F28E3" w:rsidRPr="00EE64C5" w:rsidRDefault="006F28E3" w:rsidP="001905B0">
      <w:pPr>
        <w:pStyle w:val="FootnoteText"/>
      </w:pPr>
      <w:r w:rsidRPr="0026745F">
        <w:rPr>
          <w:rStyle w:val="FootnoteReference"/>
        </w:rPr>
        <w:footnoteRef/>
      </w:r>
      <w:r w:rsidRPr="00EE64C5">
        <w:t xml:space="preserve"> </w:t>
      </w:r>
      <w:r>
        <w:fldChar w:fldCharType="begin"/>
      </w:r>
      <w:r>
        <w:instrText xml:space="preserve"> ADDIN ZOTERO_ITEM CSL_CITATION {"citationID":"Sd4v70PF","properties":{"formattedCitation":"Jean-Marc Ferry, \\uc0\\u171{}\\uc0\\u160{}QU\\uc0\\u8217{}EST-CE QUE L\\uc0\\u8217{}\\uc0\\u201{}THIQUE RECONSTRUCTIVE\\uc0\\u160{}\\uc0\\u187{}, 4.","plainCitation":"Jean-Marc Ferry, « QU’EST-CE QUE L’ÉTHIQUE RECONSTRUCTIVE », 4.","dontUpdate":true,"noteIndex":65},"citationItems":[{"id":1911,"uris":["http://zotero.org/users/3679831/items/ICARGDFM"],"uri":["http://zotero.org/users/3679831/items/ICARGDFM"],"itemData":{"id":1911,"type":"webpage","title":"QU’EST-CE QUE L’ÉTHIQUE RECONSTRUCTIVE","URL":"http://webcache.googleusercontent.com/search?q=cache:9AdPDX5KtNcJ:users.skynet.be/jean.marc.ferry/Cfce207.doc+&amp;cd=6&amp;hl=fr&amp;ct=clnk&amp;gl=ca","author":[{"literal":"Jean-Marc Ferry"}],"accessed":{"date-parts":[["2019",2,23]]}},"locator":"4","label":"page"}],"schema":"https://github.com/citation-style-language/schema/raw/master/csl-citation.json"} </w:instrText>
      </w:r>
      <w:r>
        <w:fldChar w:fldCharType="separate"/>
      </w:r>
      <w:r w:rsidRPr="008866EE">
        <w:rPr>
          <w:rFonts w:ascii="Calibri" w:hAnsi="Calibri" w:cs="Calibri"/>
          <w:szCs w:val="24"/>
        </w:rPr>
        <w:t>Ferry, « Qu’est-ce que l’éthique reconstructive », 4.</w:t>
      </w:r>
      <w:r>
        <w:fldChar w:fldCharType="end"/>
      </w:r>
    </w:p>
  </w:footnote>
  <w:footnote w:id="66">
    <w:p w14:paraId="6551CDF3" w14:textId="77E8B239" w:rsidR="006F28E3" w:rsidRPr="0076221C" w:rsidRDefault="006F28E3" w:rsidP="001905B0">
      <w:pPr>
        <w:pStyle w:val="FootnoteText"/>
      </w:pPr>
      <w:r w:rsidRPr="0026745F">
        <w:rPr>
          <w:rStyle w:val="FootnoteReference"/>
        </w:rPr>
        <w:footnoteRef/>
      </w:r>
      <w:r w:rsidRPr="0076221C">
        <w:t xml:space="preserve"> </w:t>
      </w:r>
      <w:r>
        <w:fldChar w:fldCharType="begin"/>
      </w:r>
      <w:r>
        <w:instrText xml:space="preserve"> ADDIN ZOTERO_ITEM CSL_CITATION {"citationID":"1zjxN35s","properties":{"formattedCitation":"\\uc0\\u171{}\\uc0\\u160{}QU\\uc0\\u8217{}EST-CE QUE L\\uc0\\u8217{}\\uc0\\u201{}THIQUE RECONSTRUCTIVE\\uc0\\u160{}\\uc0\\u187{}, 4.","plainCitation":"« QU’EST-CE QUE L’ÉTHIQUE RECONSTRUCTIVE », 4.","dontUpdate":true,"noteIndex":66},"citationItems":[{"id":1911,"uris":["http://zotero.org/users/3679831/items/ICARGDFM"],"uri":["http://zotero.org/users/3679831/items/ICARGDFM"],"itemData":{"id":1911,"type":"webpage","title":"QU’EST-CE QUE L’ÉTHIQUE RECONSTRUCTIVE","URL":"http://webcache.googleusercontent.com/search?q=cache:9AdPDX5KtNcJ:users.skynet.be/jean.marc.ferry/Cfce207.doc+&amp;cd=6&amp;hl=fr&amp;ct=clnk&amp;gl=ca","author":[{"literal":"Jean-Marc Ferry"}],"accessed":{"date-parts":[["2019",2,23]]}},"locator":"4","label":"page"}],"schema":"https://github.com/citation-style-language/schema/raw/master/csl-citation.json"} </w:instrText>
      </w:r>
      <w:r>
        <w:fldChar w:fldCharType="separate"/>
      </w:r>
      <w:r w:rsidRPr="0076221C">
        <w:rPr>
          <w:rFonts w:ascii="Calibri" w:hAnsi="Calibri" w:cs="Calibri"/>
          <w:szCs w:val="24"/>
        </w:rPr>
        <w:t xml:space="preserve"> </w:t>
      </w:r>
      <w:r>
        <w:fldChar w:fldCharType="begin"/>
      </w:r>
      <w:r>
        <w:instrText xml:space="preserve"> ADDIN ZOTERO_ITEM CSL_CITATION {"citationID":"i6mQAJYi","properties":{"formattedCitation":"\\uc0\\u171{}\\uc0\\u160{}QU\\uc0\\u8217{}EST-CE QUE L\\uc0\\u8217{}\\uc0\\u201{}THIQUE RECONSTRUCTIVE\\uc0\\u160{}\\uc0\\u187{}, 5.","plainCitation":"« QU’EST-CE QUE L’ÉTHIQUE RECONSTRUCTIVE », 5.","dontUpdate":true,"noteIndex":66},"citationItems":[{"id":1911,"uris":["http://zotero.org/users/3679831/items/ICARGDFM"],"uri":["http://zotero.org/users/3679831/items/ICARGDFM"],"itemData":{"id":1911,"type":"webpage","title":"QU’EST-CE QUE L’ÉTHIQUE RECONSTRUCTIVE","URL":"http://webcache.googleusercontent.com/search?q=cache:9AdPDX5KtNcJ:users.skynet.be/jean.marc.ferry/Cfce207.doc+&amp;cd=6&amp;hl=fr&amp;ct=clnk&amp;gl=ca","author":[{"literal":"Jean-Marc Ferry"}],"accessed":{"date-parts":[["2019",2,23]]}},"locator":"5","label":"page"}],"schema":"https://github.com/citation-style-language/schema/raw/master/csl-citation.json"} </w:instrText>
      </w:r>
      <w:r>
        <w:fldChar w:fldCharType="separate"/>
      </w:r>
      <w:r w:rsidRPr="0076221C">
        <w:rPr>
          <w:rFonts w:ascii="Calibri" w:hAnsi="Calibri" w:cs="Calibri"/>
          <w:szCs w:val="24"/>
        </w:rPr>
        <w:t>Ferry, 4.</w:t>
      </w:r>
      <w:r>
        <w:fldChar w:fldCharType="end"/>
      </w:r>
      <w:r>
        <w:fldChar w:fldCharType="end"/>
      </w:r>
    </w:p>
  </w:footnote>
  <w:footnote w:id="67">
    <w:p w14:paraId="0E56CB5B" w14:textId="10083831" w:rsidR="006F28E3" w:rsidRPr="00C02206" w:rsidRDefault="006F28E3" w:rsidP="001905B0">
      <w:pPr>
        <w:pStyle w:val="FootnoteText"/>
      </w:pPr>
      <w:r w:rsidRPr="0026745F">
        <w:rPr>
          <w:rStyle w:val="FootnoteReference"/>
        </w:rPr>
        <w:footnoteRef/>
      </w:r>
      <w:r w:rsidRPr="00C02206">
        <w:t xml:space="preserve"> </w:t>
      </w:r>
      <w:r>
        <w:fldChar w:fldCharType="begin"/>
      </w:r>
      <w:r>
        <w:instrText xml:space="preserve"> ADDIN ZOTERO_ITEM CSL_CITATION {"citationID":"CIFpA7Ig","properties":{"formattedCitation":"Ferry, {\\i{}L\\uc0\\u8217{}\\uc0\\u233{}thique reconstructive}, 1996, 27.","plainCitation":"Ferry, L’éthique reconstructive, 1996, 27.","noteIndex":67},"citationItems":[{"id":1465,"uris":["http://zotero.org/users/3679831/items/HMSTGS4I"],"uri":["http://zotero.org/users/3679831/items/HMSTGS4I"],"itemData":{"id":1465,"type":"book","title":"L'éthique reconstructive","collection-title":"Humanités","publisher":"Cerf","publisher-place":"Paris","number-of-pages":"115","source":"Library of Congress ISBN","event-place":"Paris","ISBN":"978-2-204-05383-9","call-number":"BD237 .F47 1996","author":[{"family":"Ferry","given":"Jean-Marc"}],"issued":{"date-parts":[["1996"]]}},"locator":"27","label":"page"}],"schema":"https://github.com/citation-style-language/schema/raw/master/csl-citation.json"} </w:instrText>
      </w:r>
      <w:r>
        <w:fldChar w:fldCharType="separate"/>
      </w:r>
      <w:r w:rsidRPr="00C02206">
        <w:rPr>
          <w:rFonts w:ascii="Calibri" w:hAnsi="Calibri" w:cs="Calibri"/>
          <w:szCs w:val="24"/>
        </w:rPr>
        <w:t xml:space="preserve">Ferry, </w:t>
      </w:r>
      <w:r w:rsidRPr="00C02206">
        <w:rPr>
          <w:rFonts w:ascii="Calibri" w:hAnsi="Calibri" w:cs="Calibri"/>
          <w:i/>
          <w:iCs/>
          <w:szCs w:val="24"/>
        </w:rPr>
        <w:t>L’éthique reconstructive</w:t>
      </w:r>
      <w:r w:rsidRPr="00C02206">
        <w:rPr>
          <w:rFonts w:ascii="Calibri" w:hAnsi="Calibri" w:cs="Calibri"/>
          <w:szCs w:val="24"/>
        </w:rPr>
        <w:t>, 1996, 27.</w:t>
      </w:r>
      <w:r>
        <w:fldChar w:fldCharType="end"/>
      </w:r>
    </w:p>
  </w:footnote>
  <w:footnote w:id="68">
    <w:p w14:paraId="32C42100" w14:textId="1EFF2E77" w:rsidR="006F28E3" w:rsidRPr="00C02206" w:rsidRDefault="006F28E3" w:rsidP="001905B0">
      <w:pPr>
        <w:pStyle w:val="FootnoteText"/>
      </w:pPr>
      <w:r w:rsidRPr="0026745F">
        <w:rPr>
          <w:rStyle w:val="FootnoteReference"/>
        </w:rPr>
        <w:footnoteRef/>
      </w:r>
      <w:r w:rsidRPr="00C02206">
        <w:t xml:space="preserve"> </w:t>
      </w:r>
      <w:r>
        <w:fldChar w:fldCharType="begin"/>
      </w:r>
      <w:r>
        <w:instrText xml:space="preserve"> ADDIN ZOTERO_ITEM CSL_CITATION {"citationID":"NmO9lWtS","properties":{"formattedCitation":"Ferry, 27.","plainCitation":"Ferry, 27.","noteIndex":68},"citationItems":[{"id":1465,"uris":["http://zotero.org/users/3679831/items/HMSTGS4I"],"uri":["http://zotero.org/users/3679831/items/HMSTGS4I"],"itemData":{"id":1465,"type":"book","title":"L'éthique reconstructive","collection-title":"Humanités","publisher":"Cerf","publisher-place":"Paris","number-of-pages":"115","source":"Library of Congress ISBN","event-place":"Paris","ISBN":"978-2-204-05383-9","call-number":"BD237 .F47 1996","author":[{"family":"Ferry","given":"Jean-Marc"}],"issued":{"date-parts":[["1996"]]}},"locator":"27","label":"page"}],"schema":"https://github.com/citation-style-language/schema/raw/master/csl-citation.json"} </w:instrText>
      </w:r>
      <w:r>
        <w:fldChar w:fldCharType="separate"/>
      </w:r>
      <w:r w:rsidRPr="00C02206">
        <w:rPr>
          <w:rFonts w:ascii="Calibri" w:hAnsi="Calibri" w:cs="Calibri"/>
        </w:rPr>
        <w:t>Ferry, 27.</w:t>
      </w:r>
      <w:r>
        <w:fldChar w:fldCharType="end"/>
      </w:r>
    </w:p>
  </w:footnote>
  <w:footnote w:id="69">
    <w:p w14:paraId="2932C6A8" w14:textId="3225B56D" w:rsidR="006F28E3" w:rsidRPr="00C02206" w:rsidRDefault="006F28E3" w:rsidP="001905B0">
      <w:pPr>
        <w:pStyle w:val="FootnoteText"/>
      </w:pPr>
      <w:r w:rsidRPr="0026745F">
        <w:rPr>
          <w:rStyle w:val="FootnoteReference"/>
        </w:rPr>
        <w:footnoteRef/>
      </w:r>
      <w:r w:rsidRPr="00C02206">
        <w:t xml:space="preserve"> </w:t>
      </w:r>
      <w:r>
        <w:fldChar w:fldCharType="begin"/>
      </w:r>
      <w:r>
        <w:instrText xml:space="preserve"> ADDIN ZOTERO_ITEM CSL_CITATION {"citationID":"bUO1UrKm","properties":{"formattedCitation":"Ferry, 27.","plainCitation":"Ferry, 27.","noteIndex":69},"citationItems":[{"id":1465,"uris":["http://zotero.org/users/3679831/items/HMSTGS4I"],"uri":["http://zotero.org/users/3679831/items/HMSTGS4I"],"itemData":{"id":1465,"type":"book","title":"L'éthique reconstructive","collection-title":"Humanités","publisher":"Cerf","publisher-place":"Paris","number-of-pages":"115","source":"Library of Congress ISBN","event-place":"Paris","ISBN":"978-2-204-05383-9","call-number":"BD237 .F47 1996","author":[{"family":"Ferry","given":"Jean-Marc"}],"issued":{"date-parts":[["1996"]]}},"locator":"27","label":"page"}],"schema":"https://github.com/citation-style-language/schema/raw/master/csl-citation.json"} </w:instrText>
      </w:r>
      <w:r>
        <w:fldChar w:fldCharType="separate"/>
      </w:r>
      <w:r w:rsidRPr="00C02206">
        <w:rPr>
          <w:rFonts w:ascii="Calibri" w:hAnsi="Calibri" w:cs="Calibri"/>
        </w:rPr>
        <w:t>Ferry, 27.</w:t>
      </w:r>
      <w:r>
        <w:fldChar w:fldCharType="end"/>
      </w:r>
    </w:p>
  </w:footnote>
  <w:footnote w:id="70">
    <w:p w14:paraId="1BFBE3B7" w14:textId="0D5B13D4" w:rsidR="006F28E3" w:rsidRPr="00C02206" w:rsidRDefault="006F28E3" w:rsidP="001905B0">
      <w:pPr>
        <w:pStyle w:val="FootnoteText"/>
      </w:pPr>
      <w:r w:rsidRPr="0026745F">
        <w:rPr>
          <w:rStyle w:val="FootnoteReference"/>
        </w:rPr>
        <w:footnoteRef/>
      </w:r>
      <w:r w:rsidRPr="00C02206">
        <w:t xml:space="preserve"> </w:t>
      </w:r>
      <w:r>
        <w:fldChar w:fldCharType="begin"/>
      </w:r>
      <w:r>
        <w:instrText xml:space="preserve"> ADDIN ZOTERO_ITEM CSL_CITATION {"citationID":"xytZnuzd","properties":{"formattedCitation":"Ferry, 27.","plainCitation":"Ferry, 27.","noteIndex":70},"citationItems":[{"id":1465,"uris":["http://zotero.org/users/3679831/items/HMSTGS4I"],"uri":["http://zotero.org/users/3679831/items/HMSTGS4I"],"itemData":{"id":1465,"type":"book","title":"L'éthique reconstructive","collection-title":"Humanités","publisher":"Cerf","publisher-place":"Paris","number-of-pages":"115","source":"Library of Congress ISBN","event-place":"Paris","ISBN":"978-2-204-05383-9","call-number":"BD237 .F47 1996","author":[{"family":"Ferry","given":"Jean-Marc"}],"issued":{"date-parts":[["1996"]]}},"locator":"27","label":"page"}],"schema":"https://github.com/citation-style-language/schema/raw/master/csl-citation.json"} </w:instrText>
      </w:r>
      <w:r>
        <w:fldChar w:fldCharType="separate"/>
      </w:r>
      <w:r w:rsidRPr="00C02206">
        <w:rPr>
          <w:rFonts w:ascii="Calibri" w:hAnsi="Calibri" w:cs="Calibri"/>
        </w:rPr>
        <w:t>Ferry, 27.</w:t>
      </w:r>
      <w:r>
        <w:fldChar w:fldCharType="end"/>
      </w:r>
    </w:p>
  </w:footnote>
  <w:footnote w:id="71">
    <w:p w14:paraId="295B9E4D" w14:textId="59C2C412" w:rsidR="006F28E3" w:rsidRPr="00C02206" w:rsidRDefault="006F28E3" w:rsidP="001905B0">
      <w:pPr>
        <w:pStyle w:val="FootnoteText"/>
      </w:pPr>
      <w:r w:rsidRPr="0026745F">
        <w:rPr>
          <w:rStyle w:val="FootnoteReference"/>
        </w:rPr>
        <w:footnoteRef/>
      </w:r>
      <w:r w:rsidRPr="00C02206">
        <w:t xml:space="preserve"> </w:t>
      </w:r>
      <w:r>
        <w:fldChar w:fldCharType="begin"/>
      </w:r>
      <w:r>
        <w:instrText xml:space="preserve"> ADDIN ZOTERO_ITEM CSL_CITATION {"citationID":"Ul1XaypD","properties":{"formattedCitation":"Arendt, trad. Fradier, et pr\\uc0\\u233{}face de Ricoeur, {\\i{}Condition de l\\uc0\\u8217{}homme moderne}, 302.","plainCitation":"Arendt, trad. Fradier, et préface de Ricoeur, Condition de l’homme moderne, 302.","noteIndex":71},"citationItems":[{"id":1874,"uris":["http://zotero.org/users/3679831/items/LPV7B9NQ"],"uri":["http://zotero.org/users/3679831/items/LPV7B9NQ"],"itemData":{"id":1874,"type":"book","title":"Condition de l'homme moderne","publisher":"Calmann-Lévy","publisher-place":"Paris","source":"Open WorldCat","event-place":"Paris","abstract":"Condition de l’homme moderne (1958) prend place dans l’oeuvre de Hannah Arendt, à la suite des Origines du totalitarisme (1951.Témoin des grands séismes de l’histoire et de la raison. Hannah Arendt s’est particulièrement attachée à réfléchir sur les conditions de la liberté et d’une pensée libre. Ce livre rappelle avec force que la vraie liberté politique n’est pas la retraite paisible dans la sphère de la vie privée, si précieuse soit-elle, mais aussi et d’abord l’action publique menée avec des égaux et reposant sur des choix individuels. Examinant les concepts de travail, d’oeuvre et d’action, Hannah Arendt nous parle du règne de la nécessité, de la capacité de création et de la révélation de l’homme dans la parole et dans l’action. Se fondant sur la philosophie grecque, elle étudie les questions majeures de notre temps : la réhabilitation de l’action politique individuelle, les limites de toute souveraineté, les périls mortels du déterminisme historique et social, la fragilité de la liberté, le caractère imprévisible de l’histoire des hommes. Hannah Arendt aimait citer René Char : \"Notre héritage n’est précédé d’aucun testament.\" Cette réédition de l’oeuvre philosophique majeure de Hannah Arendt est précédée d’une importante préface de Paul Ricoeur, qui analyse l’apport de l’auteur à la pensée politique contemporaine et situe ce livre dans l’eouvre de Hannah Arendt.","ISBN":"978-2-266-12649-6","note":"OCLC: 913110082","language":"French","author":[{"family":"Arendt","given":"Hannah"},{"family":"Fradier","given":"Georges","non-dropping-particle":"trad."},{"family":"Ricoeur","given":"Paul","non-dropping-particle":"préface de"}],"issued":{"date-parts":[["2014"]]}},"locator":"302","label":"page"}],"schema":"https://github.com/citation-style-language/schema/raw/master/csl-citation.json"} </w:instrText>
      </w:r>
      <w:r>
        <w:fldChar w:fldCharType="separate"/>
      </w:r>
      <w:r w:rsidRPr="00501581">
        <w:rPr>
          <w:rFonts w:ascii="Calibri" w:hAnsi="Calibri" w:cs="Calibri"/>
          <w:szCs w:val="24"/>
        </w:rPr>
        <w:t xml:space="preserve">Arendt, trad. Fradier, et préface de Ricoeur, </w:t>
      </w:r>
      <w:r w:rsidRPr="00501581">
        <w:rPr>
          <w:rFonts w:ascii="Calibri" w:hAnsi="Calibri" w:cs="Calibri"/>
          <w:i/>
          <w:iCs/>
          <w:szCs w:val="24"/>
        </w:rPr>
        <w:t>Condition de l’homme moderne</w:t>
      </w:r>
      <w:r w:rsidRPr="00501581">
        <w:rPr>
          <w:rFonts w:ascii="Calibri" w:hAnsi="Calibri" w:cs="Calibri"/>
          <w:szCs w:val="24"/>
        </w:rPr>
        <w:t>, 302.</w:t>
      </w:r>
      <w:r>
        <w:fldChar w:fldCharType="end"/>
      </w:r>
    </w:p>
  </w:footnote>
  <w:footnote w:id="72">
    <w:p w14:paraId="3AD4BA01" w14:textId="58FCF163" w:rsidR="006F28E3" w:rsidRPr="00B45D16" w:rsidRDefault="006F28E3" w:rsidP="001905B0">
      <w:pPr>
        <w:pStyle w:val="FootnoteText"/>
      </w:pPr>
      <w:r w:rsidRPr="0026745F">
        <w:rPr>
          <w:rStyle w:val="FootnoteReference"/>
        </w:rPr>
        <w:footnoteRef/>
      </w:r>
      <w:r w:rsidRPr="00B45D16">
        <w:t xml:space="preserve"> </w:t>
      </w:r>
      <w:r>
        <w:fldChar w:fldCharType="begin"/>
      </w:r>
      <w:r>
        <w:instrText xml:space="preserve"> ADDIN ZOTERO_ITEM CSL_CITATION {"citationID":"3KLj9SdX","properties":{"formattedCitation":"Arendt, Fradier, et Ricoeur, 302.","plainCitation":"Arendt, Fradier, et Ricoeur, 302.","dontUpdate":true,"noteIndex":72},"citationItems":[{"id":1874,"uris":["http://zotero.org/users/3679831/items/LPV7B9NQ"],"uri":["http://zotero.org/users/3679831/items/LPV7B9NQ"],"itemData":{"id":1874,"type":"book","title":"Condition de l'homme moderne","publisher":"Calmann-Lévy","publisher-place":"Paris","source":"Open WorldCat","event-place":"Paris","abstract":"Condition de l’homme moderne (1958) prend place dans l’oeuvre de Hannah Arendt, à la suite des Origines du totalitarisme (1951.Témoin des grands séismes de l’histoire et de la raison. Hannah Arendt s’est particulièrement attachée à réfléchir sur les conditions de la liberté et d’une pensée libre. Ce livre rappelle avec force que la vraie liberté politique n’est pas la retraite paisible dans la sphère de la vie privée, si précieuse soit-elle, mais aussi et d’abord l’action publique menée avec des égaux et reposant sur des choix individuels. Examinant les concepts de travail, d’oeuvre et d’action, Hannah Arendt nous parle du règne de la nécessité, de la capacité de création et de la révélation de l’homme dans la parole et dans l’action. Se fondant sur la philosophie grecque, elle étudie les questions majeures de notre temps : la réhabilitation de l’action politique individuelle, les limites de toute souveraineté, les périls mortels du déterminisme historique et social, la fragilité de la liberté, le caractère imprévisible de l’histoire des hommes. Hannah Arendt aimait citer René Char : \"Notre héritage n’est précédé d’aucun testament.\" Cette réédition de l’oeuvre philosophique majeure de Hannah Arendt est précédée d’une importante préface de Paul Ricoeur, qui analyse l’apport de l’auteur à la pensée politique contemporaine et situe ce livre dans l’eouvre de Hannah Arendt.","ISBN":"978-2-266-12649-6","note":"OCLC: 913110082","language":"French","author":[{"family":"Arendt","given":"Hannah"},{"family":"Fradier","given":"Georges","non-dropping-particle":"trad."},{"family":"Ricoeur","given":"Paul","non-dropping-particle":"préface de"}],"issued":{"date-parts":[["2014"]]}},"locator":"302","label":"page"}],"schema":"https://github.com/citation-style-language/schema/raw/master/csl-citation.json"} </w:instrText>
      </w:r>
      <w:r>
        <w:fldChar w:fldCharType="separate"/>
      </w:r>
      <w:r w:rsidRPr="00B45D16">
        <w:rPr>
          <w:rFonts w:ascii="Calibri" w:hAnsi="Calibri" w:cs="Calibri"/>
          <w:szCs w:val="24"/>
        </w:rPr>
        <w:t>Arendt, Fradier, et Ricoeur,302</w:t>
      </w:r>
      <w:r>
        <w:t xml:space="preserve"> </w:t>
      </w:r>
      <w:r>
        <w:fldChar w:fldCharType="end"/>
      </w:r>
    </w:p>
  </w:footnote>
  <w:footnote w:id="73">
    <w:p w14:paraId="0DF07D87" w14:textId="319AF30B" w:rsidR="006F28E3" w:rsidRPr="00B45D16" w:rsidRDefault="006F28E3" w:rsidP="001905B0">
      <w:pPr>
        <w:pStyle w:val="FootnoteText"/>
      </w:pPr>
      <w:r w:rsidRPr="0026745F">
        <w:rPr>
          <w:rStyle w:val="FootnoteReference"/>
        </w:rPr>
        <w:footnoteRef/>
      </w:r>
      <w:r w:rsidRPr="00B45D16">
        <w:t xml:space="preserve"> </w:t>
      </w:r>
      <w:r>
        <w:fldChar w:fldCharType="begin"/>
      </w:r>
      <w:r>
        <w:instrText xml:space="preserve"> ADDIN ZOTERO_ITEM CSL_CITATION {"citationID":"TH32vOCP","properties":{"formattedCitation":"Arendt, Fradier, et Ricoeur, 302.","plainCitation":"Arendt, Fradier, et Ricoeur, 302.","dontUpdate":true,"noteIndex":73},"citationItems":[{"id":1874,"uris":["http://zotero.org/users/3679831/items/LPV7B9NQ"],"uri":["http://zotero.org/users/3679831/items/LPV7B9NQ"],"itemData":{"id":1874,"type":"book","title":"Condition de l'homme moderne","publisher":"Calmann-Lévy","publisher-place":"Paris","source":"Open WorldCat","event-place":"Paris","abstract":"Condition de l’homme moderne (1958) prend place dans l’oeuvre de Hannah Arendt, à la suite des Origines du totalitarisme (1951.Témoin des grands séismes de l’histoire et de la raison. Hannah Arendt s’est particulièrement attachée à réfléchir sur les conditions de la liberté et d’une pensée libre. Ce livre rappelle avec force que la vraie liberté politique n’est pas la retraite paisible dans la sphère de la vie privée, si précieuse soit-elle, mais aussi et d’abord l’action publique menée avec des égaux et reposant sur des choix individuels. Examinant les concepts de travail, d’oeuvre et d’action, Hannah Arendt nous parle du règne de la nécessité, de la capacité de création et de la révélation de l’homme dans la parole et dans l’action. Se fondant sur la philosophie grecque, elle étudie les questions majeures de notre temps : la réhabilitation de l’action politique individuelle, les limites de toute souveraineté, les périls mortels du déterminisme historique et social, la fragilité de la liberté, le caractère imprévisible de l’histoire des hommes. Hannah Arendt aimait citer René Char : \"Notre héritage n’est précédé d’aucun testament.\" Cette réédition de l’oeuvre philosophique majeure de Hannah Arendt est précédée d’une importante préface de Paul Ricoeur, qui analyse l’apport de l’auteur à la pensée politique contemporaine et situe ce livre dans l’eouvre de Hannah Arendt.","ISBN":"978-2-266-12649-6","note":"OCLC: 913110082","language":"French","author":[{"family":"Arendt","given":"Hannah"},{"family":"Fradier","given":"Georges","non-dropping-particle":"trad."},{"family":"Ricoeur","given":"Paul","non-dropping-particle":"préface de"}],"issued":{"date-parts":[["2014"]]}},"locator":"302","label":"page"}],"schema":"https://github.com/citation-style-language/schema/raw/master/csl-citation.json"} </w:instrText>
      </w:r>
      <w:r>
        <w:fldChar w:fldCharType="separate"/>
      </w:r>
      <w:r w:rsidRPr="00B45D16">
        <w:rPr>
          <w:rFonts w:ascii="Calibri" w:hAnsi="Calibri" w:cs="Calibri"/>
          <w:szCs w:val="24"/>
        </w:rPr>
        <w:t>Arendt, Fradier, et Ricoeur,302</w:t>
      </w:r>
      <w:r>
        <w:t xml:space="preserve"> </w:t>
      </w:r>
      <w:r>
        <w:fldChar w:fldCharType="end"/>
      </w:r>
    </w:p>
  </w:footnote>
  <w:footnote w:id="74">
    <w:p w14:paraId="5E0C4A41" w14:textId="002B2254" w:rsidR="006F28E3" w:rsidRPr="0076221C" w:rsidRDefault="006F28E3" w:rsidP="001905B0">
      <w:pPr>
        <w:pStyle w:val="FootnoteText"/>
      </w:pPr>
      <w:r w:rsidRPr="0026745F">
        <w:rPr>
          <w:rStyle w:val="FootnoteReference"/>
        </w:rPr>
        <w:footnoteRef/>
      </w:r>
      <w:r w:rsidRPr="0076221C">
        <w:t xml:space="preserve"> </w:t>
      </w:r>
      <w:r>
        <w:fldChar w:fldCharType="begin"/>
      </w:r>
      <w:r>
        <w:instrText xml:space="preserve"> ADDIN ZOTERO_ITEM CSL_CITATION {"citationID":"FxWqvPZM","properties":{"formattedCitation":"Ferry, {\\i{}L\\uc0\\u8217{}\\uc0\\u233{}thique reconstructive}, 1996, 70.","plainCitation":"Ferry, L’éthique reconstructive, 1996, 70.","noteIndex":74},"citationItems":[{"id":1896,"uris":["http://zotero.org/users/3679831/items/JSMRLHEE"],"uri":["http://zotero.org/users/3679831/items/JSMRLHEE"],"itemData":{"id":1896,"type":"book","title":"L'éthique reconstructive","publisher":"Ed. du Cerf","publisher-place":"Paris","source":"Open WorldCat","event-place":"Paris","abstract":"Narration ou argumentation? Une nouvelle polarité philosophique se dessine ainsi, chargée d'enjeux relatifs à la question de l'éthique. Par la mise en récit des expériences, la narration confère à l'identité personnelle un ancrage et une épaisseur historiques, orientant l'éthique vers un idéal substantiel de vie bonne. Mais comment articuler la visée substantielle à la voie procédurale? Comment assurer, sur la voie du discours, le principe de reconnaissance? Dans cette entreprise, \"l'éthique de la reconstruction\" revêt une signification décisive.","ISBN":"978-2-204-05383-9","note":"OCLC: 243849619","language":"French","author":[{"family":"Ferry","given":"Jean-Marc"}],"issued":{"date-parts":[["1996"]]}},"locator":"70","label":"page"}],"schema":"https://github.com/citation-style-language/schema/raw/master/csl-citation.json"} </w:instrText>
      </w:r>
      <w:r>
        <w:fldChar w:fldCharType="separate"/>
      </w:r>
      <w:r w:rsidRPr="0076221C">
        <w:rPr>
          <w:rFonts w:ascii="Calibri" w:hAnsi="Calibri" w:cs="Calibri"/>
          <w:szCs w:val="24"/>
        </w:rPr>
        <w:t xml:space="preserve">Ferry, </w:t>
      </w:r>
      <w:r w:rsidRPr="0076221C">
        <w:rPr>
          <w:rFonts w:ascii="Calibri" w:hAnsi="Calibri" w:cs="Calibri"/>
          <w:i/>
          <w:iCs/>
          <w:szCs w:val="24"/>
        </w:rPr>
        <w:t>L’éthique reconstructive</w:t>
      </w:r>
      <w:r w:rsidRPr="0076221C">
        <w:rPr>
          <w:rFonts w:ascii="Calibri" w:hAnsi="Calibri" w:cs="Calibri"/>
          <w:szCs w:val="24"/>
        </w:rPr>
        <w:t>, 1996, 70.</w:t>
      </w:r>
      <w:r>
        <w:fldChar w:fldCharType="end"/>
      </w:r>
    </w:p>
  </w:footnote>
  <w:footnote w:id="75">
    <w:p w14:paraId="188991E2" w14:textId="0C9C21C7" w:rsidR="006F28E3" w:rsidRPr="001B2B75" w:rsidRDefault="006F28E3" w:rsidP="001905B0">
      <w:pPr>
        <w:pStyle w:val="FootnoteText"/>
        <w:rPr>
          <w:lang w:val="en-CA"/>
        </w:rPr>
      </w:pPr>
      <w:r w:rsidRPr="0026745F">
        <w:rPr>
          <w:rStyle w:val="FootnoteReference"/>
        </w:rPr>
        <w:footnoteRef/>
      </w:r>
      <w:r w:rsidRPr="001B2B75">
        <w:rPr>
          <w:lang w:val="en-CA"/>
        </w:rPr>
        <w:t xml:space="preserve"> </w:t>
      </w:r>
      <w:r>
        <w:fldChar w:fldCharType="begin"/>
      </w:r>
      <w:r>
        <w:rPr>
          <w:lang w:val="en-CA"/>
        </w:rPr>
        <w:instrText xml:space="preserve"> ADDIN ZOTERO_ITEM CSL_CITATION {"citationID":"Z7rMbdvo","properties":{"formattedCitation":"Ferry, 61.","plainCitation":"Ferry, 61.","dontUpdate":true,"noteIndex":75},"citationItems":[{"id":1896,"uris":["http://zotero.org/users/3679831/items/JSMRLHEE"],"uri":["http://zotero.org/users/3679831/items/JSMRLHEE"],"itemData":{"id":1896,"type":"book","title":"L'éthique reconstructive","publisher":"Ed. du Cerf","publisher-place":"Paris","source":"Open WorldCat","event-place":"Paris","abstract":"Narration ou argumentation? Une nouvelle polarité philosophique se dessine ainsi, chargée d'enjeux relatifs à la question de l'éthique. Par la mise en récit des expériences, la narration confère à l'identité personnelle un ancrage et une épaisseur historiques, orientant l'éthique vers un idéal substantiel de vie bonne. Mais comment articuler la visée substantielle à la voie procédurale? Comment assurer, sur la voie du discours, le principe de reconnaissance? Dans cette entreprise, \"l'éthique de la reconstruction\" revêt une signification décisive.","ISBN":"978-2-204-05383-9","note":"OCLC: 243849619","language":"French","author":[{"family":"Ferry","given":"Jean-Marc"}],"issued":{"date-parts":[["1996"]]}},"locator":"61","label":"page"}],"schema":"https://github.com/citation-style-language/schema/raw/master/csl-citation.json"} </w:instrText>
      </w:r>
      <w:r>
        <w:fldChar w:fldCharType="separate"/>
      </w:r>
      <w:r w:rsidRPr="001B2B75">
        <w:rPr>
          <w:rFonts w:ascii="Calibri" w:hAnsi="Calibri" w:cs="Calibri"/>
          <w:szCs w:val="24"/>
          <w:lang w:val="en-CA"/>
        </w:rPr>
        <w:t xml:space="preserve"> Ferry</w:t>
      </w:r>
      <w:r w:rsidRPr="001B2B75">
        <w:rPr>
          <w:rFonts w:ascii="Calibri" w:hAnsi="Calibri" w:cs="Calibri"/>
          <w:lang w:val="en-CA"/>
        </w:rPr>
        <w:t>, 61.</w:t>
      </w:r>
      <w:r>
        <w:fldChar w:fldCharType="end"/>
      </w:r>
    </w:p>
  </w:footnote>
  <w:footnote w:id="76">
    <w:p w14:paraId="70AE3EA6" w14:textId="6159F31B" w:rsidR="006F28E3" w:rsidRPr="001B2B75" w:rsidRDefault="006F28E3" w:rsidP="001905B0">
      <w:pPr>
        <w:pStyle w:val="FootnoteText"/>
        <w:rPr>
          <w:lang w:val="en-CA"/>
        </w:rPr>
      </w:pPr>
      <w:r w:rsidRPr="0026745F">
        <w:rPr>
          <w:rStyle w:val="FootnoteReference"/>
        </w:rPr>
        <w:footnoteRef/>
      </w:r>
      <w:r w:rsidRPr="001B2B75">
        <w:rPr>
          <w:lang w:val="en-CA"/>
        </w:rPr>
        <w:t xml:space="preserve"> </w:t>
      </w:r>
      <w:r>
        <w:fldChar w:fldCharType="begin"/>
      </w:r>
      <w:r>
        <w:rPr>
          <w:lang w:val="en-CA"/>
        </w:rPr>
        <w:instrText xml:space="preserve"> ADDIN ZOTERO_ITEM CSL_CITATION {"citationID":"H5RG58Pw","properties":{"formattedCitation":"Ferry, 63.","plainCitation":"Ferry, 63.","dontUpdate":true,"noteIndex":76},"citationItems":[{"id":1896,"uris":["http://zotero.org/users/3679831/items/JSMRLHEE"],"uri":["http://zotero.org/users/3679831/items/JSMRLHEE"],"itemData":{"id":1896,"type":"book","title":"L'éthique reconstructive","publisher":"Ed. du Cerf","publisher-place":"Paris","source":"Open WorldCat","event-place":"Paris","abstract":"Narration ou argumentation? Une nouvelle polarité philosophique se dessine ainsi, chargée d'enjeux relatifs à la question de l'éthique. Par la mise en récit des expériences, la narration confère à l'identité personnelle un ancrage et une épaisseur historiques, orientant l'éthique vers un idéal substantiel de vie bonne. Mais comment articuler la visée substantielle à la voie procédurale? Comment assurer, sur la voie du discours, le principe de reconnaissance? Dans cette entreprise, \"l'éthique de la reconstruction\" revêt une signification décisive.","ISBN":"978-2-204-05383-9","note":"OCLC: 243849619","language":"French","author":[{"family":"Ferry","given":"Jean-Marc"}],"issued":{"date-parts":[["1996"]]}},"locator":"63","label":"page"}],"schema":"https://github.com/citation-style-language/schema/raw/master/csl-citation.json"} </w:instrText>
      </w:r>
      <w:r>
        <w:fldChar w:fldCharType="separate"/>
      </w:r>
      <w:r w:rsidRPr="001B2B75">
        <w:rPr>
          <w:rFonts w:ascii="Calibri" w:hAnsi="Calibri" w:cs="Calibri"/>
          <w:szCs w:val="24"/>
          <w:lang w:val="en-CA"/>
        </w:rPr>
        <w:t xml:space="preserve"> Ferry</w:t>
      </w:r>
      <w:r w:rsidRPr="001B2B75">
        <w:rPr>
          <w:rFonts w:ascii="Calibri" w:hAnsi="Calibri" w:cs="Calibri"/>
          <w:lang w:val="en-CA"/>
        </w:rPr>
        <w:t>, 63.</w:t>
      </w:r>
      <w:r>
        <w:fldChar w:fldCharType="end"/>
      </w:r>
    </w:p>
  </w:footnote>
  <w:footnote w:id="77">
    <w:p w14:paraId="67A6654E" w14:textId="435A7076" w:rsidR="006F28E3" w:rsidRPr="001B2B75" w:rsidRDefault="006F28E3" w:rsidP="001905B0">
      <w:pPr>
        <w:pStyle w:val="FootnoteText"/>
        <w:rPr>
          <w:lang w:val="en-CA"/>
        </w:rPr>
      </w:pPr>
      <w:r w:rsidRPr="0026745F">
        <w:rPr>
          <w:rStyle w:val="FootnoteReference"/>
        </w:rPr>
        <w:footnoteRef/>
      </w:r>
      <w:r w:rsidRPr="001B2B75">
        <w:rPr>
          <w:lang w:val="en-CA"/>
        </w:rPr>
        <w:t xml:space="preserve"> </w:t>
      </w:r>
      <w:r>
        <w:fldChar w:fldCharType="begin"/>
      </w:r>
      <w:r>
        <w:rPr>
          <w:lang w:val="en-CA"/>
        </w:rPr>
        <w:instrText xml:space="preserve"> ADDIN ZOTERO_ITEM CSL_CITATION {"citationID":"xjTgI7yf","properties":{"formattedCitation":"Ferry, 16.","plainCitation":"Ferry, 16.","dontUpdate":true,"noteIndex":77},"citationItems":[{"id":1896,"uris":["http://zotero.org/users/3679831/items/JSMRLHEE"],"uri":["http://zotero.org/users/3679831/items/JSMRLHEE"],"itemData":{"id":1896,"type":"book","title":"L'éthique reconstructive","publisher":"Ed. du Cerf","publisher-place":"Paris","source":"Open WorldCat","event-place":"Paris","abstract":"Narration ou argumentation? Une nouvelle polarité philosophique se dessine ainsi, chargée d'enjeux relatifs à la question de l'éthique. Par la mise en récit des expériences, la narration confère à l'identité personnelle un ancrage et une épaisseur historiques, orientant l'éthique vers un idéal substantiel de vie bonne. Mais comment articuler la visée substantielle à la voie procédurale? Comment assurer, sur la voie du discours, le principe de reconnaissance? Dans cette entreprise, \"l'éthique de la reconstruction\" revêt une signification décisive.","ISBN":"978-2-204-05383-9","note":"OCLC: 243849619","language":"French","author":[{"family":"Ferry","given":"Jean-Marc"}],"issued":{"date-parts":[["1996"]]}},"locator":"16","label":"page"}],"schema":"https://github.com/citation-style-language/schema/raw/master/csl-citation.json"} </w:instrText>
      </w:r>
      <w:r>
        <w:fldChar w:fldCharType="separate"/>
      </w:r>
      <w:r w:rsidRPr="001B2B75">
        <w:rPr>
          <w:rFonts w:ascii="Calibri" w:hAnsi="Calibri" w:cs="Calibri"/>
          <w:lang w:val="en-CA"/>
        </w:rPr>
        <w:t xml:space="preserve"> </w:t>
      </w:r>
      <w:r w:rsidRPr="001B2B75">
        <w:rPr>
          <w:rFonts w:ascii="Calibri" w:hAnsi="Calibri" w:cs="Calibri"/>
          <w:szCs w:val="24"/>
          <w:lang w:val="en-CA"/>
        </w:rPr>
        <w:t>Ferry</w:t>
      </w:r>
      <w:r w:rsidRPr="001B2B75">
        <w:rPr>
          <w:rFonts w:ascii="Calibri" w:hAnsi="Calibri" w:cs="Calibri"/>
          <w:lang w:val="en-CA"/>
        </w:rPr>
        <w:t>, 16.</w:t>
      </w:r>
      <w:r>
        <w:fldChar w:fldCharType="end"/>
      </w:r>
    </w:p>
  </w:footnote>
  <w:footnote w:id="78">
    <w:p w14:paraId="75895D0A" w14:textId="18971B2C" w:rsidR="006F28E3" w:rsidRPr="001B2B75" w:rsidRDefault="006F28E3" w:rsidP="001905B0">
      <w:pPr>
        <w:pStyle w:val="FootnoteText"/>
        <w:rPr>
          <w:lang w:val="en-CA"/>
        </w:rPr>
      </w:pPr>
      <w:r w:rsidRPr="0026745F">
        <w:rPr>
          <w:rStyle w:val="FootnoteReference"/>
        </w:rPr>
        <w:footnoteRef/>
      </w:r>
      <w:r w:rsidRPr="001B2B75">
        <w:rPr>
          <w:lang w:val="en-CA"/>
        </w:rPr>
        <w:t xml:space="preserve"> </w:t>
      </w:r>
      <w:r>
        <w:fldChar w:fldCharType="begin"/>
      </w:r>
      <w:r>
        <w:rPr>
          <w:lang w:val="en-CA"/>
        </w:rPr>
        <w:instrText xml:space="preserve"> ADDIN ZOTERO_ITEM CSL_CITATION {"citationID":"syBTFosv","properties":{"formattedCitation":"Ferry, 70.","plainCitation":"Ferry, 70.","dontUpdate":true,"noteIndex":78},"citationItems":[{"id":1896,"uris":["http://zotero.org/users/3679831/items/JSMRLHEE"],"uri":["http://zotero.org/users/3679831/items/JSMRLHEE"],"itemData":{"id":1896,"type":"book","title":"L'éthique reconstructive","publisher":"Ed. du Cerf","publisher-place":"Paris","source":"Open WorldCat","event-place":"Paris","abstract":"Narration ou argumentation? Une nouvelle polarité philosophique se dessine ainsi, chargée d'enjeux relatifs à la question de l'éthique. Par la mise en récit des expériences, la narration confère à l'identité personnelle un ancrage et une épaisseur historiques, orientant l'éthique vers un idéal substantiel de vie bonne. Mais comment articuler la visée substantielle à la voie procédurale? Comment assurer, sur la voie du discours, le principe de reconnaissance? Dans cette entreprise, \"l'éthique de la reconstruction\" revêt une signification décisive.","ISBN":"978-2-204-05383-9","note":"OCLC: 243849619","language":"French","author":[{"family":"Ferry","given":"Jean-Marc"}],"issued":{"date-parts":[["1996"]]}},"locator":"70","label":"page"}],"schema":"https://github.com/citation-style-language/schema/raw/master/csl-citation.json"} </w:instrText>
      </w:r>
      <w:r>
        <w:fldChar w:fldCharType="separate"/>
      </w:r>
      <w:r w:rsidRPr="001B2B75">
        <w:rPr>
          <w:rFonts w:ascii="Calibri" w:hAnsi="Calibri" w:cs="Calibri"/>
          <w:lang w:val="en-CA"/>
        </w:rPr>
        <w:t xml:space="preserve"> </w:t>
      </w:r>
      <w:r w:rsidRPr="001B2B75">
        <w:rPr>
          <w:rFonts w:ascii="Calibri" w:hAnsi="Calibri" w:cs="Calibri"/>
          <w:szCs w:val="24"/>
          <w:lang w:val="en-CA"/>
        </w:rPr>
        <w:t>Ferry</w:t>
      </w:r>
      <w:r w:rsidRPr="001B2B75">
        <w:rPr>
          <w:rFonts w:ascii="Calibri" w:hAnsi="Calibri" w:cs="Calibri"/>
          <w:lang w:val="en-CA"/>
        </w:rPr>
        <w:t>, 70.</w:t>
      </w:r>
      <w:r>
        <w:fldChar w:fldCharType="end"/>
      </w:r>
    </w:p>
  </w:footnote>
  <w:footnote w:id="79">
    <w:p w14:paraId="31C34491" w14:textId="77AF4046" w:rsidR="006F28E3" w:rsidRPr="001B2B75" w:rsidRDefault="006F28E3" w:rsidP="001905B0">
      <w:pPr>
        <w:pStyle w:val="FootnoteText"/>
        <w:rPr>
          <w:lang w:val="en-CA"/>
        </w:rPr>
      </w:pPr>
      <w:r w:rsidRPr="0026745F">
        <w:rPr>
          <w:rStyle w:val="FootnoteReference"/>
        </w:rPr>
        <w:footnoteRef/>
      </w:r>
      <w:r w:rsidRPr="001B2B75">
        <w:rPr>
          <w:lang w:val="en-CA"/>
        </w:rPr>
        <w:t xml:space="preserve"> </w:t>
      </w:r>
      <w:r>
        <w:fldChar w:fldCharType="begin"/>
      </w:r>
      <w:r>
        <w:rPr>
          <w:lang w:val="en-CA"/>
        </w:rPr>
        <w:instrText xml:space="preserve"> ADDIN ZOTERO_ITEM CSL_CITATION {"citationID":"00oUhmL7","properties":{"formattedCitation":"Ferry, 61.","plainCitation":"Ferry, 61.","dontUpdate":true,"noteIndex":79},"citationItems":[{"id":1896,"uris":["http://zotero.org/users/3679831/items/JSMRLHEE"],"uri":["http://zotero.org/users/3679831/items/JSMRLHEE"],"itemData":{"id":1896,"type":"book","title":"L'éthique reconstructive","publisher":"Ed. du Cerf","publisher-place":"Paris","source":"Open WorldCat","event-place":"Paris","abstract":"Narration ou argumentation? Une nouvelle polarité philosophique se dessine ainsi, chargée d'enjeux relatifs à la question de l'éthique. Par la mise en récit des expériences, la narration confère à l'identité personnelle un ancrage et une épaisseur historiques, orientant l'éthique vers un idéal substantiel de vie bonne. Mais comment articuler la visée substantielle à la voie procédurale? Comment assurer, sur la voie du discours, le principe de reconnaissance? Dans cette entreprise, \"l'éthique de la reconstruction\" revêt une signification décisive.","ISBN":"978-2-204-05383-9","note":"OCLC: 243849619","language":"French","author":[{"family":"Ferry","given":"Jean-Marc"}],"issued":{"date-parts":[["1996"]]}},"locator":"61","label":"page"}],"schema":"https://github.com/citation-style-language/schema/raw/master/csl-citation.json"} </w:instrText>
      </w:r>
      <w:r>
        <w:fldChar w:fldCharType="separate"/>
      </w:r>
      <w:r w:rsidRPr="001B2B75">
        <w:rPr>
          <w:rFonts w:ascii="Calibri" w:hAnsi="Calibri" w:cs="Calibri"/>
          <w:lang w:val="en-CA"/>
        </w:rPr>
        <w:t xml:space="preserve"> </w:t>
      </w:r>
      <w:r w:rsidRPr="001B2B75">
        <w:rPr>
          <w:rFonts w:ascii="Calibri" w:hAnsi="Calibri" w:cs="Calibri"/>
          <w:szCs w:val="24"/>
          <w:lang w:val="en-CA"/>
        </w:rPr>
        <w:t>Ferry</w:t>
      </w:r>
      <w:r w:rsidRPr="001B2B75">
        <w:rPr>
          <w:rFonts w:ascii="Calibri" w:hAnsi="Calibri" w:cs="Calibri"/>
          <w:lang w:val="en-CA"/>
        </w:rPr>
        <w:t>, 61.</w:t>
      </w:r>
      <w:r>
        <w:fldChar w:fldCharType="end"/>
      </w:r>
    </w:p>
  </w:footnote>
  <w:footnote w:id="80">
    <w:p w14:paraId="2B2A32F0" w14:textId="5DD2F5E3" w:rsidR="006F28E3" w:rsidRPr="001B2B75" w:rsidRDefault="006F28E3" w:rsidP="001905B0">
      <w:pPr>
        <w:pStyle w:val="FootnoteText"/>
        <w:rPr>
          <w:lang w:val="en-CA"/>
        </w:rPr>
      </w:pPr>
      <w:r w:rsidRPr="0026745F">
        <w:rPr>
          <w:rStyle w:val="FootnoteReference"/>
        </w:rPr>
        <w:footnoteRef/>
      </w:r>
      <w:r w:rsidRPr="001B2B75">
        <w:rPr>
          <w:lang w:val="en-CA"/>
        </w:rPr>
        <w:t xml:space="preserve"> </w:t>
      </w:r>
      <w:r>
        <w:fldChar w:fldCharType="begin"/>
      </w:r>
      <w:r>
        <w:rPr>
          <w:lang w:val="en-CA"/>
        </w:rPr>
        <w:instrText xml:space="preserve"> ADDIN ZOTERO_ITEM CSL_CITATION {"citationID":"niSuBJ0g","properties":{"formattedCitation":"Ferry, 61.","plainCitation":"Ferry, 61.","dontUpdate":true,"noteIndex":80},"citationItems":[{"id":1896,"uris":["http://zotero.org/users/3679831/items/JSMRLHEE"],"uri":["http://zotero.org/users/3679831/items/JSMRLHEE"],"itemData":{"id":1896,"type":"book","title":"L'éthique reconstructive","publisher":"Ed. du Cerf","publisher-place":"Paris","source":"Open WorldCat","event-place":"Paris","abstract":"Narration ou argumentation? Une nouvelle polarité philosophique se dessine ainsi, chargée d'enjeux relatifs à la question de l'éthique. Par la mise en récit des expériences, la narration confère à l'identité personnelle un ancrage et une épaisseur historiques, orientant l'éthique vers un idéal substantiel de vie bonne. Mais comment articuler la visée substantielle à la voie procédurale? Comment assurer, sur la voie du discours, le principe de reconnaissance? Dans cette entreprise, \"l'éthique de la reconstruction\" revêt une signification décisive.","ISBN":"978-2-204-05383-9","note":"OCLC: 243849619","language":"French","author":[{"family":"Ferry","given":"Jean-Marc"}],"issued":{"date-parts":[["1996"]]}},"locator":"61","label":"page"}],"schema":"https://github.com/citation-style-language/schema/raw/master/csl-citation.json"} </w:instrText>
      </w:r>
      <w:r>
        <w:fldChar w:fldCharType="separate"/>
      </w:r>
      <w:r w:rsidRPr="001B2B75">
        <w:rPr>
          <w:rFonts w:ascii="Calibri" w:hAnsi="Calibri" w:cs="Calibri"/>
          <w:lang w:val="en-CA"/>
        </w:rPr>
        <w:t xml:space="preserve"> </w:t>
      </w:r>
      <w:r w:rsidRPr="001B2B75">
        <w:rPr>
          <w:rFonts w:ascii="Calibri" w:hAnsi="Calibri" w:cs="Calibri"/>
          <w:szCs w:val="24"/>
          <w:lang w:val="en-CA"/>
        </w:rPr>
        <w:t>Ferry</w:t>
      </w:r>
      <w:r w:rsidRPr="001B2B75">
        <w:rPr>
          <w:rFonts w:ascii="Calibri" w:hAnsi="Calibri" w:cs="Calibri"/>
          <w:lang w:val="en-CA"/>
        </w:rPr>
        <w:t>, 61.</w:t>
      </w:r>
      <w:r>
        <w:fldChar w:fldCharType="end"/>
      </w:r>
    </w:p>
  </w:footnote>
  <w:footnote w:id="81">
    <w:p w14:paraId="0CF0E6E0" w14:textId="37163A68" w:rsidR="006F28E3" w:rsidRPr="001B2B75" w:rsidRDefault="006F28E3" w:rsidP="001905B0">
      <w:pPr>
        <w:pStyle w:val="FootnoteText"/>
        <w:rPr>
          <w:lang w:val="en-CA"/>
        </w:rPr>
      </w:pPr>
      <w:r w:rsidRPr="0026745F">
        <w:rPr>
          <w:rStyle w:val="FootnoteReference"/>
        </w:rPr>
        <w:footnoteRef/>
      </w:r>
      <w:r w:rsidRPr="001B2B75">
        <w:rPr>
          <w:lang w:val="en-CA"/>
        </w:rPr>
        <w:t xml:space="preserve"> </w:t>
      </w:r>
      <w:r>
        <w:fldChar w:fldCharType="begin"/>
      </w:r>
      <w:r>
        <w:rPr>
          <w:lang w:val="en-CA"/>
        </w:rPr>
        <w:instrText xml:space="preserve"> ADDIN ZOTERO_ITEM CSL_CITATION {"citationID":"zVW3uYGd","properties":{"formattedCitation":"Ferry, 63.","plainCitation":"Ferry, 63.","dontUpdate":true,"noteIndex":81},"citationItems":[{"id":1896,"uris":["http://zotero.org/users/3679831/items/JSMRLHEE"],"uri":["http://zotero.org/users/3679831/items/JSMRLHEE"],"itemData":{"id":1896,"type":"book","title":"L'éthique reconstructive","publisher":"Ed. du Cerf","publisher-place":"Paris","source":"Open WorldCat","event-place":"Paris","abstract":"Narration ou argumentation? Une nouvelle polarité philosophique se dessine ainsi, chargée d'enjeux relatifs à la question de l'éthique. Par la mise en récit des expériences, la narration confère à l'identité personnelle un ancrage et une épaisseur historiques, orientant l'éthique vers un idéal substantiel de vie bonne. Mais comment articuler la visée substantielle à la voie procédurale? Comment assurer, sur la voie du discours, le principe de reconnaissance? Dans cette entreprise, \"l'éthique de la reconstruction\" revêt une signification décisive.","ISBN":"978-2-204-05383-9","note":"OCLC: 243849619","language":"French","author":[{"family":"Ferry","given":"Jean-Marc"}],"issued":{"date-parts":[["1996"]]}},"locator":"63","label":"page"}],"schema":"https://github.com/citation-style-language/schema/raw/master/csl-citation.json"} </w:instrText>
      </w:r>
      <w:r>
        <w:fldChar w:fldCharType="separate"/>
      </w:r>
      <w:r w:rsidRPr="001B2B75">
        <w:rPr>
          <w:rFonts w:ascii="Calibri" w:hAnsi="Calibri" w:cs="Calibri"/>
          <w:lang w:val="en-CA"/>
        </w:rPr>
        <w:t xml:space="preserve"> </w:t>
      </w:r>
      <w:r w:rsidRPr="001B2B75">
        <w:rPr>
          <w:rFonts w:ascii="Calibri" w:hAnsi="Calibri" w:cs="Calibri"/>
          <w:szCs w:val="24"/>
          <w:lang w:val="en-CA"/>
        </w:rPr>
        <w:t>Ferry</w:t>
      </w:r>
      <w:r w:rsidRPr="001B2B75">
        <w:rPr>
          <w:rFonts w:ascii="Calibri" w:hAnsi="Calibri" w:cs="Calibri"/>
          <w:lang w:val="en-CA"/>
        </w:rPr>
        <w:t>, 63.</w:t>
      </w:r>
      <w:r>
        <w:fldChar w:fldCharType="end"/>
      </w:r>
    </w:p>
  </w:footnote>
  <w:footnote w:id="82">
    <w:p w14:paraId="10D5D002" w14:textId="3C5071DB" w:rsidR="006F28E3" w:rsidRPr="001B2B75" w:rsidRDefault="006F28E3" w:rsidP="001905B0">
      <w:pPr>
        <w:pStyle w:val="FootnoteText"/>
        <w:rPr>
          <w:lang w:val="en-CA"/>
        </w:rPr>
      </w:pPr>
      <w:r w:rsidRPr="0026745F">
        <w:rPr>
          <w:rStyle w:val="FootnoteReference"/>
        </w:rPr>
        <w:footnoteRef/>
      </w:r>
      <w:r w:rsidRPr="001B2B75">
        <w:rPr>
          <w:lang w:val="en-CA"/>
        </w:rPr>
        <w:t xml:space="preserve"> </w:t>
      </w:r>
      <w:r>
        <w:fldChar w:fldCharType="begin"/>
      </w:r>
      <w:r>
        <w:rPr>
          <w:lang w:val="en-CA"/>
        </w:rPr>
        <w:instrText xml:space="preserve"> ADDIN ZOTERO_ITEM CSL_CITATION {"citationID":"svisVQqw","properties":{"formattedCitation":"Ferry, 70.","plainCitation":"Ferry, 70.","dontUpdate":true,"noteIndex":82},"citationItems":[{"id":1896,"uris":["http://zotero.org/users/3679831/items/JSMRLHEE"],"uri":["http://zotero.org/users/3679831/items/JSMRLHEE"],"itemData":{"id":1896,"type":"book","title":"L'éthique reconstructive","publisher":"Ed. du Cerf","publisher-place":"Paris","source":"Open WorldCat","event-place":"Paris","abstract":"Narration ou argumentation? Une nouvelle polarité philosophique se dessine ainsi, chargée d'enjeux relatifs à la question de l'éthique. Par la mise en récit des expériences, la narration confère à l'identité personnelle un ancrage et une épaisseur historiques, orientant l'éthique vers un idéal substantiel de vie bonne. Mais comment articuler la visée substantielle à la voie procédurale? Comment assurer, sur la voie du discours, le principe de reconnaissance? Dans cette entreprise, \"l'éthique de la reconstruction\" revêt une signification décisive.","ISBN":"978-2-204-05383-9","note":"OCLC: 243849619","language":"French","author":[{"family":"Ferry","given":"Jean-Marc"}],"issued":{"date-parts":[["1996"]]}},"locator":"70","label":"page"}],"schema":"https://github.com/citation-style-language/schema/raw/master/csl-citation.json"} </w:instrText>
      </w:r>
      <w:r>
        <w:fldChar w:fldCharType="separate"/>
      </w:r>
      <w:r w:rsidRPr="001B2B75">
        <w:rPr>
          <w:rFonts w:ascii="Calibri" w:hAnsi="Calibri" w:cs="Calibri"/>
          <w:szCs w:val="24"/>
          <w:lang w:val="en-CA"/>
        </w:rPr>
        <w:t xml:space="preserve"> Ferry</w:t>
      </w:r>
      <w:r w:rsidRPr="001B2B75">
        <w:rPr>
          <w:rFonts w:ascii="Calibri" w:hAnsi="Calibri" w:cs="Calibri"/>
          <w:lang w:val="en-CA"/>
        </w:rPr>
        <w:t>, 70.</w:t>
      </w:r>
      <w:r>
        <w:fldChar w:fldCharType="end"/>
      </w:r>
    </w:p>
  </w:footnote>
  <w:footnote w:id="83">
    <w:p w14:paraId="75998BC7" w14:textId="5E917D68" w:rsidR="006F28E3" w:rsidRPr="001B2B75" w:rsidRDefault="006F28E3" w:rsidP="001905B0">
      <w:pPr>
        <w:pStyle w:val="FootnoteText"/>
        <w:rPr>
          <w:lang w:val="en-CA"/>
        </w:rPr>
      </w:pPr>
      <w:r w:rsidRPr="0026745F">
        <w:rPr>
          <w:rStyle w:val="FootnoteReference"/>
        </w:rPr>
        <w:footnoteRef/>
      </w:r>
      <w:r w:rsidRPr="001B2B75">
        <w:rPr>
          <w:lang w:val="en-CA"/>
        </w:rPr>
        <w:t xml:space="preserve"> </w:t>
      </w:r>
      <w:r>
        <w:fldChar w:fldCharType="begin"/>
      </w:r>
      <w:r>
        <w:rPr>
          <w:lang w:val="en-CA"/>
        </w:rPr>
        <w:instrText xml:space="preserve"> ADDIN ZOTERO_ITEM CSL_CITATION {"citationID":"WEkFLrL2","properties":{"formattedCitation":"Ferry, 61.","plainCitation":"Ferry, 61.","noteIndex":83},"citationItems":[{"id":1896,"uris":["http://zotero.org/users/3679831/items/JSMRLHEE"],"uri":["http://zotero.org/users/3679831/items/JSMRLHEE"],"itemData":{"id":1896,"type":"book","title":"L'éthique reconstructive","publisher":"Ed. du Cerf","publisher-place":"Paris","source":"Open WorldCat","event-place":"Paris","abstract":"Narration ou argumentation? Une nouvelle polarité philosophique se dessine ainsi, chargée d'enjeux relatifs à la question de l'éthique. Par la mise en récit des expériences, la narration confère à l'identité personnelle un ancrage et une épaisseur historiques, orientant l'éthique vers un idéal substantiel de vie bonne. Mais comment articuler la visée substantielle à la voie procédurale? Comment assurer, sur la voie du discours, le principe de reconnaissance? Dans cette entreprise, \"l'éthique de la reconstruction\" revêt une signification décisive.","ISBN":"978-2-204-05383-9","note":"OCLC: 243849619","language":"French","author":[{"family":"Ferry","given":"Jean-Marc"}],"issued":{"date-parts":[["1996"]]}},"locator":"61","label":"page"}],"schema":"https://github.com/citation-style-language/schema/raw/master/csl-citation.json"} </w:instrText>
      </w:r>
      <w:r>
        <w:fldChar w:fldCharType="separate"/>
      </w:r>
      <w:r w:rsidRPr="001B2B75">
        <w:rPr>
          <w:rFonts w:ascii="Calibri" w:hAnsi="Calibri" w:cs="Calibri"/>
          <w:lang w:val="en-CA"/>
        </w:rPr>
        <w:t>Ferry, 61.</w:t>
      </w:r>
      <w:r>
        <w:fldChar w:fldCharType="end"/>
      </w:r>
    </w:p>
  </w:footnote>
  <w:footnote w:id="84">
    <w:p w14:paraId="1E945432" w14:textId="6D4ED27C" w:rsidR="006F28E3" w:rsidRPr="001B2B75" w:rsidRDefault="006F28E3" w:rsidP="001905B0">
      <w:pPr>
        <w:pStyle w:val="FootnoteText"/>
        <w:rPr>
          <w:lang w:val="en-CA"/>
        </w:rPr>
      </w:pPr>
      <w:r w:rsidRPr="0026745F">
        <w:rPr>
          <w:rStyle w:val="FootnoteReference"/>
        </w:rPr>
        <w:footnoteRef/>
      </w:r>
      <w:r w:rsidRPr="001B2B75">
        <w:rPr>
          <w:lang w:val="en-CA"/>
        </w:rPr>
        <w:t xml:space="preserve"> </w:t>
      </w:r>
      <w:r>
        <w:fldChar w:fldCharType="begin"/>
      </w:r>
      <w:r>
        <w:rPr>
          <w:lang w:val="en-CA"/>
        </w:rPr>
        <w:instrText xml:space="preserve"> ADDIN ZOTERO_ITEM CSL_CITATION {"citationID":"9ZzgFpZ4","properties":{"formattedCitation":"Ferry, 63.","plainCitation":"Ferry, 63.","noteIndex":84},"citationItems":[{"id":1896,"uris":["http://zotero.org/users/3679831/items/JSMRLHEE"],"uri":["http://zotero.org/users/3679831/items/JSMRLHEE"],"itemData":{"id":1896,"type":"book","title":"L'éthique reconstructive","publisher":"Ed. du Cerf","publisher-place":"Paris","source":"Open WorldCat","event-place":"Paris","abstract":"Narration ou argumentation? Une nouvelle polarité philosophique se dessine ainsi, chargée d'enjeux relatifs à la question de l'éthique. Par la mise en récit des expériences, la narration confère à l'identité personnelle un ancrage et une épaisseur historiques, orientant l'éthique vers un idéal substantiel de vie bonne. Mais comment articuler la visée substantielle à la voie procédurale? Comment assurer, sur la voie du discours, le principe de reconnaissance? Dans cette entreprise, \"l'éthique de la reconstruction\" revêt une signification décisive.","ISBN":"978-2-204-05383-9","note":"OCLC: 243849619","language":"French","author":[{"family":"Ferry","given":"Jean-Marc"}],"issued":{"date-parts":[["1996"]]}},"locator":"63","label":"page"}],"schema":"https://github.com/citation-style-language/schema/raw/master/csl-citation.json"} </w:instrText>
      </w:r>
      <w:r>
        <w:fldChar w:fldCharType="separate"/>
      </w:r>
      <w:r w:rsidRPr="001B2B75">
        <w:rPr>
          <w:rFonts w:ascii="Calibri" w:hAnsi="Calibri" w:cs="Calibri"/>
          <w:lang w:val="en-CA"/>
        </w:rPr>
        <w:t>Ferry, 63.</w:t>
      </w:r>
      <w:r>
        <w:fldChar w:fldCharType="end"/>
      </w:r>
    </w:p>
  </w:footnote>
  <w:footnote w:id="85">
    <w:p w14:paraId="3B6EC23A" w14:textId="68516F23" w:rsidR="006F28E3" w:rsidRPr="001B2B75" w:rsidRDefault="006F28E3" w:rsidP="001905B0">
      <w:pPr>
        <w:pStyle w:val="FootnoteText"/>
        <w:rPr>
          <w:lang w:val="en-CA"/>
        </w:rPr>
      </w:pPr>
      <w:r w:rsidRPr="0026745F">
        <w:rPr>
          <w:rStyle w:val="FootnoteReference"/>
        </w:rPr>
        <w:footnoteRef/>
      </w:r>
      <w:r w:rsidRPr="001B2B75">
        <w:rPr>
          <w:lang w:val="en-CA"/>
        </w:rPr>
        <w:t xml:space="preserve"> </w:t>
      </w:r>
      <w:r>
        <w:fldChar w:fldCharType="begin"/>
      </w:r>
      <w:r>
        <w:rPr>
          <w:lang w:val="en-CA"/>
        </w:rPr>
        <w:instrText xml:space="preserve"> ADDIN ZOTERO_ITEM CSL_CITATION {"citationID":"hyXgiI68","properties":{"formattedCitation":"Ferry, 63.","plainCitation":"Ferry, 63.","noteIndex":85},"citationItems":[{"id":1896,"uris":["http://zotero.org/users/3679831/items/JSMRLHEE"],"uri":["http://zotero.org/users/3679831/items/JSMRLHEE"],"itemData":{"id":1896,"type":"book","title":"L'éthique reconstructive","publisher":"Ed. du Cerf","publisher-place":"Paris","source":"Open WorldCat","event-place":"Paris","abstract":"Narration ou argumentation? Une nouvelle polarité philosophique se dessine ainsi, chargée d'enjeux relatifs à la question de l'éthique. Par la mise en récit des expériences, la narration confère à l'identité personnelle un ancrage et une épaisseur historiques, orientant l'éthique vers un idéal substantiel de vie bonne. Mais comment articuler la visée substantielle à la voie procédurale? Comment assurer, sur la voie du discours, le principe de reconnaissance? Dans cette entreprise, \"l'éthique de la reconstruction\" revêt une signification décisive.","ISBN":"978-2-204-05383-9","note":"OCLC: 243849619","language":"French","author":[{"family":"Ferry","given":"Jean-Marc"}],"issued":{"date-parts":[["1996"]]}},"locator":"63","label":"page"}],"schema":"https://github.com/citation-style-language/schema/raw/master/csl-citation.json"} </w:instrText>
      </w:r>
      <w:r>
        <w:fldChar w:fldCharType="separate"/>
      </w:r>
      <w:r w:rsidRPr="001B2B75">
        <w:rPr>
          <w:rFonts w:ascii="Calibri" w:hAnsi="Calibri" w:cs="Calibri"/>
          <w:lang w:val="en-CA"/>
        </w:rPr>
        <w:t>Ferry, 63.</w:t>
      </w:r>
      <w:r>
        <w:fldChar w:fldCharType="end"/>
      </w:r>
    </w:p>
  </w:footnote>
  <w:footnote w:id="86">
    <w:p w14:paraId="231E1086" w14:textId="69DC6B10" w:rsidR="006F28E3" w:rsidRPr="001B2B75" w:rsidRDefault="006F28E3" w:rsidP="001905B0">
      <w:pPr>
        <w:pStyle w:val="FootnoteText"/>
        <w:rPr>
          <w:lang w:val="en-CA"/>
        </w:rPr>
      </w:pPr>
      <w:r w:rsidRPr="0026745F">
        <w:rPr>
          <w:rStyle w:val="FootnoteReference"/>
        </w:rPr>
        <w:footnoteRef/>
      </w:r>
      <w:r w:rsidRPr="001B2B75">
        <w:rPr>
          <w:lang w:val="en-CA"/>
        </w:rPr>
        <w:t xml:space="preserve"> </w:t>
      </w:r>
      <w:r>
        <w:fldChar w:fldCharType="begin"/>
      </w:r>
      <w:r>
        <w:rPr>
          <w:lang w:val="en-CA"/>
        </w:rPr>
        <w:instrText xml:space="preserve"> ADDIN ZOTERO_ITEM CSL_CITATION {"citationID":"wRascWC2","properties":{"formattedCitation":"Ferry, 63.","plainCitation":"Ferry, 63.","noteIndex":86},"citationItems":[{"id":1896,"uris":["http://zotero.org/users/3679831/items/JSMRLHEE"],"uri":["http://zotero.org/users/3679831/items/JSMRLHEE"],"itemData":{"id":1896,"type":"book","title":"L'éthique reconstructive","publisher":"Ed. du Cerf","publisher-place":"Paris","source":"Open WorldCat","event-place":"Paris","abstract":"Narration ou argumentation? Une nouvelle polarité philosophique se dessine ainsi, chargée d'enjeux relatifs à la question de l'éthique. Par la mise en récit des expériences, la narration confère à l'identité personnelle un ancrage et une épaisseur historiques, orientant l'éthique vers un idéal substantiel de vie bonne. Mais comment articuler la visée substantielle à la voie procédurale? Comment assurer, sur la voie du discours, le principe de reconnaissance? Dans cette entreprise, \"l'éthique de la reconstruction\" revêt une signification décisive.","ISBN":"978-2-204-05383-9","note":"OCLC: 243849619","language":"French","author":[{"family":"Ferry","given":"Jean-Marc"}],"issued":{"date-parts":[["1996"]]}},"locator":"63","label":"page"}],"schema":"https://github.com/citation-style-language/schema/raw/master/csl-citation.json"} </w:instrText>
      </w:r>
      <w:r>
        <w:fldChar w:fldCharType="separate"/>
      </w:r>
      <w:r w:rsidRPr="001B2B75">
        <w:rPr>
          <w:rFonts w:ascii="Calibri" w:hAnsi="Calibri" w:cs="Calibri"/>
          <w:lang w:val="en-CA"/>
        </w:rPr>
        <w:t>Ferry, 63.</w:t>
      </w:r>
      <w:r>
        <w:fldChar w:fldCharType="end"/>
      </w:r>
    </w:p>
  </w:footnote>
  <w:footnote w:id="87">
    <w:p w14:paraId="536CBC45" w14:textId="7234FBE6" w:rsidR="006F28E3" w:rsidRPr="001B2B75" w:rsidRDefault="006F28E3" w:rsidP="001905B0">
      <w:pPr>
        <w:pStyle w:val="FootnoteText"/>
        <w:rPr>
          <w:lang w:val="en-CA"/>
        </w:rPr>
      </w:pPr>
      <w:r w:rsidRPr="0026745F">
        <w:rPr>
          <w:rStyle w:val="FootnoteReference"/>
        </w:rPr>
        <w:footnoteRef/>
      </w:r>
      <w:r w:rsidRPr="001B2B75">
        <w:rPr>
          <w:lang w:val="en-CA"/>
        </w:rPr>
        <w:t xml:space="preserve"> </w:t>
      </w:r>
      <w:r>
        <w:fldChar w:fldCharType="begin"/>
      </w:r>
      <w:r>
        <w:rPr>
          <w:lang w:val="en-CA"/>
        </w:rPr>
        <w:instrText xml:space="preserve"> ADDIN ZOTERO_ITEM CSL_CITATION {"citationID":"V5Frn1yH","properties":{"formattedCitation":"Ferry, 71.","plainCitation":"Ferry, 71.","noteIndex":87},"citationItems":[{"id":1896,"uris":["http://zotero.org/users/3679831/items/JSMRLHEE"],"uri":["http://zotero.org/users/3679831/items/JSMRLHEE"],"itemData":{"id":1896,"type":"book","title":"L'éthique reconstructive","publisher":"Ed. du Cerf","publisher-place":"Paris","source":"Open WorldCat","event-place":"Paris","abstract":"Narration ou argumentation? Une nouvelle polarité philosophique se dessine ainsi, chargée d'enjeux relatifs à la question de l'éthique. Par la mise en récit des expériences, la narration confère à l'identité personnelle un ancrage et une épaisseur historiques, orientant l'éthique vers un idéal substantiel de vie bonne. Mais comment articuler la visée substantielle à la voie procédurale? Comment assurer, sur la voie du discours, le principe de reconnaissance? Dans cette entreprise, \"l'éthique de la reconstruction\" revêt une signification décisive.","ISBN":"978-2-204-05383-9","note":"OCLC: 243849619","language":"French","author":[{"family":"Ferry","given":"Jean-Marc"}],"issued":{"date-parts":[["1996"]]}},"locator":"71","label":"page"}],"schema":"https://github.com/citation-style-language/schema/raw/master/csl-citation.json"} </w:instrText>
      </w:r>
      <w:r>
        <w:fldChar w:fldCharType="separate"/>
      </w:r>
      <w:r w:rsidRPr="001B2B75">
        <w:rPr>
          <w:rFonts w:ascii="Calibri" w:hAnsi="Calibri" w:cs="Calibri"/>
          <w:lang w:val="en-CA"/>
        </w:rPr>
        <w:t>Ferry, 71.</w:t>
      </w:r>
      <w:r>
        <w:fldChar w:fldCharType="end"/>
      </w:r>
    </w:p>
  </w:footnote>
  <w:footnote w:id="88">
    <w:p w14:paraId="0D7F89DF" w14:textId="03689F9D" w:rsidR="006F28E3" w:rsidRPr="001B2B75" w:rsidRDefault="006F28E3" w:rsidP="001905B0">
      <w:pPr>
        <w:pStyle w:val="FootnoteText"/>
        <w:rPr>
          <w:lang w:val="en-CA"/>
        </w:rPr>
      </w:pPr>
      <w:r w:rsidRPr="0026745F">
        <w:rPr>
          <w:rStyle w:val="FootnoteReference"/>
        </w:rPr>
        <w:footnoteRef/>
      </w:r>
      <w:r w:rsidRPr="001B2B75">
        <w:rPr>
          <w:lang w:val="en-CA"/>
        </w:rPr>
        <w:t xml:space="preserve"> </w:t>
      </w:r>
      <w:r>
        <w:fldChar w:fldCharType="begin"/>
      </w:r>
      <w:r>
        <w:rPr>
          <w:lang w:val="en-CA"/>
        </w:rPr>
        <w:instrText xml:space="preserve"> ADDIN ZOTERO_ITEM CSL_CITATION {"citationID":"aJcZBcbP","properties":{"formattedCitation":"Ferry, 61.","plainCitation":"Ferry, 61.","noteIndex":88},"citationItems":[{"id":1896,"uris":["http://zotero.org/users/3679831/items/JSMRLHEE"],"uri":["http://zotero.org/users/3679831/items/JSMRLHEE"],"itemData":{"id":1896,"type":"book","title":"L'éthique reconstructive","publisher":"Ed. du Cerf","publisher-place":"Paris","source":"Open WorldCat","event-place":"Paris","abstract":"Narration ou argumentation? Une nouvelle polarité philosophique se dessine ainsi, chargée d'enjeux relatifs à la question de l'éthique. Par la mise en récit des expériences, la narration confère à l'identité personnelle un ancrage et une épaisseur historiques, orientant l'éthique vers un idéal substantiel de vie bonne. Mais comment articuler la visée substantielle à la voie procédurale? Comment assurer, sur la voie du discours, le principe de reconnaissance? Dans cette entreprise, \"l'éthique de la reconstruction\" revêt une signification décisive.","ISBN":"978-2-204-05383-9","note":"OCLC: 243849619","language":"French","author":[{"family":"Ferry","given":"Jean-Marc"}],"issued":{"date-parts":[["1996"]]}},"locator":"61","label":"page"}],"schema":"https://github.com/citation-style-language/schema/raw/master/csl-citation.json"} </w:instrText>
      </w:r>
      <w:r>
        <w:fldChar w:fldCharType="separate"/>
      </w:r>
      <w:r w:rsidRPr="001B2B75">
        <w:rPr>
          <w:rFonts w:ascii="Calibri" w:hAnsi="Calibri" w:cs="Calibri"/>
          <w:lang w:val="en-CA"/>
        </w:rPr>
        <w:t>Ferry, 61.</w:t>
      </w:r>
      <w:r>
        <w:fldChar w:fldCharType="end"/>
      </w:r>
    </w:p>
  </w:footnote>
  <w:footnote w:id="89">
    <w:p w14:paraId="70D8EB94" w14:textId="615E33DC" w:rsidR="006F28E3" w:rsidRPr="001B2B75" w:rsidRDefault="006F28E3" w:rsidP="001905B0">
      <w:pPr>
        <w:pStyle w:val="FootnoteText"/>
        <w:rPr>
          <w:lang w:val="en-CA"/>
        </w:rPr>
      </w:pPr>
      <w:r w:rsidRPr="0026745F">
        <w:rPr>
          <w:rStyle w:val="FootnoteReference"/>
        </w:rPr>
        <w:footnoteRef/>
      </w:r>
      <w:r w:rsidRPr="001B2B75">
        <w:rPr>
          <w:lang w:val="en-CA"/>
        </w:rPr>
        <w:t xml:space="preserve"> </w:t>
      </w:r>
      <w:r>
        <w:fldChar w:fldCharType="begin"/>
      </w:r>
      <w:r>
        <w:rPr>
          <w:lang w:val="en-CA"/>
        </w:rPr>
        <w:instrText xml:space="preserve"> ADDIN ZOTERO_ITEM CSL_CITATION {"citationID":"cpvStKyc","properties":{"formattedCitation":"Ferry, 61.","plainCitation":"Ferry, 61.","noteIndex":89},"citationItems":[{"id":1896,"uris":["http://zotero.org/users/3679831/items/JSMRLHEE"],"uri":["http://zotero.org/users/3679831/items/JSMRLHEE"],"itemData":{"id":1896,"type":"book","title":"L'éthique reconstructive","publisher":"Ed. du Cerf","publisher-place":"Paris","source":"Open WorldCat","event-place":"Paris","abstract":"Narration ou argumentation? Une nouvelle polarité philosophique se dessine ainsi, chargée d'enjeux relatifs à la question de l'éthique. Par la mise en récit des expériences, la narration confère à l'identité personnelle un ancrage et une épaisseur historiques, orientant l'éthique vers un idéal substantiel de vie bonne. Mais comment articuler la visée substantielle à la voie procédurale? Comment assurer, sur la voie du discours, le principe de reconnaissance? Dans cette entreprise, \"l'éthique de la reconstruction\" revêt une signification décisive.","ISBN":"978-2-204-05383-9","note":"OCLC: 243849619","language":"French","author":[{"family":"Ferry","given":"Jean-Marc"}],"issued":{"date-parts":[["1996"]]}},"locator":"61","label":"page"}],"schema":"https://github.com/citation-style-language/schema/raw/master/csl-citation.json"} </w:instrText>
      </w:r>
      <w:r>
        <w:fldChar w:fldCharType="separate"/>
      </w:r>
      <w:r w:rsidRPr="001B2B75">
        <w:rPr>
          <w:rFonts w:ascii="Calibri" w:hAnsi="Calibri" w:cs="Calibri"/>
          <w:lang w:val="en-CA"/>
        </w:rPr>
        <w:t>Ferry, 61.</w:t>
      </w:r>
      <w:r>
        <w:fldChar w:fldCharType="end"/>
      </w:r>
    </w:p>
  </w:footnote>
  <w:footnote w:id="90">
    <w:p w14:paraId="4CD2761D" w14:textId="78F0B57B" w:rsidR="006F28E3" w:rsidRPr="005B2662" w:rsidRDefault="006F28E3" w:rsidP="001905B0">
      <w:pPr>
        <w:pStyle w:val="FootnoteText"/>
        <w:rPr>
          <w:lang w:val="en-CA"/>
        </w:rPr>
      </w:pPr>
      <w:r w:rsidRPr="0026745F">
        <w:rPr>
          <w:rStyle w:val="FootnoteReference"/>
        </w:rPr>
        <w:footnoteRef/>
      </w:r>
      <w:r w:rsidRPr="005B2662">
        <w:rPr>
          <w:lang w:val="en-CA"/>
        </w:rPr>
        <w:t xml:space="preserve"> </w:t>
      </w:r>
      <w:r>
        <w:fldChar w:fldCharType="begin"/>
      </w:r>
      <w:r w:rsidRPr="005B2662">
        <w:rPr>
          <w:lang w:val="en-CA"/>
        </w:rPr>
        <w:instrText xml:space="preserve"> ADDIN ZOTERO_ITEM CSL_CITATION {"citationID":"TGkIpjP9","properties":{"formattedCitation":"Ferry, {\\i{}L\\uc0\\u8217{}\\uc0\\u233{}thique reconstructive}, 1996, 56.","plainCitation":"Ferry, L’éthique reconstructive, 1996, 56.","dontUpdate":true,"noteIndex":90},"citationItems":[{"id":1465,"uris":["http://zotero.org/users/3679831/items/HMSTGS4I"],"uri":["http://zotero.org/users/3679831/items/HMSTGS4I"],"itemData":{"id":1465,"type":"book","title":"L'éthique reconstructive","collection-title":"Humanités","publisher":"Cerf","publisher-place":"Paris","number-of-pages":"115","source":"Library of Congress ISBN","event-place":"Paris","ISBN":"978-2-204-05383-9","call-number":"BD237 .F47 1996","author":[{"family":"Ferry","given":"Jean-Marc"}],"issued":{"date-parts":[["1996"]]}},"locator":"56","label":"page"}],"schema":"https://github.com/citation-style-language/schema/raw/master/csl-citation.json"} </w:instrText>
      </w:r>
      <w:r>
        <w:fldChar w:fldCharType="separate"/>
      </w:r>
      <w:r w:rsidRPr="005B2662">
        <w:rPr>
          <w:rFonts w:ascii="Calibri" w:hAnsi="Calibri" w:cs="Calibri"/>
          <w:szCs w:val="24"/>
          <w:lang w:val="en-CA"/>
        </w:rPr>
        <w:t>Ferry, 56.</w:t>
      </w:r>
      <w:r>
        <w:fldChar w:fldCharType="end"/>
      </w:r>
    </w:p>
  </w:footnote>
  <w:footnote w:id="91">
    <w:p w14:paraId="410A1F5C" w14:textId="77777777" w:rsidR="006F28E3" w:rsidRPr="005B2662" w:rsidRDefault="006F28E3" w:rsidP="001905B0">
      <w:pPr>
        <w:pStyle w:val="FootnoteText"/>
        <w:rPr>
          <w:lang w:val="en-CA"/>
        </w:rPr>
      </w:pPr>
      <w:r w:rsidRPr="0026745F">
        <w:rPr>
          <w:rStyle w:val="FootnoteReference"/>
        </w:rPr>
        <w:footnoteRef/>
      </w:r>
      <w:r w:rsidRPr="005B2662">
        <w:rPr>
          <w:rFonts w:ascii="Calibri" w:hAnsi="Calibri" w:cs="Calibri"/>
          <w:szCs w:val="24"/>
          <w:lang w:val="en-CA"/>
        </w:rPr>
        <w:t xml:space="preserve"> Ferry, 56.</w:t>
      </w:r>
      <w:r w:rsidRPr="005B2662">
        <w:rPr>
          <w:lang w:val="en-CA"/>
        </w:rPr>
        <w:t xml:space="preserve"> </w:t>
      </w:r>
    </w:p>
  </w:footnote>
  <w:footnote w:id="92">
    <w:p w14:paraId="3C61EAAF" w14:textId="33B88A1C" w:rsidR="006F28E3" w:rsidRPr="005B2662" w:rsidRDefault="006F28E3" w:rsidP="001905B0">
      <w:pPr>
        <w:pStyle w:val="FootnoteText"/>
        <w:jc w:val="both"/>
        <w:rPr>
          <w:lang w:val="en-CA"/>
        </w:rPr>
      </w:pPr>
      <w:r w:rsidRPr="008E3CD0">
        <w:rPr>
          <w:rStyle w:val="FootnoteReference"/>
        </w:rPr>
        <w:footnoteRef/>
      </w:r>
      <w:r w:rsidRPr="005B2662">
        <w:rPr>
          <w:rStyle w:val="FootnoteReference"/>
          <w:lang w:val="en-CA"/>
        </w:rPr>
        <w:t xml:space="preserve"> </w:t>
      </w:r>
      <w:r>
        <w:fldChar w:fldCharType="begin"/>
      </w:r>
      <w:r w:rsidRPr="005B2662">
        <w:rPr>
          <w:lang w:val="en-CA"/>
        </w:rPr>
        <w:instrText xml:space="preserve"> ADDIN ZOTERO_ITEM CSL_CITATION {"citationID":"YGUXFNLq","properties":{"formattedCitation":"Ferry, {\\i{}L\\uc0\\u8217{}\\uc0\\u233{}thique reconstructive}, 1996, 56.","plainCitation":"Ferry, L’éthique reconstructive, 1996, 56.","noteIndex":92},"citationItems":[{"id":1465,"uris":["http://zotero.org/users/3679831/items/HMSTGS4I"],"uri":["http://zotero.org/users/3679831/items/HMSTGS4I"],"itemData":{"id":1465,"type":"book","title":"L'éthique reconstructive","collection-title":"Humanités","publisher":"Cerf","publisher-place":"Paris","number-of-pages":"115","source":"Library of Congress ISBN","event-place":"Paris","ISBN":"978-2-204-05383-9","call-number":"BD237 .F47 1996","author":[{"family":"Ferry","given":"Jean-Marc"}],"issued":{"date-parts":[["1996"]]}},"locator":"56","label":"page"}],"schema":"https://github.com/citation-style-language/schema/raw/master/csl-citation.json"} </w:instrText>
      </w:r>
      <w:r>
        <w:fldChar w:fldCharType="separate"/>
      </w:r>
      <w:r w:rsidRPr="005B2662">
        <w:rPr>
          <w:rFonts w:ascii="Calibri" w:hAnsi="Calibri" w:cs="Calibri"/>
          <w:szCs w:val="24"/>
          <w:lang w:val="en-CA"/>
        </w:rPr>
        <w:t xml:space="preserve">Ferry, </w:t>
      </w:r>
      <w:r w:rsidRPr="005B2662">
        <w:rPr>
          <w:rFonts w:ascii="Calibri" w:hAnsi="Calibri" w:cs="Calibri"/>
          <w:i/>
          <w:iCs/>
          <w:szCs w:val="24"/>
          <w:lang w:val="en-CA"/>
        </w:rPr>
        <w:t>L’éthique reconstructive</w:t>
      </w:r>
      <w:r w:rsidRPr="005B2662">
        <w:rPr>
          <w:rFonts w:ascii="Calibri" w:hAnsi="Calibri" w:cs="Calibri"/>
          <w:szCs w:val="24"/>
          <w:lang w:val="en-CA"/>
        </w:rPr>
        <w:t>, 1996, 56.</w:t>
      </w:r>
      <w:r>
        <w:fldChar w:fldCharType="end"/>
      </w:r>
      <w:r w:rsidRPr="005B2662">
        <w:rPr>
          <w:lang w:val="en-CA"/>
        </w:rPr>
        <w:t xml:space="preserve"> </w:t>
      </w:r>
    </w:p>
  </w:footnote>
  <w:footnote w:id="93">
    <w:p w14:paraId="13750262" w14:textId="2151D1DB" w:rsidR="006F28E3" w:rsidRPr="0076221C" w:rsidRDefault="006F28E3" w:rsidP="001905B0">
      <w:pPr>
        <w:pStyle w:val="FootnoteText"/>
      </w:pPr>
      <w:r w:rsidRPr="0026745F">
        <w:rPr>
          <w:rStyle w:val="FootnoteReference"/>
        </w:rPr>
        <w:footnoteRef/>
      </w:r>
      <w:r w:rsidRPr="0076221C">
        <w:t xml:space="preserve"> NKURUNZIZA, </w:t>
      </w:r>
      <w:r>
        <w:fldChar w:fldCharType="begin"/>
      </w:r>
      <w:r>
        <w:instrText xml:space="preserve"> ADDIN ZOTERO_ITEM CSL_CITATION {"citationID":"o5pVIfMj","properties":{"formattedCitation":"\\uc0\\u171{}\\uc0\\u160{}Loi du 15 mai 2014 portant CVR.pdf\\uc0\\u160{}\\uc0\\u187{}.","plainCitation":"« Loi du 15 mai 2014 portant CVR.pdf ».","noteIndex":93},"citationItems":[{"id":1841,"uris":["http://zotero.org/users/3679831/items/XBKXDX8H"],"uri":["http://zotero.org/users/3679831/items/XBKXDX8H"],"itemData":{"id":1841,"type":"article","title":"Loi du 15 mai 2014 portant CVR.pdf","URL":"https://www.uantwerpen.be/images/uantwerpen/container2143/files/DPP%20Burundi/Justice%20Transitionnelle/CVR%20et%20Tribunal%20Sp%C3%A9cial/processus%20l%C3%A9gislatif/Loi%20du%2015%20mai%202014%20portant%20CVR.pdf","accessed":{"date-parts":[["2019",1,11]]}}}],"schema":"https://github.com/citation-style-language/schema/raw/master/csl-citation.json"} </w:instrText>
      </w:r>
      <w:r>
        <w:fldChar w:fldCharType="separate"/>
      </w:r>
      <w:r w:rsidRPr="0076221C">
        <w:rPr>
          <w:rFonts w:ascii="Calibri" w:hAnsi="Calibri" w:cs="Calibri"/>
          <w:szCs w:val="24"/>
        </w:rPr>
        <w:t>« Loi du 15 mai 2014 portant CVR.pdf ».</w:t>
      </w:r>
      <w:r>
        <w:fldChar w:fldCharType="end"/>
      </w:r>
    </w:p>
  </w:footnote>
  <w:footnote w:id="94">
    <w:p w14:paraId="0AE93608" w14:textId="23015FDE" w:rsidR="006F28E3" w:rsidRDefault="006F28E3" w:rsidP="001905B0">
      <w:pPr>
        <w:pStyle w:val="FootnoteText"/>
      </w:pPr>
      <w:r>
        <w:rPr>
          <w:rStyle w:val="FootnoteReference"/>
        </w:rPr>
        <w:footnoteRef/>
      </w:r>
      <w:r>
        <w:t xml:space="preserve"> </w:t>
      </w:r>
      <w:r>
        <w:fldChar w:fldCharType="begin"/>
      </w:r>
      <w:r>
        <w:instrText xml:space="preserve"> ADDIN ZOTERO_ITEM CSL_CITATION {"citationID":"1dj5riLU","properties":{"formattedCitation":"Jeang\\uc0\\u232{}ne Vilmer et al., {\\i{}\\uc0\\u201{}thique des relations internationales}, 253.","plainCitation":"Jeangène Vilmer et al., Éthique des relations internationales, 253.","noteIndex":95},"citationItems":[{"id":1276,"uris":["http://zotero.org/users/3679831/items/R9U3S543"],"uri":["http://zotero.org/users/3679831/items/R9U3S543"],"itemData":{"id":1276,"type":"book","title":"Éthique des relations internationales: problématiques contemporaines","publisher":"Presses universitaires de France","publisher-place":"Paris","edition":"1re éd..","source":"primo-standard-lb.com","event-place":"Paris","ISBN":"978-2-13-059112-2","call-number":"JZ 1306 .E8848 2013","shortTitle":"Éthique des relations internationales","author":[{"family":"Jeangène Vilmer","given":"Jean-Baptiste"},{"family":"Chung","given":"Ryoa"},{"family":"Hassner","given":"Pierre"},{"family":"Ramel","given":"Frédéric"}],"issued":{"date-parts":[["2013"]]}},"locator":"253","label":"page"}],"schema":"https://github.com/citation-style-language/schema/raw/master/csl-citation.json"} </w:instrText>
      </w:r>
      <w:r>
        <w:fldChar w:fldCharType="separate"/>
      </w:r>
      <w:r w:rsidRPr="00E03D6B">
        <w:rPr>
          <w:rFonts w:ascii="Calibri" w:hAnsi="Calibri" w:cs="Calibri"/>
          <w:szCs w:val="24"/>
        </w:rPr>
        <w:t xml:space="preserve">Jeangène Vilmer et al., </w:t>
      </w:r>
      <w:r w:rsidRPr="00E03D6B">
        <w:rPr>
          <w:rFonts w:ascii="Calibri" w:hAnsi="Calibri" w:cs="Calibri"/>
          <w:i/>
          <w:iCs/>
          <w:szCs w:val="24"/>
        </w:rPr>
        <w:t>Éthique des relations internationales</w:t>
      </w:r>
      <w:r w:rsidRPr="00E03D6B">
        <w:rPr>
          <w:rFonts w:ascii="Calibri" w:hAnsi="Calibri" w:cs="Calibri"/>
          <w:szCs w:val="24"/>
        </w:rPr>
        <w:t>, 253.</w:t>
      </w:r>
      <w:r>
        <w:fldChar w:fldCharType="end"/>
      </w:r>
    </w:p>
  </w:footnote>
  <w:footnote w:id="95">
    <w:p w14:paraId="2FCA8EE0" w14:textId="5DBC313B" w:rsidR="006F28E3" w:rsidRPr="008E32AB" w:rsidRDefault="006F28E3" w:rsidP="001905B0">
      <w:pPr>
        <w:pStyle w:val="FootnoteText"/>
        <w:rPr>
          <w:lang w:val="en-CA"/>
        </w:rPr>
      </w:pPr>
      <w:r w:rsidRPr="0026745F">
        <w:rPr>
          <w:rStyle w:val="FootnoteReference"/>
        </w:rPr>
        <w:footnoteRef/>
      </w:r>
      <w:r w:rsidRPr="008E32AB">
        <w:rPr>
          <w:lang w:val="en-CA"/>
        </w:rPr>
        <w:t xml:space="preserve"> </w:t>
      </w:r>
      <w:r>
        <w:fldChar w:fldCharType="begin"/>
      </w:r>
      <w:r>
        <w:rPr>
          <w:lang w:val="en-CA"/>
        </w:rPr>
        <w:instrText xml:space="preserve"> ADDIN ZOTERO_ITEM CSL_CITATION {"citationID":"3gJHGfht","properties":{"formattedCitation":"Ferry, {\\i{}L\\uc0\\u8217{}\\uc0\\u233{}thique reconstructive}, 1996, 20.","plainCitation":"Ferry, L’éthique reconstructive, 1996, 20.","noteIndex":95},"citationItems":[{"id":1465,"uris":["http://zotero.org/users/3679831/items/HMSTGS4I"],"uri":["http://zotero.org/users/3679831/items/HMSTGS4I"],"itemData":{"id":1465,"type":"book","title":"L'éthique reconstructive","collection-title":"Humanités","publisher":"Cerf","publisher-place":"Paris","number-of-pages":"115","source":"Library of Congress ISBN","event-place":"Paris","ISBN":"978-2-204-05383-9","call-number":"BD237 .F47 1996","author":[{"family":"Ferry","given":"Jean-Marc"}],"issued":{"date-parts":[["1996"]]}},"locator":"20","label":"page"}],"schema":"https://github.com/citation-style-language/schema/raw/master/csl-citation.json"} </w:instrText>
      </w:r>
      <w:r>
        <w:fldChar w:fldCharType="separate"/>
      </w:r>
      <w:r w:rsidRPr="008E32AB">
        <w:rPr>
          <w:rFonts w:ascii="Calibri" w:hAnsi="Calibri" w:cs="Calibri"/>
          <w:szCs w:val="24"/>
          <w:lang w:val="en-CA"/>
        </w:rPr>
        <w:t xml:space="preserve">Ferry, </w:t>
      </w:r>
      <w:r w:rsidRPr="008E32AB">
        <w:rPr>
          <w:rFonts w:ascii="Calibri" w:hAnsi="Calibri" w:cs="Calibri"/>
          <w:i/>
          <w:iCs/>
          <w:szCs w:val="24"/>
          <w:lang w:val="en-CA"/>
        </w:rPr>
        <w:t>L’éthique reconstructive</w:t>
      </w:r>
      <w:r w:rsidRPr="008E32AB">
        <w:rPr>
          <w:rFonts w:ascii="Calibri" w:hAnsi="Calibri" w:cs="Calibri"/>
          <w:szCs w:val="24"/>
          <w:lang w:val="en-CA"/>
        </w:rPr>
        <w:t>, 1996, 20.</w:t>
      </w:r>
      <w:r>
        <w:fldChar w:fldCharType="end"/>
      </w:r>
    </w:p>
  </w:footnote>
  <w:footnote w:id="96">
    <w:p w14:paraId="08D7E32C" w14:textId="7C80BD34" w:rsidR="006F28E3" w:rsidRPr="008E32AB" w:rsidRDefault="006F28E3" w:rsidP="001905B0">
      <w:pPr>
        <w:pStyle w:val="FootnoteText"/>
        <w:rPr>
          <w:lang w:val="en-CA"/>
        </w:rPr>
      </w:pPr>
      <w:r w:rsidRPr="0026745F">
        <w:rPr>
          <w:rStyle w:val="FootnoteReference"/>
        </w:rPr>
        <w:footnoteRef/>
      </w:r>
      <w:r w:rsidRPr="008E32AB">
        <w:rPr>
          <w:lang w:val="en-CA"/>
        </w:rPr>
        <w:t xml:space="preserve"> </w:t>
      </w:r>
      <w:r>
        <w:fldChar w:fldCharType="begin"/>
      </w:r>
      <w:r>
        <w:rPr>
          <w:lang w:val="en-CA"/>
        </w:rPr>
        <w:instrText xml:space="preserve"> ADDIN ZOTERO_ITEM CSL_CITATION {"citationID":"43Sai3Ha","properties":{"formattedCitation":"Ferry, {\\i{}L\\uc0\\u8217{}\\uc0\\u233{}thique reconstructive}, 1996, 20.","plainCitation":"Ferry, L’éthique reconstructive, 1996, 20.","dontUpdate":true,"noteIndex":96},"citationItems":[{"id":1465,"uris":["http://zotero.org/users/3679831/items/HMSTGS4I"],"uri":["http://zotero.org/users/3679831/items/HMSTGS4I"],"itemData":{"id":1465,"type":"book","title":"L'éthique reconstructive","collection-title":"Humanités","publisher":"Cerf","publisher-place":"Paris","number-of-pages":"115","source":"Library of Congress ISBN","event-place":"Paris","ISBN":"978-2-204-05383-9","call-number":"BD237 .F47 1996","author":[{"family":"Ferry","given":"Jean-Marc"}],"issued":{"date-parts":[["1996"]]}},"locator":"20","label":"page"}],"schema":"https://github.com/citation-style-language/schema/raw/master/csl-citation.json"} </w:instrText>
      </w:r>
      <w:r>
        <w:fldChar w:fldCharType="separate"/>
      </w:r>
      <w:r w:rsidRPr="008E32AB">
        <w:rPr>
          <w:rFonts w:ascii="Calibri" w:hAnsi="Calibri" w:cs="Calibri"/>
          <w:szCs w:val="24"/>
          <w:lang w:val="en-CA"/>
        </w:rPr>
        <w:t xml:space="preserve"> Ferry, 20.</w:t>
      </w:r>
      <w:r>
        <w:fldChar w:fldCharType="end"/>
      </w:r>
    </w:p>
  </w:footnote>
  <w:footnote w:id="97">
    <w:p w14:paraId="5D32C083" w14:textId="3BD94372" w:rsidR="006F28E3" w:rsidRPr="008E32AB" w:rsidRDefault="006F28E3" w:rsidP="001905B0">
      <w:pPr>
        <w:pStyle w:val="FootnoteText"/>
        <w:rPr>
          <w:lang w:val="en-CA"/>
        </w:rPr>
      </w:pPr>
      <w:r w:rsidRPr="0026745F">
        <w:rPr>
          <w:rStyle w:val="FootnoteReference"/>
        </w:rPr>
        <w:footnoteRef/>
      </w:r>
      <w:r w:rsidRPr="008E32AB">
        <w:rPr>
          <w:lang w:val="en-CA"/>
        </w:rPr>
        <w:t xml:space="preserve"> </w:t>
      </w:r>
      <w:r>
        <w:fldChar w:fldCharType="begin"/>
      </w:r>
      <w:r>
        <w:rPr>
          <w:lang w:val="en-CA"/>
        </w:rPr>
        <w:instrText xml:space="preserve"> ADDIN ZOTERO_ITEM CSL_CITATION {"citationID":"aVkIXvlN","properties":{"formattedCitation":"Ferry, 14.","plainCitation":"Ferry, 14.","noteIndex":97},"citationItems":[{"id":1465,"uris":["http://zotero.org/users/3679831/items/HMSTGS4I"],"uri":["http://zotero.org/users/3679831/items/HMSTGS4I"],"itemData":{"id":1465,"type":"book","title":"L'éthique reconstructive","collection-title":"Humanités","publisher":"Cerf","publisher-place":"Paris","number-of-pages":"115","source":"Library of Congress ISBN","event-place":"Paris","ISBN":"978-2-204-05383-9","call-number":"BD237 .F47 1996","author":[{"family":"Ferry","given":"Jean-Marc"}],"issued":{"date-parts":[["1996"]]}},"locator":"14","label":"page"}],"schema":"https://github.com/citation-style-language/schema/raw/master/csl-citation.json"} </w:instrText>
      </w:r>
      <w:r>
        <w:fldChar w:fldCharType="separate"/>
      </w:r>
      <w:r w:rsidRPr="008E32AB">
        <w:rPr>
          <w:rFonts w:ascii="Calibri" w:hAnsi="Calibri" w:cs="Calibri"/>
          <w:lang w:val="en-CA"/>
        </w:rPr>
        <w:t>Ferry, 14.</w:t>
      </w:r>
      <w:r>
        <w:fldChar w:fldCharType="end"/>
      </w:r>
    </w:p>
  </w:footnote>
  <w:footnote w:id="98">
    <w:p w14:paraId="574272E4" w14:textId="790D21FB" w:rsidR="006F28E3" w:rsidRDefault="006F28E3">
      <w:pPr>
        <w:pStyle w:val="FootnoteText"/>
      </w:pPr>
      <w:r>
        <w:rPr>
          <w:rStyle w:val="FootnoteReference"/>
        </w:rPr>
        <w:footnoteRef/>
      </w:r>
      <w:r>
        <w:t xml:space="preserve"> </w:t>
      </w:r>
      <w:r>
        <w:fldChar w:fldCharType="begin"/>
      </w:r>
      <w:r>
        <w:instrText xml:space="preserve"> ADDIN ZOTERO_ITEM CSL_CITATION {"citationID":"cbGlHCXw","properties":{"formattedCitation":"Jean-Baptiste Jeang\\uc0\\u232{}ne Vilmer, \\uc0\\u233{}d., {\\i{}\\uc0\\u201{}thique des relations internationales: probl\\uc0\\u233{}matiques contemporaines}, 1. ed (Paris: Presses universitaires de France, 2013), 257.","plainCitation":"Jean-Baptiste Jeangène Vilmer, éd., Éthique des relations internationales: problématiques contemporaines, 1. ed (Paris: Presses universitaires de France, 2013), 257.","noteIndex":98},"citationItems":[{"id":2052,"uris":["http://zotero.org/users/3679831/items/SIU95AUS"],"uri":["http://zotero.org/users/3679831/items/SIU95AUS"],"itemData":{"id":2052,"type":"book","title":"Éthique des relations internationales: problématiques contemporaines","publisher":"Presses universitaires de France","publisher-place":"Paris","number-of-pages":"474","edition":"1. ed","source":"Gemeinsamer Bibliotheksverbund ISBN","event-place":"Paris","ISBN":"978-2-13-059112-2","note":"OCLC: 862734276","shortTitle":"Éthique des relations internationales","language":"fre","editor":[{"family":"Jeangène Vilmer","given":"Jean-Baptiste"}],"issued":{"date-parts":[["2013"]]}},"locator":"257","label":"page"}],"schema":"https://github.com/citation-style-language/schema/raw/master/csl-citation.json"} </w:instrText>
      </w:r>
      <w:r>
        <w:fldChar w:fldCharType="separate"/>
      </w:r>
      <w:r w:rsidRPr="004C5CEF">
        <w:rPr>
          <w:rFonts w:ascii="Calibri" w:hAnsi="Calibri" w:cs="Calibri"/>
          <w:szCs w:val="24"/>
        </w:rPr>
        <w:t xml:space="preserve">Jean-Baptiste Jeangène Vilmer, éd., </w:t>
      </w:r>
      <w:r w:rsidRPr="004C5CEF">
        <w:rPr>
          <w:rFonts w:ascii="Calibri" w:hAnsi="Calibri" w:cs="Calibri"/>
          <w:i/>
          <w:iCs/>
          <w:szCs w:val="24"/>
        </w:rPr>
        <w:t>Éthique des relations internationales: problématiques contemporaines</w:t>
      </w:r>
      <w:r w:rsidRPr="004C5CEF">
        <w:rPr>
          <w:rFonts w:ascii="Calibri" w:hAnsi="Calibri" w:cs="Calibri"/>
          <w:szCs w:val="24"/>
        </w:rPr>
        <w:t>, 1. ed (Paris: Presses universitaires de France, 2013), 257.</w:t>
      </w:r>
      <w:r>
        <w:fldChar w:fldCharType="end"/>
      </w:r>
    </w:p>
  </w:footnote>
  <w:footnote w:id="99">
    <w:p w14:paraId="40B78983" w14:textId="78958F90" w:rsidR="006F28E3" w:rsidRDefault="006F28E3">
      <w:pPr>
        <w:pStyle w:val="FootnoteText"/>
      </w:pPr>
      <w:r>
        <w:rPr>
          <w:rStyle w:val="FootnoteReference"/>
        </w:rPr>
        <w:footnoteRef/>
      </w:r>
      <w:r>
        <w:t xml:space="preserve"> </w:t>
      </w:r>
      <w:r>
        <w:fldChar w:fldCharType="begin"/>
      </w:r>
      <w:r>
        <w:instrText xml:space="preserve"> ADDIN ZOTERO_ITEM CSL_CITATION {"citationID":"MZqVwArS","properties":{"formattedCitation":"Jeang\\uc0\\u232{}ne Vilmer, 257.","plainCitation":"Jeangène Vilmer, 257.","noteIndex":99},"citationItems":[{"id":2052,"uris":["http://zotero.org/users/3679831/items/SIU95AUS"],"uri":["http://zotero.org/users/3679831/items/SIU95AUS"],"itemData":{"id":2052,"type":"book","title":"Éthique des relations internationales: problématiques contemporaines","publisher":"Presses universitaires de France","publisher-place":"Paris","number-of-pages":"474","edition":"1. ed","source":"Gemeinsamer Bibliotheksverbund ISBN","event-place":"Paris","ISBN":"978-2-13-059112-2","note":"OCLC: 862734276","shortTitle":"Éthique des relations internationales","language":"fre","editor":[{"family":"Jeangène Vilmer","given":"Jean-Baptiste"}],"issued":{"date-parts":[["2013"]]}},"locator":"257","label":"page"}],"schema":"https://github.com/citation-style-language/schema/raw/master/csl-citation.json"} </w:instrText>
      </w:r>
      <w:r>
        <w:fldChar w:fldCharType="separate"/>
      </w:r>
      <w:r w:rsidRPr="00414EAB">
        <w:rPr>
          <w:rFonts w:ascii="Calibri" w:hAnsi="Calibri" w:cs="Calibri"/>
          <w:szCs w:val="24"/>
        </w:rPr>
        <w:t>Jeangène Vilmer, 257.</w:t>
      </w:r>
      <w:r>
        <w:fldChar w:fldCharType="end"/>
      </w:r>
    </w:p>
  </w:footnote>
  <w:footnote w:id="100">
    <w:p w14:paraId="6E31450A" w14:textId="1F35AC67" w:rsidR="006F28E3" w:rsidRDefault="006F28E3">
      <w:pPr>
        <w:pStyle w:val="FootnoteText"/>
      </w:pPr>
      <w:r>
        <w:rPr>
          <w:rStyle w:val="FootnoteReference"/>
        </w:rPr>
        <w:footnoteRef/>
      </w:r>
      <w:r>
        <w:t xml:space="preserve"> </w:t>
      </w:r>
      <w:r>
        <w:fldChar w:fldCharType="begin"/>
      </w:r>
      <w:r>
        <w:instrText xml:space="preserve"> ADDIN ZOTERO_ITEM CSL_CITATION {"citationID":"m6TkOCEf","properties":{"formattedCitation":"Jeang\\uc0\\u232{}ne Vilmer, 257.","plainCitation":"Jeangène Vilmer, 257.","noteIndex":100},"citationItems":[{"id":2052,"uris":["http://zotero.org/users/3679831/items/SIU95AUS"],"uri":["http://zotero.org/users/3679831/items/SIU95AUS"],"itemData":{"id":2052,"type":"book","title":"Éthique des relations internationales: problématiques contemporaines","publisher":"Presses universitaires de France","publisher-place":"Paris","number-of-pages":"474","edition":"1. ed","source":"Gemeinsamer Bibliotheksverbund ISBN","event-place":"Paris","ISBN":"978-2-13-059112-2","note":"OCLC: 862734276","shortTitle":"Éthique des relations internationales","language":"fre","editor":[{"family":"Jeangène Vilmer","given":"Jean-Baptiste"}],"issued":{"date-parts":[["2013"]]}},"locator":"257","label":"page"}],"schema":"https://github.com/citation-style-language/schema/raw/master/csl-citation.json"} </w:instrText>
      </w:r>
      <w:r>
        <w:fldChar w:fldCharType="separate"/>
      </w:r>
      <w:r w:rsidRPr="00414EAB">
        <w:rPr>
          <w:rFonts w:ascii="Calibri" w:hAnsi="Calibri" w:cs="Calibri"/>
          <w:szCs w:val="24"/>
        </w:rPr>
        <w:t>Jeangène Vilmer, 257.</w:t>
      </w:r>
      <w:r>
        <w:fldChar w:fldCharType="end"/>
      </w:r>
    </w:p>
  </w:footnote>
  <w:footnote w:id="101">
    <w:p w14:paraId="08FF72BF" w14:textId="7C1CDDCB" w:rsidR="006F28E3" w:rsidRDefault="006F28E3">
      <w:pPr>
        <w:pStyle w:val="FootnoteText"/>
      </w:pPr>
      <w:r>
        <w:rPr>
          <w:rStyle w:val="FootnoteReference"/>
        </w:rPr>
        <w:footnoteRef/>
      </w:r>
      <w:r>
        <w:t xml:space="preserve"> </w:t>
      </w:r>
      <w:r>
        <w:fldChar w:fldCharType="begin"/>
      </w:r>
      <w:r>
        <w:instrText xml:space="preserve"> ADDIN ZOTERO_ITEM CSL_CITATION {"citationID":"zaw61gSo","properties":{"formattedCitation":"Jeang\\uc0\\u232{}ne Vilmer, 260.","plainCitation":"Jeangène Vilmer, 260.","noteIndex":101},"citationItems":[{"id":2052,"uris":["http://zotero.org/users/3679831/items/SIU95AUS"],"uri":["http://zotero.org/users/3679831/items/SIU95AUS"],"itemData":{"id":2052,"type":"book","title":"Éthique des relations internationales: problématiques contemporaines","publisher":"Presses universitaires de France","publisher-place":"Paris","number-of-pages":"474","edition":"1. ed","source":"Gemeinsamer Bibliotheksverbund ISBN","event-place":"Paris","ISBN":"978-2-13-059112-2","note":"OCLC: 862734276","shortTitle":"Éthique des relations internationales","language":"fre","editor":[{"family":"Jeangène Vilmer","given":"Jean-Baptiste"}],"issued":{"date-parts":[["2013"]]}},"locator":"260","label":"page"}],"schema":"https://github.com/citation-style-language/schema/raw/master/csl-citation.json"} </w:instrText>
      </w:r>
      <w:r>
        <w:fldChar w:fldCharType="separate"/>
      </w:r>
      <w:r w:rsidRPr="00414EAB">
        <w:rPr>
          <w:rFonts w:ascii="Calibri" w:hAnsi="Calibri" w:cs="Calibri"/>
          <w:szCs w:val="24"/>
        </w:rPr>
        <w:t>Jeangène Vilmer, 260.</w:t>
      </w:r>
      <w:r>
        <w:fldChar w:fldCharType="end"/>
      </w:r>
    </w:p>
  </w:footnote>
  <w:footnote w:id="102">
    <w:p w14:paraId="46B71079" w14:textId="350CECEB" w:rsidR="006F28E3" w:rsidRDefault="006F28E3">
      <w:pPr>
        <w:pStyle w:val="FootnoteText"/>
      </w:pPr>
      <w:r>
        <w:rPr>
          <w:rStyle w:val="FootnoteReference"/>
        </w:rPr>
        <w:footnoteRef/>
      </w:r>
      <w:r>
        <w:t xml:space="preserve"> </w:t>
      </w:r>
      <w:r>
        <w:fldChar w:fldCharType="begin"/>
      </w:r>
      <w:r>
        <w:instrText xml:space="preserve"> ADDIN ZOTERO_ITEM CSL_CITATION {"citationID":"IwRR19l2","properties":{"formattedCitation":"Jeang\\uc0\\u232{}ne Vilmer, 261.","plainCitation":"Jeangène Vilmer, 261.","noteIndex":102},"citationItems":[{"id":2052,"uris":["http://zotero.org/users/3679831/items/SIU95AUS"],"uri":["http://zotero.org/users/3679831/items/SIU95AUS"],"itemData":{"id":2052,"type":"book","title":"Éthique des relations internationales: problématiques contemporaines","publisher":"Presses universitaires de France","publisher-place":"Paris","number-of-pages":"474","edition":"1. ed","source":"Gemeinsamer Bibliotheksverbund ISBN","event-place":"Paris","ISBN":"978-2-13-059112-2","note":"OCLC: 862734276","shortTitle":"Éthique des relations internationales","language":"fre","editor":[{"family":"Jeangène Vilmer","given":"Jean-Baptiste"}],"issued":{"date-parts":[["2013"]]}},"locator":"261","label":"page"}],"schema":"https://github.com/citation-style-language/schema/raw/master/csl-citation.json"} </w:instrText>
      </w:r>
      <w:r>
        <w:fldChar w:fldCharType="separate"/>
      </w:r>
      <w:r w:rsidRPr="00414EAB">
        <w:rPr>
          <w:rFonts w:ascii="Calibri" w:hAnsi="Calibri" w:cs="Calibri"/>
          <w:szCs w:val="24"/>
        </w:rPr>
        <w:t>Jeangène Vilmer, 261.</w:t>
      </w:r>
      <w:r>
        <w:fldChar w:fldCharType="end"/>
      </w:r>
    </w:p>
  </w:footnote>
  <w:footnote w:id="103">
    <w:p w14:paraId="1646B1F5" w14:textId="233F2F77" w:rsidR="006F28E3" w:rsidRPr="0076221C" w:rsidRDefault="006F28E3" w:rsidP="001905B0">
      <w:pPr>
        <w:pStyle w:val="FootnoteText"/>
      </w:pPr>
      <w:r>
        <w:rPr>
          <w:rStyle w:val="FootnoteReference"/>
        </w:rPr>
        <w:footnoteRef/>
      </w:r>
      <w:r w:rsidRPr="0076221C">
        <w:t xml:space="preserve"> </w:t>
      </w:r>
      <w:r>
        <w:fldChar w:fldCharType="begin"/>
      </w:r>
      <w:r>
        <w:instrText xml:space="preserve"> ADDIN ZOTERO_ITEM CSL_CITATION {"citationID":"VmlN9B9V","properties":{"formattedCitation":"Michel M\\uc0\\u233{}tayer, {\\i{}Philosophie et \\uc0\\u233{}thique\\uc0\\u8239{}: enjeux et d\\uc0\\u233{}bats actuels(La) 4e \\uc0\\u233{}d. par M\\uc0\\u201{}TAYER, MICHEL}, 4\\uc0\\u232{}me (PEARSON, s.\\uc0\\u160{}d.), 79, consult\\uc0\\u233{} le 23 f\\uc0\\u233{}vrier 2017.","plainCitation":"Michel Métayer, Philosophie et éthique : enjeux et débats actuels(La) 4e éd. par MÉTAYER, MICHEL, 4ème (PEARSON, s. d.), 79, consulté le 23 février 2017.","dontUpdate":true,"noteIndex":104},"citationItems":[{"id":1641,"uris":["http://zotero.org/users/3679831/items/559NLEBJ"],"uri":["http://zotero.org/users/3679831/items/559NLEBJ"],"itemData":{"id":1641,"type":"book","title":"Philosophie et éthique : enjeux et débats actuels(La) 4e éd. par MÉTAYER, MICHEL","publisher":"PEARSON","edition":"4ème","source":"www.renaud-bray.com","shortTitle":"Philosophie et éthique","author":[{"family":"Métayer","given":"Michel"}],"accessed":{"date-parts":[["2017",2,23]]}},"locator":"79","label":"page"}],"schema":"https://github.com/citation-style-language/schema/raw/master/csl-citation.json"} </w:instrText>
      </w:r>
      <w:r>
        <w:fldChar w:fldCharType="separate"/>
      </w:r>
      <w:r w:rsidRPr="0076221C">
        <w:rPr>
          <w:rFonts w:ascii="Calibri" w:hAnsi="Calibri" w:cs="Calibri"/>
          <w:szCs w:val="24"/>
        </w:rPr>
        <w:t xml:space="preserve">Michel Métayer, </w:t>
      </w:r>
      <w:r w:rsidRPr="0076221C">
        <w:rPr>
          <w:rFonts w:ascii="Calibri" w:hAnsi="Calibri" w:cs="Calibri"/>
          <w:i/>
          <w:iCs/>
          <w:szCs w:val="24"/>
        </w:rPr>
        <w:t>Philosophie et éthique: enjeux et débats actuels (La) 4e éd. par MÉTAYER, MICHEL</w:t>
      </w:r>
      <w:r w:rsidRPr="0076221C">
        <w:rPr>
          <w:rFonts w:ascii="Calibri" w:hAnsi="Calibri" w:cs="Calibri"/>
          <w:szCs w:val="24"/>
        </w:rPr>
        <w:t>, 4ème (PEARSON, s. d.), 79, consulté le 23 février 2017.</w:t>
      </w:r>
      <w:r>
        <w:fldChar w:fldCharType="end"/>
      </w:r>
    </w:p>
  </w:footnote>
  <w:footnote w:id="104">
    <w:p w14:paraId="5F4DC6F1" w14:textId="11951647" w:rsidR="006F28E3" w:rsidRDefault="006F28E3">
      <w:pPr>
        <w:pStyle w:val="FootnoteText"/>
      </w:pPr>
      <w:r>
        <w:rPr>
          <w:rStyle w:val="FootnoteReference"/>
        </w:rPr>
        <w:footnoteRef/>
      </w:r>
      <w:r>
        <w:t xml:space="preserve"> </w:t>
      </w:r>
      <w:r>
        <w:fldChar w:fldCharType="begin"/>
      </w:r>
      <w:r>
        <w:instrText xml:space="preserve"> ADDIN ZOTERO_ITEM CSL_CITATION {"citationID":"im1ZUNjF","properties":{"formattedCitation":"Miguel Abensour et Jacques Taminiaux, \\uc0\\u233{}d., {\\i{}Ph\\uc0\\u233{}nom\\uc0\\u233{}nologie et politique: m\\uc0\\u233{}langes offerts \\uc0\\u224{} Jacques Taminiaux}, Recueil 2 (Bruxelles: Ousia, 1989), 380.","plainCitation":"Miguel Abensour et Jacques Taminiaux, éd., Phénoménologie et politique: mélanges offerts à Jacques Taminiaux, Recueil 2 (Bruxelles: Ousia, 1989), 380.","noteIndex":104},"citationItems":[{"id":2055,"uris":["http://zotero.org/users/3679831/items/SUYBX6A9"],"uri":["http://zotero.org/users/3679831/items/SUYBX6A9"],"itemData":{"id":2055,"type":"book","title":"Phénoménologie et politique: mélanges offerts à Jacques Taminiaux","collection-title":"Recueil","collection-number":"2","publisher":"Ousia","publisher-place":"Bruxelles","number-of-pages":"519","source":"Gemeinsamer Bibliotheksverbund ISBN","event-place":"Bruxelles","ISBN":"978-2-87060-025-2","note":"OCLC: 243728942","shortTitle":"Phénoménologie et politique","editor":[{"family":"Abensour","given":"Miguel"},{"family":"Taminiaux","given":"Jacques"}],"issued":{"date-parts":[["1989"]]}},"locator":"380","label":"page"}],"schema":"https://github.com/citation-style-language/schema/raw/master/csl-citation.json"} </w:instrText>
      </w:r>
      <w:r>
        <w:fldChar w:fldCharType="separate"/>
      </w:r>
      <w:r w:rsidRPr="00115B37">
        <w:rPr>
          <w:rFonts w:ascii="Calibri" w:hAnsi="Calibri" w:cs="Calibri"/>
          <w:szCs w:val="24"/>
        </w:rPr>
        <w:t xml:space="preserve">Miguel Abensour et Jacques Taminiaux, éd., </w:t>
      </w:r>
      <w:r w:rsidRPr="00115B37">
        <w:rPr>
          <w:rFonts w:ascii="Calibri" w:hAnsi="Calibri" w:cs="Calibri"/>
          <w:i/>
          <w:iCs/>
          <w:szCs w:val="24"/>
        </w:rPr>
        <w:t>Phénoménologie et politique: mélanges offerts à Jacques Taminiaux</w:t>
      </w:r>
      <w:r w:rsidRPr="00115B37">
        <w:rPr>
          <w:rFonts w:ascii="Calibri" w:hAnsi="Calibri" w:cs="Calibri"/>
          <w:szCs w:val="24"/>
        </w:rPr>
        <w:t>, Recueil 2 (Bruxelles: Ousia, 1989), 380.</w:t>
      </w:r>
      <w:r>
        <w:fldChar w:fldCharType="end"/>
      </w:r>
    </w:p>
  </w:footnote>
  <w:footnote w:id="105">
    <w:p w14:paraId="13078CCD" w14:textId="63413145" w:rsidR="006F28E3" w:rsidRDefault="006F28E3" w:rsidP="001905B0">
      <w:pPr>
        <w:pStyle w:val="FootnoteText"/>
      </w:pPr>
      <w:r w:rsidRPr="0026745F">
        <w:rPr>
          <w:rStyle w:val="FootnoteReference"/>
        </w:rPr>
        <w:footnoteRef/>
      </w:r>
      <w:r>
        <w:t xml:space="preserve"> </w:t>
      </w:r>
      <w:r>
        <w:fldChar w:fldCharType="begin"/>
      </w:r>
      <w:r>
        <w:instrText xml:space="preserve"> ADDIN ZOTERO_ITEM CSL_CITATION {"citationID":"LIWetYK9","properties":{"formattedCitation":"Arendt, trad. Fradier, et pr\\uc0\\u233{}face de Ricoeur, {\\i{}Condition de l\\uc0\\u8217{}homme moderne}, 234.","plainCitation":"Arendt, trad. Fradier, et préface de Ricoeur, Condition de l’homme moderne, 234.","noteIndex":105},"citationItems":[{"id":1874,"uris":["http://zotero.org/users/3679831/items/LPV7B9NQ"],"uri":["http://zotero.org/users/3679831/items/LPV7B9NQ"],"itemData":{"id":1874,"type":"book","title":"Condition de l'homme moderne","publisher":"Calmann-Lévy","publisher-place":"Paris","source":"Open WorldCat","event-place":"Paris","abstract":"Condition de l’homme moderne (1958) prend place dans l’oeuvre de Hannah Arendt, à la suite des Origines du totalitarisme (1951.Témoin des grands séismes de l’histoire et de la raison. Hannah Arendt s’est particulièrement attachée à réfléchir sur les conditions de la liberté et d’une pensée libre. Ce livre rappelle avec force que la vraie liberté politique n’est pas la retraite paisible dans la sphère de la vie privée, si précieuse soit-elle, mais aussi et d’abord l’action publique menée avec des égaux et reposant sur des choix individuels. Examinant les concepts de travail, d’oeuvre et d’action, Hannah Arendt nous parle du règne de la nécessité, de la capacité de création et de la révélation de l’homme dans la parole et dans l’action. Se fondant sur la philosophie grecque, elle étudie les questions majeures de notre temps : la réhabilitation de l’action politique individuelle, les limites de toute souveraineté, les périls mortels du déterminisme historique et social, la fragilité de la liberté, le caractère imprévisible de l’histoire des hommes. Hannah Arendt aimait citer René Char : \"Notre héritage n’est précédé d’aucun testament.\" Cette réédition de l’oeuvre philosophique majeure de Hannah Arendt est précédée d’une importante préface de Paul Ricoeur, qui analyse l’apport de l’auteur à la pensée politique contemporaine et situe ce livre dans l’eouvre de Hannah Arendt.","ISBN":"978-2-266-12649-6","note":"OCLC: 913110082","language":"French","author":[{"family":"Arendt","given":"Hannah"},{"family":"Fradier","given":"Georges","non-dropping-particle":"trad."},{"family":"Ricoeur","given":"Paul","non-dropping-particle":"préface de"}],"issued":{"date-parts":[["2014"]]}},"locator":"234","label":"page"}],"schema":"https://github.com/citation-style-language/schema/raw/master/csl-citation.json"} </w:instrText>
      </w:r>
      <w:r>
        <w:fldChar w:fldCharType="separate"/>
      </w:r>
      <w:r w:rsidRPr="00501581">
        <w:rPr>
          <w:rFonts w:ascii="Calibri" w:hAnsi="Calibri" w:cs="Calibri"/>
          <w:szCs w:val="24"/>
        </w:rPr>
        <w:t xml:space="preserve">Arendt, trad. Fradier, et préface de Ricoeur, </w:t>
      </w:r>
      <w:r w:rsidRPr="00501581">
        <w:rPr>
          <w:rFonts w:ascii="Calibri" w:hAnsi="Calibri" w:cs="Calibri"/>
          <w:i/>
          <w:iCs/>
          <w:szCs w:val="24"/>
        </w:rPr>
        <w:t>Condition de l’homme moderne</w:t>
      </w:r>
      <w:r w:rsidRPr="00501581">
        <w:rPr>
          <w:rFonts w:ascii="Calibri" w:hAnsi="Calibri" w:cs="Calibri"/>
          <w:szCs w:val="24"/>
        </w:rPr>
        <w:t>, 234.</w:t>
      </w:r>
      <w:r>
        <w:fldChar w:fldCharType="end"/>
      </w:r>
    </w:p>
  </w:footnote>
  <w:footnote w:id="106">
    <w:p w14:paraId="5C166571" w14:textId="599644CE" w:rsidR="006F28E3" w:rsidRPr="00501581" w:rsidRDefault="006F28E3">
      <w:pPr>
        <w:pStyle w:val="FootnoteText"/>
      </w:pPr>
      <w:r>
        <w:rPr>
          <w:rStyle w:val="FootnoteReference"/>
        </w:rPr>
        <w:footnoteRef/>
      </w:r>
      <w:r w:rsidRPr="00501581">
        <w:t xml:space="preserve"> </w:t>
      </w:r>
      <w:r>
        <w:fldChar w:fldCharType="begin"/>
      </w:r>
      <w:r w:rsidRPr="00501581">
        <w:instrText xml:space="preserve"> ADDIN ZOTERO_ITEM CSL_CITATION {"citationID":"HyXEiiY4","properties":{"formattedCitation":"Arendt, trad. Fradier, et pr\\uc0\\u233{}face de Ricoeur, 302.","plainCitation":"Arendt, trad. Fradier, et préface de Ricoeur, 302.","noteIndex":106},"citationItems":[{"id":1874,"uris":["http://zotero.org/users/3679831/items/LPV7B9NQ"],"uri":["http://zotero.org/users/3679831/items/LPV7B9NQ"],"itemData":{"id":1874,"type":"book","title":"Condition de l'homme moderne","publisher":"Calmann-Lévy","publisher-place":"Paris","source":"Open WorldCat","event-place":"Paris","abstract":"Condition de l’homme moderne (1958) prend place dans l’oeuvre de Hannah Arendt, à la suite des Origines du totalitarisme (1951.Témoin des grands séismes de l’histoire et de la raison. Hannah Arendt s’est particulièrement attachée à réfléchir sur les conditions de la liberté et d’une pensée libre. Ce livre rappelle avec force que la vraie liberté politique n’est pas la retraite paisible dans la sphère de la vie privée, si précieuse soit-elle, mais aussi et d’abord l’action publique menée avec des égaux et reposant sur des choix individuels. Examinant les concepts de travail, d’oeuvre et d’action, Hannah Arendt nous parle du règne de la nécessité, de la capacité de création et de la révélation de l’homme dans la parole et dans l’action. Se fondant sur la philosophie grecque, elle étudie les questions majeures de notre temps : la réhabilitation de l’action politique individuelle, les limites de toute souveraineté, les périls mortels du déterminisme historique et social, la fragilité de la liberté, le caractère imprévisible de l’histoire des hommes. Hannah Arendt aimait citer René Char : \"Notre héritage n’est précédé d’aucun testament.\" Cette réédition de l’oeuvre philosophique majeure de Hannah Arendt est précédée d’une importante préface de Paul Ricoeur, qui analyse l’apport de l’auteur à la pensée politique contemporaine et situe ce livre dans l’eouvre de Hannah Arendt.","ISBN":"978-2-266-12649-6","note":"OCLC: 913110082","language":"French","author":[{"family":"Arendt","given":"Hannah"},{"family":"Fradier","given":"Georges","non-dropping-particle":"trad."},{"family":"Ricoeur","given":"Paul","non-dropping-particle":"préface de"}],"issued":{"date-parts":[["2014"]]}},"locator":"302","label":"page"}],"schema":"https://github.com/citation-style-language/schema/raw/master/csl-citation.json"} </w:instrText>
      </w:r>
      <w:r>
        <w:fldChar w:fldCharType="separate"/>
      </w:r>
      <w:r w:rsidRPr="00501581">
        <w:rPr>
          <w:rFonts w:ascii="Calibri" w:hAnsi="Calibri" w:cs="Calibri"/>
          <w:szCs w:val="24"/>
        </w:rPr>
        <w:t>Arendt, trad. Fradier, et préface de Ricoeur, 302.</w:t>
      </w:r>
      <w:r>
        <w:fldChar w:fldCharType="end"/>
      </w:r>
    </w:p>
  </w:footnote>
  <w:footnote w:id="107">
    <w:p w14:paraId="1B4AF9AB" w14:textId="3C04AB55" w:rsidR="006F28E3" w:rsidRDefault="006F28E3">
      <w:pPr>
        <w:pStyle w:val="FootnoteText"/>
      </w:pPr>
      <w:r>
        <w:rPr>
          <w:rStyle w:val="FootnoteReference"/>
        </w:rPr>
        <w:footnoteRef/>
      </w:r>
      <w:r>
        <w:t xml:space="preserve"> </w:t>
      </w:r>
      <w:r>
        <w:fldChar w:fldCharType="begin"/>
      </w:r>
      <w:r>
        <w:instrText xml:space="preserve"> ADDIN ZOTERO_ITEM CSL_CITATION {"citationID":"MdJWeP1c","properties":{"formattedCitation":"Arendt, trad. Fradier, et pr\\uc0\\u233{}face de Ricoeur, 302.","plainCitation":"Arendt, trad. Fradier, et préface de Ricoeur, 302.","noteIndex":107},"citationItems":[{"id":1874,"uris":["http://zotero.org/users/3679831/items/LPV7B9NQ"],"uri":["http://zotero.org/users/3679831/items/LPV7B9NQ"],"itemData":{"id":1874,"type":"book","title":"Condition de l'homme moderne","publisher":"Calmann-Lévy","publisher-place":"Paris","source":"Open WorldCat","event-place":"Paris","abstract":"Condition de l’homme moderne (1958) prend place dans l’oeuvre de Hannah Arendt, à la suite des Origines du totalitarisme (1951.Témoin des grands séismes de l’histoire et de la raison. Hannah Arendt s’est particulièrement attachée à réfléchir sur les conditions de la liberté et d’une pensée libre. Ce livre rappelle avec force que la vraie liberté politique n’est pas la retraite paisible dans la sphère de la vie privée, si précieuse soit-elle, mais aussi et d’abord l’action publique menée avec des égaux et reposant sur des choix individuels. Examinant les concepts de travail, d’oeuvre et d’action, Hannah Arendt nous parle du règne de la nécessité, de la capacité de création et de la révélation de l’homme dans la parole et dans l’action. Se fondant sur la philosophie grecque, elle étudie les questions majeures de notre temps : la réhabilitation de l’action politique individuelle, les limites de toute souveraineté, les périls mortels du déterminisme historique et social, la fragilité de la liberté, le caractère imprévisible de l’histoire des hommes. Hannah Arendt aimait citer René Char : \"Notre héritage n’est précédé d’aucun testament.\" Cette réédition de l’oeuvre philosophique majeure de Hannah Arendt est précédée d’une importante préface de Paul Ricoeur, qui analyse l’apport de l’auteur à la pensée politique contemporaine et situe ce livre dans l’eouvre de Hannah Arendt.","ISBN":"978-2-266-12649-6","note":"OCLC: 913110082","language":"French","author":[{"family":"Arendt","given":"Hannah"},{"family":"Fradier","given":"Georges","non-dropping-particle":"trad."},{"family":"Ricoeur","given":"Paul","non-dropping-particle":"préface de"}],"issued":{"date-parts":[["2014"]]}},"locator":"302","label":"page"}],"schema":"https://github.com/citation-style-language/schema/raw/master/csl-citation.json"} </w:instrText>
      </w:r>
      <w:r>
        <w:fldChar w:fldCharType="separate"/>
      </w:r>
      <w:r w:rsidRPr="00501581">
        <w:rPr>
          <w:rFonts w:ascii="Calibri" w:hAnsi="Calibri" w:cs="Calibri"/>
          <w:szCs w:val="24"/>
        </w:rPr>
        <w:t>Arendt, trad. Fradier, et préface de Ricoeur, 302.</w:t>
      </w:r>
      <w:r>
        <w:fldChar w:fldCharType="end"/>
      </w:r>
    </w:p>
  </w:footnote>
  <w:footnote w:id="108">
    <w:p w14:paraId="2915B171" w14:textId="62091C1C" w:rsidR="006F28E3" w:rsidRDefault="006F28E3">
      <w:pPr>
        <w:pStyle w:val="FootnoteText"/>
      </w:pPr>
      <w:r>
        <w:rPr>
          <w:rStyle w:val="FootnoteReference"/>
        </w:rPr>
        <w:footnoteRef/>
      </w:r>
      <w:r>
        <w:t xml:space="preserve"> </w:t>
      </w:r>
      <w:r>
        <w:fldChar w:fldCharType="begin"/>
      </w:r>
      <w:r>
        <w:instrText xml:space="preserve"> ADDIN ZOTERO_ITEM CSL_CITATION {"citationID":"JbQ0nac2","properties":{"formattedCitation":"Arendt, trad. Fradier, et pr\\uc0\\u233{}face de Ricoeur, 302.","plainCitation":"Arendt, trad. Fradier, et préface de Ricoeur, 302.","noteIndex":108},"citationItems":[{"id":1874,"uris":["http://zotero.org/users/3679831/items/LPV7B9NQ"],"uri":["http://zotero.org/users/3679831/items/LPV7B9NQ"],"itemData":{"id":1874,"type":"book","title":"Condition de l'homme moderne","publisher":"Calmann-Lévy","publisher-place":"Paris","source":"Open WorldCat","event-place":"Paris","abstract":"Condition de l’homme moderne (1958) prend place dans l’oeuvre de Hannah Arendt, à la suite des Origines du totalitarisme (1951.Témoin des grands séismes de l’histoire et de la raison. Hannah Arendt s’est particulièrement attachée à réfléchir sur les conditions de la liberté et d’une pensée libre. Ce livre rappelle avec force que la vraie liberté politique n’est pas la retraite paisible dans la sphère de la vie privée, si précieuse soit-elle, mais aussi et d’abord l’action publique menée avec des égaux et reposant sur des choix individuels. Examinant les concepts de travail, d’oeuvre et d’action, Hannah Arendt nous parle du règne de la nécessité, de la capacité de création et de la révélation de l’homme dans la parole et dans l’action. Se fondant sur la philosophie grecque, elle étudie les questions majeures de notre temps : la réhabilitation de l’action politique individuelle, les limites de toute souveraineté, les périls mortels du déterminisme historique et social, la fragilité de la liberté, le caractère imprévisible de l’histoire des hommes. Hannah Arendt aimait citer René Char : \"Notre héritage n’est précédé d’aucun testament.\" Cette réédition de l’oeuvre philosophique majeure de Hannah Arendt est précédée d’une importante préface de Paul Ricoeur, qui analyse l’apport de l’auteur à la pensée politique contemporaine et situe ce livre dans l’eouvre de Hannah Arendt.","ISBN":"978-2-266-12649-6","note":"OCLC: 913110082","language":"French","author":[{"family":"Arendt","given":"Hannah"},{"family":"Fradier","given":"Georges","non-dropping-particle":"trad."},{"family":"Ricoeur","given":"Paul","non-dropping-particle":"préface de"}],"issued":{"date-parts":[["2014"]]}},"locator":"302","label":"page"}],"schema":"https://github.com/citation-style-language/schema/raw/master/csl-citation.json"} </w:instrText>
      </w:r>
      <w:r>
        <w:fldChar w:fldCharType="separate"/>
      </w:r>
      <w:r w:rsidRPr="00501581">
        <w:rPr>
          <w:rFonts w:ascii="Calibri" w:hAnsi="Calibri" w:cs="Calibri"/>
          <w:szCs w:val="24"/>
        </w:rPr>
        <w:t>Arendt, trad. Fradier, et préface de Ricoeur, 302.</w:t>
      </w:r>
      <w:r>
        <w:fldChar w:fldCharType="end"/>
      </w:r>
    </w:p>
  </w:footnote>
  <w:footnote w:id="109">
    <w:p w14:paraId="506D3C32" w14:textId="1ACC5538" w:rsidR="006F28E3" w:rsidRPr="0076221C" w:rsidRDefault="006F28E3" w:rsidP="001905B0">
      <w:pPr>
        <w:pStyle w:val="FootnoteText"/>
      </w:pPr>
      <w:r w:rsidRPr="0026745F">
        <w:rPr>
          <w:rStyle w:val="FootnoteReference"/>
        </w:rPr>
        <w:footnoteRef/>
      </w:r>
      <w:r w:rsidRPr="0076221C">
        <w:t xml:space="preserve"> </w:t>
      </w:r>
      <w:r>
        <w:fldChar w:fldCharType="begin"/>
      </w:r>
      <w:r>
        <w:instrText xml:space="preserve"> ADDIN ZOTERO_ITEM CSL_CITATION {"citationID":"Ul3EivCC","properties":{"formattedCitation":"Arendt, trad. Fradier, et pr\\uc0\\u233{}face de Ricoeur, 302.","plainCitation":"Arendt, trad. Fradier, et préface de Ricoeur, 302.","noteIndex":110},"citationItems":[{"id":1874,"uris":["http://zotero.org/users/3679831/items/LPV7B9NQ"],"uri":["http://zotero.org/users/3679831/items/LPV7B9NQ"],"itemData":{"id":1874,"type":"book","title":"Condition de l'homme moderne","publisher":"Calmann-Lévy","publisher-place":"Paris","source":"Open WorldCat","event-place":"Paris","abstract":"Condition de l’homme moderne (1958) prend place dans l’oeuvre de Hannah Arendt, à la suite des Origines du totalitarisme (1951.Témoin des grands séismes de l’histoire et de la raison. Hannah Arendt s’est particulièrement attachée à réfléchir sur les conditions de la liberté et d’une pensée libre. Ce livre rappelle avec force que la vraie liberté politique n’est pas la retraite paisible dans la sphère de la vie privée, si précieuse soit-elle, mais aussi et d’abord l’action publique menée avec des égaux et reposant sur des choix individuels. Examinant les concepts de travail, d’oeuvre et d’action, Hannah Arendt nous parle du règne de la nécessité, de la capacité de création et de la révélation de l’homme dans la parole et dans l’action. Se fondant sur la philosophie grecque, elle étudie les questions majeures de notre temps : la réhabilitation de l’action politique individuelle, les limites de toute souveraineté, les périls mortels du déterminisme historique et social, la fragilité de la liberté, le caractère imprévisible de l’histoire des hommes. Hannah Arendt aimait citer René Char : \"Notre héritage n’est précédé d’aucun testament.\" Cette réédition de l’oeuvre philosophique majeure de Hannah Arendt est précédée d’une importante préface de Paul Ricoeur, qui analyse l’apport de l’auteur à la pensée politique contemporaine et situe ce livre dans l’eouvre de Hannah Arendt.","ISBN":"978-2-266-12649-6","note":"OCLC: 913110082","language":"French","author":[{"family":"Arendt","given":"Hannah"},{"family":"Fradier","given":"Georges","non-dropping-particle":"trad."},{"family":"Ricoeur","given":"Paul","non-dropping-particle":"préface de"}],"issued":{"date-parts":[["2014"]]}},"locator":"302","label":"page"}],"schema":"https://github.com/citation-style-language/schema/raw/master/csl-citation.json"} </w:instrText>
      </w:r>
      <w:r>
        <w:fldChar w:fldCharType="separate"/>
      </w:r>
      <w:r w:rsidRPr="001B2B75">
        <w:rPr>
          <w:rFonts w:ascii="Calibri" w:hAnsi="Calibri" w:cs="Calibri"/>
          <w:szCs w:val="24"/>
        </w:rPr>
        <w:t>Arendt, trad. Fradier, et préface de Ricoeur, 302.</w:t>
      </w:r>
      <w:r>
        <w:fldChar w:fldCharType="end"/>
      </w:r>
    </w:p>
  </w:footnote>
  <w:footnote w:id="110">
    <w:p w14:paraId="09AB1B04" w14:textId="739AAA63" w:rsidR="006F28E3" w:rsidRPr="0044026D" w:rsidRDefault="006F28E3" w:rsidP="001905B0">
      <w:pPr>
        <w:pStyle w:val="FootnoteText"/>
      </w:pPr>
      <w:r w:rsidRPr="0026745F">
        <w:rPr>
          <w:rStyle w:val="FootnoteReference"/>
        </w:rPr>
        <w:footnoteRef/>
      </w:r>
      <w:r w:rsidRPr="0044026D">
        <w:t xml:space="preserve"> </w:t>
      </w:r>
      <w:r>
        <w:fldChar w:fldCharType="begin"/>
      </w:r>
      <w:r>
        <w:instrText xml:space="preserve"> ADDIN ZOTERO_ITEM CSL_CITATION {"citationID":"sxy6uf0T","properties":{"formattedCitation":"Arendt, trad. Fradier, et pr\\uc0\\u233{}face de Ricoeur, 302.","plainCitation":"Arendt, trad. Fradier, et préface de Ricoeur, 302.","noteIndex":111},"citationItems":[{"id":1874,"uris":["http://zotero.org/users/3679831/items/LPV7B9NQ"],"uri":["http://zotero.org/users/3679831/items/LPV7B9NQ"],"itemData":{"id":1874,"type":"book","title":"Condition de l'homme moderne","publisher":"Calmann-Lévy","publisher-place":"Paris","source":"Open WorldCat","event-place":"Paris","abstract":"Condition de l’homme moderne (1958) prend place dans l’oeuvre de Hannah Arendt, à la suite des Origines du totalitarisme (1951.Témoin des grands séismes de l’histoire et de la raison. Hannah Arendt s’est particulièrement attachée à réfléchir sur les conditions de la liberté et d’une pensée libre. Ce livre rappelle avec force que la vraie liberté politique n’est pas la retraite paisible dans la sphère de la vie privée, si précieuse soit-elle, mais aussi et d’abord l’action publique menée avec des égaux et reposant sur des choix individuels. Examinant les concepts de travail, d’oeuvre et d’action, Hannah Arendt nous parle du règne de la nécessité, de la capacité de création et de la révélation de l’homme dans la parole et dans l’action. Se fondant sur la philosophie grecque, elle étudie les questions majeures de notre temps : la réhabilitation de l’action politique individuelle, les limites de toute souveraineté, les périls mortels du déterminisme historique et social, la fragilité de la liberté, le caractère imprévisible de l’histoire des hommes. Hannah Arendt aimait citer René Char : \"Notre héritage n’est précédé d’aucun testament.\" Cette réédition de l’oeuvre philosophique majeure de Hannah Arendt est précédée d’une importante préface de Paul Ricoeur, qui analyse l’apport de l’auteur à la pensée politique contemporaine et situe ce livre dans l’eouvre de Hannah Arendt.","ISBN":"978-2-266-12649-6","note":"OCLC: 913110082","language":"French","author":[{"family":"Arendt","given":"Hannah"},{"family":"Fradier","given":"Georges","non-dropping-particle":"trad."},{"family":"Ricoeur","given":"Paul","non-dropping-particle":"préface de"}],"issued":{"date-parts":[["2014"]]}},"locator":"302","label":"page"}],"schema":"https://github.com/citation-style-language/schema/raw/master/csl-citation.json"} </w:instrText>
      </w:r>
      <w:r>
        <w:fldChar w:fldCharType="separate"/>
      </w:r>
      <w:r w:rsidRPr="001B2B75">
        <w:rPr>
          <w:rFonts w:ascii="Calibri" w:hAnsi="Calibri" w:cs="Calibri"/>
          <w:szCs w:val="24"/>
        </w:rPr>
        <w:t>Arendt, trad. Fradier, et préface de Ricoeur, 302.</w:t>
      </w:r>
      <w:r>
        <w:fldChar w:fldCharType="end"/>
      </w:r>
    </w:p>
  </w:footnote>
  <w:footnote w:id="111">
    <w:p w14:paraId="5C3E7C24" w14:textId="68BD8798" w:rsidR="006F28E3" w:rsidRDefault="006F28E3">
      <w:pPr>
        <w:pStyle w:val="FootnoteText"/>
      </w:pPr>
      <w:r>
        <w:rPr>
          <w:rStyle w:val="FootnoteReference"/>
        </w:rPr>
        <w:footnoteRef/>
      </w:r>
      <w:r>
        <w:t xml:space="preserve"> </w:t>
      </w:r>
      <w:r>
        <w:fldChar w:fldCharType="begin"/>
      </w:r>
      <w:r>
        <w:instrText xml:space="preserve"> ADDIN ZOTERO_ITEM CSL_CITATION {"citationID":"upitfmDn","properties":{"formattedCitation":"Arendt, trad. Fradier, et pr\\uc0\\u233{}face de Ricoeur, 302.","plainCitation":"Arendt, trad. Fradier, et préface de Ricoeur, 302.","noteIndex":111},"citationItems":[{"id":1874,"uris":["http://zotero.org/users/3679831/items/LPV7B9NQ"],"uri":["http://zotero.org/users/3679831/items/LPV7B9NQ"],"itemData":{"id":1874,"type":"book","title":"Condition de l'homme moderne","publisher":"Calmann-Lévy","publisher-place":"Paris","source":"Open WorldCat","event-place":"Paris","abstract":"Condition de l’homme moderne (1958) prend place dans l’oeuvre de Hannah Arendt, à la suite des Origines du totalitarisme (1951.Témoin des grands séismes de l’histoire et de la raison. Hannah Arendt s’est particulièrement attachée à réfléchir sur les conditions de la liberté et d’une pensée libre. Ce livre rappelle avec force que la vraie liberté politique n’est pas la retraite paisible dans la sphère de la vie privée, si précieuse soit-elle, mais aussi et d’abord l’action publique menée avec des égaux et reposant sur des choix individuels. Examinant les concepts de travail, d’oeuvre et d’action, Hannah Arendt nous parle du règne de la nécessité, de la capacité de création et de la révélation de l’homme dans la parole et dans l’action. Se fondant sur la philosophie grecque, elle étudie les questions majeures de notre temps : la réhabilitation de l’action politique individuelle, les limites de toute souveraineté, les périls mortels du déterminisme historique et social, la fragilité de la liberté, le caractère imprévisible de l’histoire des hommes. Hannah Arendt aimait citer René Char : \"Notre héritage n’est précédé d’aucun testament.\" Cette réédition de l’oeuvre philosophique majeure de Hannah Arendt est précédée d’une importante préface de Paul Ricoeur, qui analyse l’apport de l’auteur à la pensée politique contemporaine et situe ce livre dans l’eouvre de Hannah Arendt.","ISBN":"978-2-266-12649-6","note":"OCLC: 913110082","language":"French","author":[{"family":"Arendt","given":"Hannah"},{"family":"Fradier","given":"Georges","non-dropping-particle":"trad."},{"family":"Ricoeur","given":"Paul","non-dropping-particle":"préface de"}],"issued":{"date-parts":[["2014"]]}},"locator":"302","label":"page"}],"schema":"https://github.com/citation-style-language/schema/raw/master/csl-citation.json"} </w:instrText>
      </w:r>
      <w:r>
        <w:fldChar w:fldCharType="separate"/>
      </w:r>
      <w:r w:rsidRPr="00501581">
        <w:rPr>
          <w:rFonts w:ascii="Calibri" w:hAnsi="Calibri" w:cs="Calibri"/>
          <w:szCs w:val="24"/>
        </w:rPr>
        <w:t>Arendt, trad. Fradier, et préface de Ricoeur, 302.</w:t>
      </w:r>
      <w:r>
        <w:fldChar w:fldCharType="end"/>
      </w:r>
    </w:p>
  </w:footnote>
  <w:footnote w:id="112">
    <w:p w14:paraId="75F7D368" w14:textId="1A9970DE" w:rsidR="006F28E3" w:rsidRDefault="006F28E3">
      <w:pPr>
        <w:pStyle w:val="FootnoteText"/>
      </w:pPr>
      <w:r>
        <w:rPr>
          <w:rStyle w:val="FootnoteReference"/>
        </w:rPr>
        <w:footnoteRef/>
      </w:r>
      <w:r>
        <w:t xml:space="preserve"> </w:t>
      </w:r>
      <w:r>
        <w:fldChar w:fldCharType="begin"/>
      </w:r>
      <w:r>
        <w:instrText xml:space="preserve"> ADDIN ZOTERO_ITEM CSL_CITATION {"citationID":"1F37ygRu","properties":{"formattedCitation":"Arendt, trad. Fradier, et pr\\uc0\\u233{}face de Ricoeur, 303.","plainCitation":"Arendt, trad. Fradier, et préface de Ricoeur, 303.","noteIndex":112},"citationItems":[{"id":1874,"uris":["http://zotero.org/users/3679831/items/LPV7B9NQ"],"uri":["http://zotero.org/users/3679831/items/LPV7B9NQ"],"itemData":{"id":1874,"type":"book","title":"Condition de l'homme moderne","publisher":"Calmann-Lévy","publisher-place":"Paris","source":"Open WorldCat","event-place":"Paris","abstract":"Condition de l’homme moderne (1958) prend place dans l’oeuvre de Hannah Arendt, à la suite des Origines du totalitarisme (1951.Témoin des grands séismes de l’histoire et de la raison. Hannah Arendt s’est particulièrement attachée à réfléchir sur les conditions de la liberté et d’une pensée libre. Ce livre rappelle avec force que la vraie liberté politique n’est pas la retraite paisible dans la sphère de la vie privée, si précieuse soit-elle, mais aussi et d’abord l’action publique menée avec des égaux et reposant sur des choix individuels. Examinant les concepts de travail, d’oeuvre et d’action, Hannah Arendt nous parle du règne de la nécessité, de la capacité de création et de la révélation de l’homme dans la parole et dans l’action. Se fondant sur la philosophie grecque, elle étudie les questions majeures de notre temps : la réhabilitation de l’action politique individuelle, les limites de toute souveraineté, les périls mortels du déterminisme historique et social, la fragilité de la liberté, le caractère imprévisible de l’histoire des hommes. Hannah Arendt aimait citer René Char : \"Notre héritage n’est précédé d’aucun testament.\" Cette réédition de l’oeuvre philosophique majeure de Hannah Arendt est précédée d’une importante préface de Paul Ricoeur, qui analyse l’apport de l’auteur à la pensée politique contemporaine et situe ce livre dans l’eouvre de Hannah Arendt.","ISBN":"978-2-266-12649-6","note":"OCLC: 913110082","language":"French","author":[{"family":"Arendt","given":"Hannah"},{"family":"Fradier","given":"Georges","non-dropping-particle":"trad."},{"family":"Ricoeur","given":"Paul","non-dropping-particle":"préface de"}],"issued":{"date-parts":[["2014"]]}},"locator":"303","label":"page"}],"schema":"https://github.com/citation-style-language/schema/raw/master/csl-citation.json"} </w:instrText>
      </w:r>
      <w:r>
        <w:fldChar w:fldCharType="separate"/>
      </w:r>
      <w:r w:rsidRPr="00501581">
        <w:rPr>
          <w:rFonts w:ascii="Calibri" w:hAnsi="Calibri" w:cs="Calibri"/>
          <w:szCs w:val="24"/>
        </w:rPr>
        <w:t>Arendt, trad. Fradier, et préface de Ricoeur, 303.</w:t>
      </w:r>
      <w:r>
        <w:fldChar w:fldCharType="end"/>
      </w:r>
    </w:p>
  </w:footnote>
  <w:footnote w:id="113">
    <w:p w14:paraId="67B31F49" w14:textId="6D3C52F9" w:rsidR="006F28E3" w:rsidRDefault="006F28E3" w:rsidP="001905B0">
      <w:pPr>
        <w:pStyle w:val="FootnoteText"/>
      </w:pPr>
      <w:r>
        <w:rPr>
          <w:rStyle w:val="FootnoteReference"/>
        </w:rPr>
        <w:footnoteRef/>
      </w:r>
      <w:r>
        <w:t xml:space="preserve"> </w:t>
      </w:r>
      <w:r>
        <w:fldChar w:fldCharType="begin"/>
      </w:r>
      <w:r>
        <w:instrText xml:space="preserve"> ADDIN ZOTERO_ITEM CSL_CITATION {"citationID":"c5I5D66a","properties":{"formattedCitation":"Paul Ric\\uc0\\u339{}ur, {\\i{}Amour et justice} (Paris: Editions Points, 2008), 42.","plainCitation":"Paul Ricœur, Amour et justice (Paris: Editions Points, 2008), 42.","noteIndex":113},"citationItems":[{"id":1992,"uris":["http://zotero.org/users/3679831/items/DSV292I2"],"uri":["http://zotero.org/users/3679831/items/DSV292I2"],"itemData":{"id":1992,"type":"book","title":"Amour et justice","publisher":"Editions Points","publisher-place":"Paris","source":"Open WorldCat","event-place":"Paris","ISBN":"978-2-7578-1124-5","note":"OCLC: 901520323","language":"French","author":[{"family":"Ricœur","given":"Paul"}],"issued":{"date-parts":[["2008"]]}},"locator":"42","label":"page"}],"schema":"https://github.com/citation-style-language/schema/raw/master/csl-citation.json"} </w:instrText>
      </w:r>
      <w:r>
        <w:fldChar w:fldCharType="separate"/>
      </w:r>
      <w:r w:rsidRPr="0083738E">
        <w:rPr>
          <w:rFonts w:ascii="Calibri" w:hAnsi="Calibri" w:cs="Calibri"/>
          <w:szCs w:val="24"/>
        </w:rPr>
        <w:t xml:space="preserve">Paul Ricœur, </w:t>
      </w:r>
      <w:r w:rsidRPr="0083738E">
        <w:rPr>
          <w:rFonts w:ascii="Calibri" w:hAnsi="Calibri" w:cs="Calibri"/>
          <w:i/>
          <w:iCs/>
          <w:szCs w:val="24"/>
        </w:rPr>
        <w:t>Amour et justice</w:t>
      </w:r>
      <w:r w:rsidRPr="0083738E">
        <w:rPr>
          <w:rFonts w:ascii="Calibri" w:hAnsi="Calibri" w:cs="Calibri"/>
          <w:szCs w:val="24"/>
        </w:rPr>
        <w:t xml:space="preserve"> (Paris: Editions Points, 2008), 42.</w:t>
      </w:r>
      <w:r>
        <w:fldChar w:fldCharType="end"/>
      </w:r>
    </w:p>
  </w:footnote>
  <w:footnote w:id="114">
    <w:p w14:paraId="5DC4263C" w14:textId="31540943" w:rsidR="006F28E3" w:rsidRPr="0083738E" w:rsidRDefault="006F28E3" w:rsidP="001905B0">
      <w:pPr>
        <w:pStyle w:val="FootnoteText"/>
      </w:pPr>
      <w:r>
        <w:rPr>
          <w:rStyle w:val="FootnoteReference"/>
        </w:rPr>
        <w:footnoteRef/>
      </w:r>
      <w:r w:rsidRPr="0083738E">
        <w:t xml:space="preserve"> </w:t>
      </w:r>
      <w:r>
        <w:fldChar w:fldCharType="begin"/>
      </w:r>
      <w:r>
        <w:instrText xml:space="preserve"> ADDIN ZOTERO_ITEM CSL_CITATION {"citationID":"fFjxqhMh","properties":{"formattedCitation":"Paul Ric\\uc0\\u339{}ur, {\\i{}Amour et justice} (Paris: Editions Points, 2008), 41.","plainCitation":"Paul Ricœur, Amour et justice (Paris: Editions Points, 2008), 41.","dontUpdate":true,"noteIndex":114},"citationItems":[{"id":1924,"uris":["http://zotero.org/users/3679831/items/V9NVFF74"],"uri":["http://zotero.org/users/3679831/items/V9NVFF74"],"itemData":{"id":1924,"type":"book","title":"Amour et justice","publisher":"Editions Points","publisher-place":"Paris","source":"Open WorldCat","event-place":"Paris","ISBN":"978-2-7578-1124-5","note":"OCLC: 901520323","language":"French","author":[{"family":"Ricœur","given":"Paul"}],"issued":{"date-parts":[["2008"]]}},"locator":"41","label":"page"}],"schema":"https://github.com/citation-style-language/schema/raw/master/csl-citation.json"} </w:instrText>
      </w:r>
      <w:r>
        <w:fldChar w:fldCharType="separate"/>
      </w:r>
      <w:r w:rsidRPr="0083738E">
        <w:rPr>
          <w:rFonts w:ascii="Calibri" w:hAnsi="Calibri" w:cs="Calibri"/>
          <w:szCs w:val="24"/>
        </w:rPr>
        <w:t>Ricœur, 41.</w:t>
      </w:r>
      <w:r>
        <w:fldChar w:fldCharType="end"/>
      </w:r>
    </w:p>
  </w:footnote>
  <w:footnote w:id="115">
    <w:p w14:paraId="48FBA928" w14:textId="43102E65" w:rsidR="006F28E3" w:rsidRDefault="006F28E3" w:rsidP="001905B0">
      <w:pPr>
        <w:pStyle w:val="FootnoteText"/>
      </w:pPr>
      <w:r>
        <w:rPr>
          <w:rStyle w:val="FootnoteReference"/>
        </w:rPr>
        <w:footnoteRef/>
      </w:r>
      <w:r>
        <w:t xml:space="preserve"> </w:t>
      </w:r>
      <w:r>
        <w:fldChar w:fldCharType="begin"/>
      </w:r>
      <w:r>
        <w:instrText xml:space="preserve"> ADDIN ZOTERO_ITEM CSL_CITATION {"citationID":"gr5dJYx1","properties":{"formattedCitation":"Ric\\uc0\\u339{}ur, {\\i{}Amour et justice}, 2008, 42.","plainCitation":"Ricœur, Amour et justice, 2008, 42.","dontUpdate":true,"noteIndex":115},"citationItems":[{"id":1992,"uris":["http://zotero.org/users/3679831/items/DSV292I2"],"uri":["http://zotero.org/users/3679831/items/DSV292I2"],"itemData":{"id":1992,"type":"book","title":"Amour et justice","publisher":"Editions Points","publisher-place":"Paris","source":"Open WorldCat","event-place":"Paris","ISBN":"978-2-7578-1124-5","note":"OCLC: 901520323","language":"French","author":[{"family":"Ricœur","given":"Paul"}],"issued":{"date-parts":[["2008"]]}},"locator":"42","label":"page"}],"schema":"https://github.com/citation-style-language/schema/raw/master/csl-citation.json"} </w:instrText>
      </w:r>
      <w:r>
        <w:fldChar w:fldCharType="separate"/>
      </w:r>
      <w:r w:rsidRPr="0083738E">
        <w:rPr>
          <w:rFonts w:ascii="Calibri" w:hAnsi="Calibri" w:cs="Calibri"/>
          <w:szCs w:val="24"/>
        </w:rPr>
        <w:t>Ricœur, 42.</w:t>
      </w:r>
      <w:r>
        <w:fldChar w:fldCharType="end"/>
      </w:r>
    </w:p>
  </w:footnote>
  <w:footnote w:id="116">
    <w:p w14:paraId="799549CE" w14:textId="604BA713" w:rsidR="006F28E3" w:rsidRDefault="006F28E3" w:rsidP="001905B0">
      <w:pPr>
        <w:pStyle w:val="FootnoteText"/>
      </w:pPr>
      <w:r>
        <w:rPr>
          <w:rStyle w:val="FootnoteReference"/>
        </w:rPr>
        <w:footnoteRef/>
      </w:r>
      <w:r>
        <w:t xml:space="preserve"> </w:t>
      </w:r>
      <w:r>
        <w:fldChar w:fldCharType="begin"/>
      </w:r>
      <w:r>
        <w:instrText xml:space="preserve"> ADDIN ZOTERO_ITEM CSL_CITATION {"citationID":"wjWJMxmo","properties":{"formattedCitation":"Ric\\uc0\\u339{}ur, {\\i{}Amour et justice}, 2008, 42.","plainCitation":"Ricœur, Amour et justice, 2008, 42.","dontUpdate":true,"noteIndex":116},"citationItems":[{"id":1924,"uris":["http://zotero.org/users/3679831/items/V9NVFF74"],"uri":["http://zotero.org/users/3679831/items/V9NVFF74"],"itemData":{"id":1924,"type":"book","title":"Amour et justice","publisher":"Editions Points","publisher-place":"Paris","source":"Open WorldCat","event-place":"Paris","ISBN":"978-2-7578-1124-5","note":"OCLC: 901520323","language":"French","author":[{"family":"Ricœur","given":"Paul"}],"issued":{"date-parts":[["2008"]]}},"locator":"42","label":"page"}],"schema":"https://github.com/citation-style-language/schema/raw/master/csl-citation.json"} </w:instrText>
      </w:r>
      <w:r>
        <w:fldChar w:fldCharType="separate"/>
      </w:r>
      <w:r w:rsidRPr="0083738E">
        <w:rPr>
          <w:rFonts w:ascii="Calibri" w:hAnsi="Calibri" w:cs="Calibri"/>
          <w:szCs w:val="24"/>
        </w:rPr>
        <w:t>Ricœur, 42.</w:t>
      </w:r>
      <w:r>
        <w:fldChar w:fldCharType="end"/>
      </w:r>
    </w:p>
  </w:footnote>
  <w:footnote w:id="117">
    <w:p w14:paraId="6F3D61B7" w14:textId="29C89570" w:rsidR="006F28E3" w:rsidRDefault="006F28E3" w:rsidP="001905B0">
      <w:pPr>
        <w:pStyle w:val="FootnoteText"/>
      </w:pPr>
      <w:r>
        <w:rPr>
          <w:rStyle w:val="FootnoteReference"/>
        </w:rPr>
        <w:footnoteRef/>
      </w:r>
      <w:r>
        <w:t xml:space="preserve"> </w:t>
      </w:r>
      <w:r>
        <w:fldChar w:fldCharType="begin"/>
      </w:r>
      <w:r>
        <w:instrText xml:space="preserve"> ADDIN ZOTERO_ITEM CSL_CITATION {"citationID":"rxg5OYiS","properties":{"formattedCitation":"Ric\\uc0\\u339{}ur, 42.","plainCitation":"Ricœur, 42.","noteIndex":117},"citationItems":[{"id":1924,"uris":["http://zotero.org/users/3679831/items/V9NVFF74"],"uri":["http://zotero.org/users/3679831/items/V9NVFF74"],"itemData":{"id":1924,"type":"book","title":"Amour et justice","publisher":"Editions Points","publisher-place":"Paris","source":"Open WorldCat","event-place":"Paris","ISBN":"978-2-7578-1124-5","note":"OCLC: 901520323","language":"French","author":[{"family":"Ricœur","given":"Paul"}],"issued":{"date-parts":[["2008"]]}},"locator":"42","label":"page"}],"schema":"https://github.com/citation-style-language/schema/raw/master/csl-citation.json"} </w:instrText>
      </w:r>
      <w:r>
        <w:fldChar w:fldCharType="separate"/>
      </w:r>
      <w:r w:rsidRPr="002D43F8">
        <w:rPr>
          <w:rFonts w:ascii="Calibri" w:hAnsi="Calibri" w:cs="Calibri"/>
          <w:szCs w:val="24"/>
        </w:rPr>
        <w:t>Ricœur, 42.</w:t>
      </w:r>
      <w:r>
        <w:fldChar w:fldCharType="end"/>
      </w:r>
    </w:p>
  </w:footnote>
  <w:footnote w:id="118">
    <w:p w14:paraId="411FB8EC" w14:textId="637C0505" w:rsidR="006F28E3" w:rsidRDefault="006F28E3">
      <w:pPr>
        <w:pStyle w:val="FootnoteText"/>
      </w:pPr>
      <w:r>
        <w:rPr>
          <w:rStyle w:val="FootnoteReference"/>
        </w:rPr>
        <w:footnoteRef/>
      </w:r>
      <w:r>
        <w:t xml:space="preserve"> </w:t>
      </w:r>
      <w:r>
        <w:fldChar w:fldCharType="begin"/>
      </w:r>
      <w:r>
        <w:instrText xml:space="preserve"> ADDIN ZOTERO_ITEM CSL_CITATION {"citationID":"eg47ORLg","properties":{"formattedCitation":"Jeang\\uc0\\u232{}ne Vilmer, {\\i{}\\uc0\\u201{}thique des relations internationales}, 256.","plainCitation":"Jeangène Vilmer, Éthique des relations internationales, 256.","noteIndex":118},"citationItems":[{"id":2052,"uris":["http://zotero.org/users/3679831/items/SIU95AUS"],"uri":["http://zotero.org/users/3679831/items/SIU95AUS"],"itemData":{"id":2052,"type":"book","title":"Éthique des relations internationales: problématiques contemporaines","publisher":"Presses universitaires de France","publisher-place":"Paris","number-of-pages":"474","edition":"1. ed","source":"Gemeinsamer Bibliotheksverbund ISBN","event-place":"Paris","ISBN":"978-2-13-059112-2","note":"OCLC: 862734276","shortTitle":"Éthique des relations internationales","language":"fre","editor":[{"family":"Jeangène Vilmer","given":"Jean-Baptiste"}],"issued":{"date-parts":[["2013"]]}},"locator":"256","label":"page"}],"schema":"https://github.com/citation-style-language/schema/raw/master/csl-citation.json"} </w:instrText>
      </w:r>
      <w:r>
        <w:fldChar w:fldCharType="separate"/>
      </w:r>
      <w:r w:rsidRPr="001F213D">
        <w:rPr>
          <w:rFonts w:ascii="Calibri" w:hAnsi="Calibri" w:cs="Calibri"/>
          <w:szCs w:val="24"/>
        </w:rPr>
        <w:t xml:space="preserve">Jeangène Vilmer, </w:t>
      </w:r>
      <w:r w:rsidRPr="001F213D">
        <w:rPr>
          <w:rFonts w:ascii="Calibri" w:hAnsi="Calibri" w:cs="Calibri"/>
          <w:i/>
          <w:iCs/>
          <w:szCs w:val="24"/>
        </w:rPr>
        <w:t>Éthique des relations internationales</w:t>
      </w:r>
      <w:r w:rsidRPr="001F213D">
        <w:rPr>
          <w:rFonts w:ascii="Calibri" w:hAnsi="Calibri" w:cs="Calibri"/>
          <w:szCs w:val="24"/>
        </w:rPr>
        <w:t>, 256.</w:t>
      </w:r>
      <w:r>
        <w:fldChar w:fldCharType="end"/>
      </w:r>
    </w:p>
  </w:footnote>
  <w:footnote w:id="119">
    <w:p w14:paraId="6EFD0B29" w14:textId="5AE3E8AD" w:rsidR="006F28E3" w:rsidRDefault="006F28E3">
      <w:pPr>
        <w:pStyle w:val="FootnoteText"/>
      </w:pPr>
      <w:r>
        <w:rPr>
          <w:rStyle w:val="FootnoteReference"/>
        </w:rPr>
        <w:footnoteRef/>
      </w:r>
      <w:r>
        <w:t xml:space="preserve"> </w:t>
      </w:r>
      <w:r>
        <w:fldChar w:fldCharType="begin"/>
      </w:r>
      <w:r>
        <w:instrText xml:space="preserve"> ADDIN ZOTERO_ITEM CSL_CITATION {"citationID":"nHxyNK6Z","properties":{"formattedCitation":"Jeang\\uc0\\u232{}ne Vilmer, 256.","plainCitation":"Jeangène Vilmer, 256.","noteIndex":119},"citationItems":[{"id":2052,"uris":["http://zotero.org/users/3679831/items/SIU95AUS"],"uri":["http://zotero.org/users/3679831/items/SIU95AUS"],"itemData":{"id":2052,"type":"book","title":"Éthique des relations internationales: problématiques contemporaines","publisher":"Presses universitaires de France","publisher-place":"Paris","number-of-pages":"474","edition":"1. ed","source":"Gemeinsamer Bibliotheksverbund ISBN","event-place":"Paris","ISBN":"978-2-13-059112-2","note":"OCLC: 862734276","shortTitle":"Éthique des relations internationales","language":"fre","editor":[{"family":"Jeangène Vilmer","given":"Jean-Baptiste"}],"issued":{"date-parts":[["2013"]]}},"locator":"256","label":"page"}],"schema":"https://github.com/citation-style-language/schema/raw/master/csl-citation.json"} </w:instrText>
      </w:r>
      <w:r>
        <w:fldChar w:fldCharType="separate"/>
      </w:r>
      <w:r w:rsidRPr="001F213D">
        <w:rPr>
          <w:rFonts w:ascii="Calibri" w:hAnsi="Calibri" w:cs="Calibri"/>
          <w:szCs w:val="24"/>
        </w:rPr>
        <w:t>Jeangène Vilmer, 256.</w:t>
      </w:r>
      <w:r>
        <w:fldChar w:fldCharType="end"/>
      </w:r>
    </w:p>
  </w:footnote>
  <w:footnote w:id="120">
    <w:p w14:paraId="7E8B2960" w14:textId="521D6343" w:rsidR="006F28E3" w:rsidRDefault="006F28E3" w:rsidP="001905B0">
      <w:pPr>
        <w:pStyle w:val="FootnoteText"/>
      </w:pPr>
      <w:r w:rsidRPr="0026745F">
        <w:rPr>
          <w:rStyle w:val="FootnoteReference"/>
        </w:rPr>
        <w:footnoteRef/>
      </w:r>
      <w:r>
        <w:t xml:space="preserve"> </w:t>
      </w:r>
      <w:r>
        <w:fldChar w:fldCharType="begin"/>
      </w:r>
      <w:r>
        <w:instrText xml:space="preserve"> ADDIN ZOTERO_ITEM CSL_CITATION {"citationID":"d0CLwBCV","properties":{"formattedCitation":"Mouelhi, Duhamel, et Charles, {\\i{}Ethique histoire, politique, application}, 37.","plainCitation":"Mouelhi, Duhamel, et Charles, Ethique histoire, politique, application, 37.","noteIndex":121},"citationItems":[{"id":1892,"uris":["http://zotero.org/users/3679831/items/QNU4RKRN"],"uri":["http://zotero.org/users/3679831/items/QNU4RKRN"],"itemData":{"id":1892,"type":"book","title":"Ethique histoire, politique, application","publisher":"G. Morin","publisher-place":"Chicoutimi","source":"Open WorldCat","event-place":"Chicoutimi","ISBN":"978-2-89105-782-0","note":"OCLC: 949076244","language":"French","author":[{"family":"Mouelhi","given":"Noureddine"},{"family":"Duhamel","given":"André"},{"family":"Charles","given":"Syliane"}],"issued":{"date-parts":[["2001"]]}},"locator":"37","label":"page"}],"schema":"https://github.com/citation-style-language/schema/raw/master/csl-citation.json"} </w:instrText>
      </w:r>
      <w:r>
        <w:fldChar w:fldCharType="separate"/>
      </w:r>
      <w:r w:rsidRPr="00291E1D">
        <w:rPr>
          <w:rFonts w:ascii="Calibri" w:hAnsi="Calibri" w:cs="Calibri"/>
          <w:szCs w:val="24"/>
        </w:rPr>
        <w:t xml:space="preserve">Mouelhi, Duhamel, et Charles, </w:t>
      </w:r>
      <w:r w:rsidRPr="00291E1D">
        <w:rPr>
          <w:rFonts w:ascii="Calibri" w:hAnsi="Calibri" w:cs="Calibri"/>
          <w:i/>
          <w:iCs/>
          <w:szCs w:val="24"/>
        </w:rPr>
        <w:t>Ethique histoire, politique, application</w:t>
      </w:r>
      <w:r w:rsidRPr="00291E1D">
        <w:rPr>
          <w:rFonts w:ascii="Calibri" w:hAnsi="Calibri" w:cs="Calibri"/>
          <w:szCs w:val="24"/>
        </w:rPr>
        <w:t>, 37.</w:t>
      </w:r>
      <w:r>
        <w:fldChar w:fldCharType="end"/>
      </w:r>
    </w:p>
  </w:footnote>
  <w:footnote w:id="121">
    <w:p w14:paraId="3BBF5677" w14:textId="6B126047" w:rsidR="006F28E3" w:rsidRDefault="006F28E3" w:rsidP="001905B0">
      <w:pPr>
        <w:pStyle w:val="FootnoteText"/>
      </w:pPr>
      <w:r w:rsidRPr="0026745F">
        <w:rPr>
          <w:rStyle w:val="FootnoteReference"/>
        </w:rPr>
        <w:footnoteRef/>
      </w:r>
      <w:r>
        <w:t xml:space="preserve"> </w:t>
      </w:r>
      <w:r>
        <w:fldChar w:fldCharType="begin"/>
      </w:r>
      <w:r>
        <w:instrText xml:space="preserve"> ADDIN ZOTERO_ITEM CSL_CITATION {"citationID":"7WFGWMn8","properties":{"formattedCitation":"Mouelhi, Duhamel, et Charles, 39.","plainCitation":"Mouelhi, Duhamel, et Charles, 39.","noteIndex":122},"citationItems":[{"id":1892,"uris":["http://zotero.org/users/3679831/items/QNU4RKRN"],"uri":["http://zotero.org/users/3679831/items/QNU4RKRN"],"itemData":{"id":1892,"type":"book","title":"Ethique histoire, politique, application","publisher":"G. Morin","publisher-place":"Chicoutimi","source":"Open WorldCat","event-place":"Chicoutimi","ISBN":"978-2-89105-782-0","note":"OCLC: 949076244","language":"French","author":[{"family":"Mouelhi","given":"Noureddine"},{"family":"Duhamel","given":"André"},{"family":"Charles","given":"Syliane"}],"issued":{"date-parts":[["2001"]]}},"locator":"39","label":"page"}],"schema":"https://github.com/citation-style-language/schema/raw/master/csl-citation.json"} </w:instrText>
      </w:r>
      <w:r>
        <w:fldChar w:fldCharType="separate"/>
      </w:r>
      <w:r w:rsidRPr="00291E1D">
        <w:rPr>
          <w:rFonts w:ascii="Calibri" w:hAnsi="Calibri" w:cs="Calibri"/>
        </w:rPr>
        <w:t>Mouelhi, Duhamel, et Charles, 39.</w:t>
      </w:r>
      <w:r>
        <w:fldChar w:fldCharType="end"/>
      </w:r>
    </w:p>
  </w:footnote>
  <w:footnote w:id="122">
    <w:p w14:paraId="3664E02F" w14:textId="34C282BF" w:rsidR="006F28E3" w:rsidRDefault="006F28E3" w:rsidP="001905B0">
      <w:pPr>
        <w:pStyle w:val="FootnoteText"/>
      </w:pPr>
      <w:r w:rsidRPr="0026745F">
        <w:rPr>
          <w:rStyle w:val="FootnoteReference"/>
        </w:rPr>
        <w:footnoteRef/>
      </w:r>
      <w:r>
        <w:t xml:space="preserve"> Jean-Marc Ferry, </w:t>
      </w:r>
      <w:r>
        <w:fldChar w:fldCharType="begin"/>
      </w:r>
      <w:r>
        <w:instrText xml:space="preserve"> ADDIN ZOTERO_ITEM CSL_CITATION {"citationID":"5YkiApwL","properties":{"formattedCitation":"\\uc0\\u171{}\\uc0\\u160{}HABERMAS CRITIQUE DE HANNAH ARENDT | Revue Esprit\\uc0\\u160{}\\uc0\\u187{}, Esprit Presse, 110, consult\\uc0\\u233{} le 28 janvier 2019, https://esprit.presse.fr/article/ferry-jean-marc/habermas-critique-de-hannah-arendt-26559.","plainCitation":"« HABERMAS CRITIQUE DE HANNAH ARENDT | Revue Esprit », Esprit Presse, 110, consulté le 28 janvier 2019, https://esprit.presse.fr/article/ferry-jean-marc/habermas-critique-de-hannah-arendt-26559.","dontUpdate":true,"noteIndex":122},"citationItems":[{"id":1856,"uris":["http://zotero.org/users/3679831/items/64KE5P8Z"],"uri":["http://zotero.org/users/3679831/items/64KE5P8Z"],"itemData":{"id":1856,"type":"webpage","title":"HABERMAS CRITIQUE DE HANNAH ARENDT | Revue Esprit","container-title":"Esprit Presse","abstract":"Esprit est une revue intellectuelle française fondée en 1932 par Emmanuel Mounier à la recherche d\\'une troisième voie humaniste entre le capitalisme libéral et le marxisme. Après guerre, elle essa...","URL":"https://esprit.presse.fr/article/ferry-jean-marc/habermas-critique-de-hannah-arendt-26559","language":"fr","accessed":{"date-parts":[["2019",1,27]]}},"locator":"110","label":"page"}],"schema":"https://github.com/citation-style-language/schema/raw/master/csl-citation.json"} </w:instrText>
      </w:r>
      <w:r>
        <w:fldChar w:fldCharType="separate"/>
      </w:r>
      <w:r w:rsidRPr="002D2ABD">
        <w:rPr>
          <w:rFonts w:ascii="Calibri" w:hAnsi="Calibri" w:cs="Calibri"/>
          <w:szCs w:val="24"/>
        </w:rPr>
        <w:t>« </w:t>
      </w:r>
      <w:r>
        <w:rPr>
          <w:rFonts w:ascii="Calibri" w:hAnsi="Calibri" w:cs="Calibri"/>
          <w:szCs w:val="24"/>
        </w:rPr>
        <w:t>H</w:t>
      </w:r>
      <w:r w:rsidRPr="002D2ABD">
        <w:rPr>
          <w:rFonts w:ascii="Calibri" w:hAnsi="Calibri" w:cs="Calibri"/>
          <w:szCs w:val="24"/>
        </w:rPr>
        <w:t xml:space="preserve">abermas critique de </w:t>
      </w:r>
      <w:r>
        <w:rPr>
          <w:rFonts w:ascii="Calibri" w:hAnsi="Calibri" w:cs="Calibri"/>
          <w:szCs w:val="24"/>
        </w:rPr>
        <w:t>H</w:t>
      </w:r>
      <w:r w:rsidRPr="002D2ABD">
        <w:rPr>
          <w:rFonts w:ascii="Calibri" w:hAnsi="Calibri" w:cs="Calibri"/>
          <w:szCs w:val="24"/>
        </w:rPr>
        <w:t xml:space="preserve">annah </w:t>
      </w:r>
      <w:r>
        <w:rPr>
          <w:rFonts w:ascii="Calibri" w:hAnsi="Calibri" w:cs="Calibri"/>
          <w:szCs w:val="24"/>
        </w:rPr>
        <w:t>A</w:t>
      </w:r>
      <w:r w:rsidRPr="002D2ABD">
        <w:rPr>
          <w:rFonts w:ascii="Calibri" w:hAnsi="Calibri" w:cs="Calibri"/>
          <w:szCs w:val="24"/>
        </w:rPr>
        <w:t>rendt | Revue Esprit », Esprit Presse, 110, consulté le 28 janvier 2019.</w:t>
      </w:r>
      <w:r>
        <w:fldChar w:fldCharType="end"/>
      </w:r>
    </w:p>
  </w:footnote>
  <w:footnote w:id="123">
    <w:p w14:paraId="56F93374" w14:textId="3B7719D8" w:rsidR="006F28E3" w:rsidRDefault="006F28E3" w:rsidP="001905B0">
      <w:pPr>
        <w:pStyle w:val="FootnoteText"/>
        <w:jc w:val="both"/>
      </w:pPr>
      <w:r w:rsidRPr="0026745F">
        <w:rPr>
          <w:rStyle w:val="FootnoteReference"/>
        </w:rPr>
        <w:footnoteRef/>
      </w:r>
      <w:r>
        <w:t xml:space="preserve"> Nous pensons ici à tout ce qui est soustrait au processus comme devant faire objet d’un consensus de tous les Burundais, les amnisties déjà accordées ou la permanence des quotas ethniques.  Selon </w:t>
      </w:r>
      <w:r w:rsidRPr="00CD4F8E">
        <w:rPr>
          <w:rFonts w:ascii="Calibri" w:hAnsi="Calibri" w:cs="Calibri"/>
          <w:szCs w:val="24"/>
        </w:rPr>
        <w:t>Heribert Adam</w:t>
      </w:r>
      <w:r>
        <w:t xml:space="preserve">, quand la pratique de quotas dure, elle finit par contredire le postulat de « l’égalité sociale que la citoyenneté incorpore ». Le maintenir, c’est « désigner en permanence des outsiders politiquement inférieurs ». </w:t>
      </w:r>
      <w:r>
        <w:fldChar w:fldCharType="begin"/>
      </w:r>
      <w:r>
        <w:instrText xml:space="preserve"> ADDIN ZOTERO_ITEM CSL_CITATION {"citationID":"WXWxbTiB","properties":{"formattedCitation":"Heribert Adam, \\uc0\\u171{}\\uc0\\u160{}Les politiques de l\\uc0\\u8217{}identit\\uc0\\u233{}. Nationalisme, patriotisme et multiculturalisme\\uc0\\u160{}\\uc0\\u187{}, {\\i{}Anthropologie et Soci\\uc0\\u233{}t\\uc0\\u233{}s} 19, n\\super o\\nosupersub{} 3 (1995): 97, https://doi.org/10.7202/015371ar.","plainCitation":"Heribert Adam, « Les politiques de l’identité. Nationalisme, patriotisme et multiculturalisme », Anthropologie et Sociétés 19, no 3 (1995): 97, https://doi.org/10.7202/015371ar.","dontUpdate":true,"noteIndex":124},"citationItems":[{"id":1876,"uris":["http://zotero.org/users/3679831/items/4S8IDRI3"],"uri":["http://zotero.org/users/3679831/items/4S8IDRI3"],"itemData":{"id":1876,"type":"article-journal","title":"Les politiques de l'identité. Nationalisme, patriotisme et multiculturalisme","container-title":"Anthropologie et Sociétés","page":"87","volume":"19","issue":"3","source":"Crossref","DOI":"10.7202/015371ar","ISSN":"0702-8997, 1703-7921","language":"fr","author":[{"family":"Adam","given":"Heribert"}],"issued":{"date-parts":[["1995"]]}},"locator":"97","label":"page"}],"schema":"https://github.com/citation-style-language/schema/raw/master/csl-citation.json"} </w:instrText>
      </w:r>
      <w:r>
        <w:fldChar w:fldCharType="separate"/>
      </w:r>
      <w:r w:rsidRPr="00CD4F8E">
        <w:rPr>
          <w:rFonts w:ascii="Calibri" w:hAnsi="Calibri" w:cs="Calibri"/>
          <w:szCs w:val="24"/>
        </w:rPr>
        <w:t xml:space="preserve">Heribert Adam, « Les politiques de l’identité. Nationalisme, patriotisme et multiculturalisme », </w:t>
      </w:r>
      <w:r w:rsidRPr="00CD4F8E">
        <w:rPr>
          <w:rFonts w:ascii="Calibri" w:hAnsi="Calibri" w:cs="Calibri"/>
          <w:i/>
          <w:iCs/>
          <w:szCs w:val="24"/>
        </w:rPr>
        <w:t>Anthropologie et Sociétés</w:t>
      </w:r>
      <w:r w:rsidRPr="00CD4F8E">
        <w:rPr>
          <w:rFonts w:ascii="Calibri" w:hAnsi="Calibri" w:cs="Calibri"/>
          <w:szCs w:val="24"/>
        </w:rPr>
        <w:t xml:space="preserve"> 19, n</w:t>
      </w:r>
      <w:r w:rsidRPr="00CD4F8E">
        <w:rPr>
          <w:rFonts w:ascii="Calibri" w:hAnsi="Calibri" w:cs="Calibri"/>
          <w:szCs w:val="24"/>
          <w:vertAlign w:val="superscript"/>
        </w:rPr>
        <w:t>o</w:t>
      </w:r>
      <w:r w:rsidRPr="00CD4F8E">
        <w:rPr>
          <w:rFonts w:ascii="Calibri" w:hAnsi="Calibri" w:cs="Calibri"/>
          <w:szCs w:val="24"/>
        </w:rPr>
        <w:t xml:space="preserve"> 3 (1995): 97.</w:t>
      </w:r>
      <w:r>
        <w:fldChar w:fldCharType="end"/>
      </w:r>
    </w:p>
  </w:footnote>
  <w:footnote w:id="124">
    <w:p w14:paraId="3137D4D0" w14:textId="7A745DE2" w:rsidR="006F28E3" w:rsidRDefault="006F28E3" w:rsidP="001905B0">
      <w:pPr>
        <w:pStyle w:val="FootnoteText"/>
      </w:pPr>
      <w:r w:rsidRPr="0026745F">
        <w:rPr>
          <w:rStyle w:val="FootnoteReference"/>
        </w:rPr>
        <w:footnoteRef/>
      </w:r>
      <w:r>
        <w:t xml:space="preserve"> </w:t>
      </w:r>
      <w:r w:rsidRPr="00DB4765">
        <w:rPr>
          <w:rFonts w:ascii="Calibri" w:hAnsi="Calibri" w:cs="Calibri"/>
          <w:szCs w:val="24"/>
        </w:rPr>
        <w:t xml:space="preserve">Claudine LELEUX, </w:t>
      </w:r>
      <w:r>
        <w:fldChar w:fldCharType="begin"/>
      </w:r>
      <w:r>
        <w:instrText xml:space="preserve"> ADDIN ZOTERO_ITEM CSL_CITATION {"citationID":"MKMwWQ79","properties":{"formattedCitation":"\\uc0\\u171{}\\uc0\\u160{}03EthiqueDiscussion - EthiqueDiscussion.pdf\\uc0\\u160{}\\uc0\\u187{}, 38, consult\\uc0\\u233{} le 2 mars 2017, http://users.skynet.be/claudine.leleux/EthiqueDiscussion.pdf.","plainCitation":"« 03EthiqueDiscussion - EthiqueDiscussion.pdf », 38, consulté le 2 mars 2017, http://users.skynet.be/claudine.leleux/EthiqueDiscussion.pdf.","dontUpdate":true,"noteIndex":125},"citationItems":[{"id":153,"uris":["http://zotero.org/users/3679831/items/74K482FK"],"uri":["http://zotero.org/users/3679831/items/74K482FK"],"itemData":{"id":153,"type":"article","title":"03EthiqueDiscussion - EthiqueDiscussion.pdf","URL":"http://users.skynet.be/claudine.leleux/EthiqueDiscussion.pdf","accessed":{"date-parts":[["2017",3,2]]}},"locator":"38","label":"page"}],"schema":"https://github.com/citation-style-language/schema/raw/master/csl-citation.json"} </w:instrText>
      </w:r>
      <w:r>
        <w:fldChar w:fldCharType="separate"/>
      </w:r>
      <w:r w:rsidRPr="00D5763F">
        <w:rPr>
          <w:rFonts w:ascii="Calibri" w:hAnsi="Calibri" w:cs="Calibri"/>
          <w:szCs w:val="24"/>
        </w:rPr>
        <w:t>« EthiqueDiscussion - EthiqueDiscussion.pdf », 38, consulté le 2 mars 2017.</w:t>
      </w:r>
      <w:r>
        <w:fldChar w:fldCharType="end"/>
      </w:r>
    </w:p>
  </w:footnote>
  <w:footnote w:id="125">
    <w:p w14:paraId="45EC0A13" w14:textId="77777777" w:rsidR="006F28E3" w:rsidRDefault="006F28E3" w:rsidP="001905B0">
      <w:pPr>
        <w:pStyle w:val="FootnoteText"/>
      </w:pPr>
      <w:r w:rsidRPr="0026745F">
        <w:rPr>
          <w:rStyle w:val="FootnoteReference"/>
        </w:rPr>
        <w:footnoteRef/>
      </w:r>
      <w:r>
        <w:t xml:space="preserve"> </w:t>
      </w:r>
      <w:hyperlink r:id="rId4" w:tgtFrame="_blank" w:history="1">
        <w:r w:rsidRPr="00AB371E">
          <w:rPr>
            <w:rFonts w:ascii="Calibri" w:hAnsi="Calibri" w:cs="Calibri"/>
            <w:szCs w:val="24"/>
          </w:rPr>
          <w:t xml:space="preserve">Mgr JL Nahimana, </w:t>
        </w:r>
        <w:r>
          <w:rPr>
            <w:rFonts w:ascii="Calibri" w:hAnsi="Calibri" w:cs="Calibri"/>
            <w:szCs w:val="24"/>
          </w:rPr>
          <w:t xml:space="preserve">« </w:t>
        </w:r>
        <w:r w:rsidRPr="00AB371E">
          <w:rPr>
            <w:rFonts w:ascii="Calibri" w:hAnsi="Calibri" w:cs="Calibri"/>
            <w:szCs w:val="24"/>
          </w:rPr>
          <w:t>Discours lors de l'ouverture de la Conférence publique sur l'établissement des responsabilités dans le cadre de la justice de transition</w:t>
        </w:r>
        <w:r>
          <w:rPr>
            <w:rFonts w:ascii="Calibri" w:hAnsi="Calibri" w:cs="Calibri"/>
            <w:szCs w:val="24"/>
          </w:rPr>
          <w:t xml:space="preserve"> »</w:t>
        </w:r>
        <w:r w:rsidRPr="00AB371E">
          <w:rPr>
            <w:rFonts w:ascii="Calibri" w:hAnsi="Calibri" w:cs="Calibri"/>
            <w:szCs w:val="24"/>
          </w:rPr>
          <w:t>, 23 mai 2018</w:t>
        </w:r>
      </w:hyperlink>
      <w:r>
        <w:rPr>
          <w:rFonts w:ascii="Calibri" w:hAnsi="Calibri" w:cs="Calibri"/>
          <w:szCs w:val="24"/>
        </w:rPr>
        <w:t xml:space="preserve">. </w:t>
      </w:r>
    </w:p>
  </w:footnote>
  <w:footnote w:id="126">
    <w:p w14:paraId="6074F0C7" w14:textId="189C90CD" w:rsidR="006F28E3" w:rsidRDefault="006F28E3">
      <w:pPr>
        <w:pStyle w:val="FootnoteText"/>
      </w:pPr>
      <w:r>
        <w:rPr>
          <w:rStyle w:val="FootnoteReference"/>
        </w:rPr>
        <w:footnoteRef/>
      </w:r>
      <w:r>
        <w:t xml:space="preserve"> </w:t>
      </w:r>
      <w:r>
        <w:fldChar w:fldCharType="begin"/>
      </w:r>
      <w:r>
        <w:instrText xml:space="preserve"> ADDIN ZOTERO_ITEM CSL_CITATION {"citationID":"iN23ae0d","properties":{"formattedCitation":"Abensour et Taminiaux, {\\i{}Ph\\uc0\\u233{}nom\\uc0\\u233{}nologie et politique}, 380.","plainCitation":"Abensour et Taminiaux, Phénoménologie et politique, 380.","noteIndex":126},"citationItems":[{"id":2055,"uris":["http://zotero.org/users/3679831/items/SUYBX6A9"],"uri":["http://zotero.org/users/3679831/items/SUYBX6A9"],"itemData":{"id":2055,"type":"book","title":"Phénoménologie et politique: mélanges offerts à Jacques Taminiaux","collection-title":"Recueil","collection-number":"2","publisher":"Ousia","publisher-place":"Bruxelles","number-of-pages":"519","source":"Gemeinsamer Bibliotheksverbund ISBN","event-place":"Bruxelles","ISBN":"978-2-87060-025-2","note":"OCLC: 243728942","shortTitle":"Phénoménologie et politique","editor":[{"family":"Abensour","given":"Miguel"},{"family":"Taminiaux","given":"Jacques"}],"issued":{"date-parts":[["1989"]]}},"locator":"380","label":"page"}],"schema":"https://github.com/citation-style-language/schema/raw/master/csl-citation.json"} </w:instrText>
      </w:r>
      <w:r>
        <w:fldChar w:fldCharType="separate"/>
      </w:r>
      <w:r w:rsidRPr="001F213D">
        <w:rPr>
          <w:rFonts w:ascii="Calibri" w:hAnsi="Calibri" w:cs="Calibri"/>
          <w:szCs w:val="24"/>
        </w:rPr>
        <w:t xml:space="preserve">Abensour et Taminiaux, </w:t>
      </w:r>
      <w:r w:rsidRPr="001F213D">
        <w:rPr>
          <w:rFonts w:ascii="Calibri" w:hAnsi="Calibri" w:cs="Calibri"/>
          <w:i/>
          <w:iCs/>
          <w:szCs w:val="24"/>
        </w:rPr>
        <w:t>Phénoménologie et politique</w:t>
      </w:r>
      <w:r w:rsidRPr="001F213D">
        <w:rPr>
          <w:rFonts w:ascii="Calibri" w:hAnsi="Calibri" w:cs="Calibri"/>
          <w:szCs w:val="24"/>
        </w:rPr>
        <w:t>, 380.</w:t>
      </w:r>
      <w:r>
        <w:fldChar w:fldCharType="end"/>
      </w:r>
    </w:p>
  </w:footnote>
  <w:footnote w:id="127">
    <w:p w14:paraId="666BB2C2" w14:textId="486FCEAF" w:rsidR="006F28E3" w:rsidRDefault="006F28E3" w:rsidP="001905B0">
      <w:pPr>
        <w:pStyle w:val="FootnoteText"/>
      </w:pPr>
      <w:r w:rsidRPr="0026745F">
        <w:rPr>
          <w:rStyle w:val="FootnoteReference"/>
        </w:rPr>
        <w:footnoteRef/>
      </w:r>
      <w:r>
        <w:t xml:space="preserve"> </w:t>
      </w:r>
      <w:r>
        <w:fldChar w:fldCharType="begin"/>
      </w:r>
      <w:r>
        <w:instrText xml:space="preserve"> ADDIN ZOTERO_ITEM CSL_CITATION {"citationID":"E8cHH6d1","properties":{"formattedCitation":"Arendt, trad. Fradier, et pr\\uc0\\u233{}face de Ricoeur, {\\i{}Condition de l\\uc0\\u8217{}homme moderne}, 296.","plainCitation":"Arendt, trad. Fradier, et préface de Ricoeur, Condition de l’homme moderne, 296.","noteIndex":128},"citationItems":[{"id":1874,"uris":["http://zotero.org/users/3679831/items/LPV7B9NQ"],"uri":["http://zotero.org/users/3679831/items/LPV7B9NQ"],"itemData":{"id":1874,"type":"book","title":"Condition de l'homme moderne","publisher":"Calmann-Lévy","publisher-place":"Paris","source":"Open WorldCat","event-place":"Paris","abstract":"Condition de l’homme moderne (1958) prend place dans l’oeuvre de Hannah Arendt, à la suite des Origines du totalitarisme (1951.Témoin des grands séismes de l’histoire et de la raison. Hannah Arendt s’est particulièrement attachée à réfléchir sur les conditions de la liberté et d’une pensée libre. Ce livre rappelle avec force que la vraie liberté politique n’est pas la retraite paisible dans la sphère de la vie privée, si précieuse soit-elle, mais aussi et d’abord l’action publique menée avec des égaux et reposant sur des choix individuels. Examinant les concepts de travail, d’oeuvre et d’action, Hannah Arendt nous parle du règne de la nécessité, de la capacité de création et de la révélation de l’homme dans la parole et dans l’action. Se fondant sur la philosophie grecque, elle étudie les questions majeures de notre temps : la réhabilitation de l’action politique individuelle, les limites de toute souveraineté, les périls mortels du déterminisme historique et social, la fragilité de la liberté, le caractère imprévisible de l’histoire des hommes. Hannah Arendt aimait citer René Char : \"Notre héritage n’est précédé d’aucun testament.\" Cette réédition de l’oeuvre philosophique majeure de Hannah Arendt est précédée d’une importante préface de Paul Ricoeur, qui analyse l’apport de l’auteur à la pensée politique contemporaine et situe ce livre dans l’eouvre de Hannah Arendt.","ISBN":"978-2-266-12649-6","note":"OCLC: 913110082","language":"French","author":[{"family":"Arendt","given":"Hannah"},{"family":"Fradier","given":"Georges","non-dropping-particle":"trad."},{"family":"Ricoeur","given":"Paul","non-dropping-particle":"préface de"}],"issued":{"date-parts":[["2014"]]}},"locator":"296","label":"page"}],"schema":"https://github.com/citation-style-language/schema/raw/master/csl-citation.json"} </w:instrText>
      </w:r>
      <w:r>
        <w:fldChar w:fldCharType="separate"/>
      </w:r>
      <w:r w:rsidRPr="00501581">
        <w:rPr>
          <w:rFonts w:ascii="Calibri" w:hAnsi="Calibri" w:cs="Calibri"/>
          <w:szCs w:val="24"/>
        </w:rPr>
        <w:t xml:space="preserve">Arendt, trad. Fradier et préface de Ricoeur, </w:t>
      </w:r>
      <w:r w:rsidRPr="00501581">
        <w:rPr>
          <w:rFonts w:ascii="Calibri" w:hAnsi="Calibri" w:cs="Calibri"/>
          <w:i/>
          <w:iCs/>
          <w:szCs w:val="24"/>
        </w:rPr>
        <w:t>Condition de l’homme moderne</w:t>
      </w:r>
      <w:r w:rsidRPr="00501581">
        <w:rPr>
          <w:rFonts w:ascii="Calibri" w:hAnsi="Calibri" w:cs="Calibri"/>
          <w:szCs w:val="24"/>
        </w:rPr>
        <w:t>, 296.</w:t>
      </w:r>
      <w:r>
        <w:fldChar w:fldCharType="end"/>
      </w:r>
    </w:p>
  </w:footnote>
  <w:footnote w:id="128">
    <w:p w14:paraId="60B4C80D" w14:textId="3EB33D1B" w:rsidR="006F28E3" w:rsidRDefault="006F28E3">
      <w:pPr>
        <w:pStyle w:val="FootnoteText"/>
      </w:pPr>
      <w:r>
        <w:rPr>
          <w:rStyle w:val="FootnoteReference"/>
        </w:rPr>
        <w:footnoteRef/>
      </w:r>
      <w:r>
        <w:t xml:space="preserve"> </w:t>
      </w:r>
      <w:r>
        <w:fldChar w:fldCharType="begin"/>
      </w:r>
      <w:r>
        <w:instrText xml:space="preserve"> ADDIN ZOTERO_ITEM CSL_CITATION {"citationID":"ZgwZLKmn","properties":{"formattedCitation":"Arendt, trad. Fradier, et pr\\uc0\\u233{}face de Ricoeur, 296.","plainCitation":"Arendt, trad. Fradier, et préface de Ricoeur, 296.","noteIndex":128},"citationItems":[{"id":1874,"uris":["http://zotero.org/users/3679831/items/LPV7B9NQ"],"uri":["http://zotero.org/users/3679831/items/LPV7B9NQ"],"itemData":{"id":1874,"type":"book","title":"Condition de l'homme moderne","publisher":"Calmann-Lévy","publisher-place":"Paris","source":"Open WorldCat","event-place":"Paris","abstract":"Condition de l’homme moderne (1958) prend place dans l’oeuvre de Hannah Arendt, à la suite des Origines du totalitarisme (1951.Témoin des grands séismes de l’histoire et de la raison. Hannah Arendt s’est particulièrement attachée à réfléchir sur les conditions de la liberté et d’une pensée libre. Ce livre rappelle avec force que la vraie liberté politique n’est pas la retraite paisible dans la sphère de la vie privée, si précieuse soit-elle, mais aussi et d’abord l’action publique menée avec des égaux et reposant sur des choix individuels. Examinant les concepts de travail, d’oeuvre et d’action, Hannah Arendt nous parle du règne de la nécessité, de la capacité de création et de la révélation de l’homme dans la parole et dans l’action. Se fondant sur la philosophie grecque, elle étudie les questions majeures de notre temps : la réhabilitation de l’action politique individuelle, les limites de toute souveraineté, les périls mortels du déterminisme historique et social, la fragilité de la liberté, le caractère imprévisible de l’histoire des hommes. Hannah Arendt aimait citer René Char : \"Notre héritage n’est précédé d’aucun testament.\" Cette réédition de l’oeuvre philosophique majeure de Hannah Arendt est précédée d’une importante préface de Paul Ricoeur, qui analyse l’apport de l’auteur à la pensée politique contemporaine et situe ce livre dans l’eouvre de Hannah Arendt.","ISBN":"978-2-266-12649-6","note":"OCLC: 913110082","language":"French","author":[{"family":"Arendt","given":"Hannah"},{"family":"Fradier","given":"Georges","non-dropping-particle":"trad."},{"family":"Ricoeur","given":"Paul","non-dropping-particle":"préface de"}],"issued":{"date-parts":[["2014"]]}},"locator":"296","label":"page"}],"schema":"https://github.com/citation-style-language/schema/raw/master/csl-citation.json"} </w:instrText>
      </w:r>
      <w:r>
        <w:fldChar w:fldCharType="separate"/>
      </w:r>
      <w:r w:rsidRPr="001F213D">
        <w:rPr>
          <w:rFonts w:ascii="Calibri" w:hAnsi="Calibri" w:cs="Calibri"/>
          <w:szCs w:val="24"/>
        </w:rPr>
        <w:t>Arendt, trad. Fradier et préface de Ricoeur, 296.</w:t>
      </w:r>
      <w:r>
        <w:fldChar w:fldCharType="end"/>
      </w:r>
    </w:p>
  </w:footnote>
  <w:footnote w:id="129">
    <w:p w14:paraId="0483828C" w14:textId="36A0A584" w:rsidR="006F28E3" w:rsidRDefault="006F28E3">
      <w:pPr>
        <w:pStyle w:val="FootnoteText"/>
      </w:pPr>
      <w:r>
        <w:rPr>
          <w:rStyle w:val="FootnoteReference"/>
        </w:rPr>
        <w:footnoteRef/>
      </w:r>
      <w:r>
        <w:t xml:space="preserve"> </w:t>
      </w:r>
      <w:r>
        <w:fldChar w:fldCharType="begin"/>
      </w:r>
      <w:r>
        <w:instrText xml:space="preserve"> ADDIN ZOTERO_ITEM CSL_CITATION {"citationID":"MzAzPyoO","properties":{"formattedCitation":"Arendt, trad. Fradier, et pr\\uc0\\u233{}face de Ricoeur, 295.","plainCitation":"Arendt, trad. Fradier, et préface de Ricoeur, 295.","noteIndex":129},"citationItems":[{"id":1874,"uris":["http://zotero.org/users/3679831/items/LPV7B9NQ"],"uri":["http://zotero.org/users/3679831/items/LPV7B9NQ"],"itemData":{"id":1874,"type":"book","title":"Condition de l'homme moderne","publisher":"Calmann-Lévy","publisher-place":"Paris","source":"Open WorldCat","event-place":"Paris","abstract":"Condition de l’homme moderne (1958) prend place dans l’oeuvre de Hannah Arendt, à la suite des Origines du totalitarisme (1951.Témoin des grands séismes de l’histoire et de la raison. Hannah Arendt s’est particulièrement attachée à réfléchir sur les conditions de la liberté et d’une pensée libre. Ce livre rappelle avec force que la vraie liberté politique n’est pas la retraite paisible dans la sphère de la vie privée, si précieuse soit-elle, mais aussi et d’abord l’action publique menée avec des égaux et reposant sur des choix individuels. Examinant les concepts de travail, d’oeuvre et d’action, Hannah Arendt nous parle du règne de la nécessité, de la capacité de création et de la révélation de l’homme dans la parole et dans l’action. Se fondant sur la philosophie grecque, elle étudie les questions majeures de notre temps : la réhabilitation de l’action politique individuelle, les limites de toute souveraineté, les périls mortels du déterminisme historique et social, la fragilité de la liberté, le caractère imprévisible de l’histoire des hommes. Hannah Arendt aimait citer René Char : \"Notre héritage n’est précédé d’aucun testament.\" Cette réédition de l’oeuvre philosophique majeure de Hannah Arendt est précédée d’une importante préface de Paul Ricoeur, qui analyse l’apport de l’auteur à la pensée politique contemporaine et situe ce livre dans l’eouvre de Hannah Arendt.","ISBN":"978-2-266-12649-6","note":"OCLC: 913110082","language":"French","author":[{"family":"Arendt","given":"Hannah"},{"family":"Fradier","given":"Georges","non-dropping-particle":"trad."},{"family":"Ricoeur","given":"Paul","non-dropping-particle":"préface de"}],"issued":{"date-parts":[["2014"]]}},"locator":"295","label":"page"}],"schema":"https://github.com/citation-style-language/schema/raw/master/csl-citation.json"} </w:instrText>
      </w:r>
      <w:r>
        <w:fldChar w:fldCharType="separate"/>
      </w:r>
      <w:r w:rsidRPr="001F213D">
        <w:rPr>
          <w:rFonts w:ascii="Calibri" w:hAnsi="Calibri" w:cs="Calibri"/>
          <w:szCs w:val="24"/>
        </w:rPr>
        <w:t>Arendt, trad. Fradier et préface de Ricoeur, 295.</w:t>
      </w:r>
      <w:r>
        <w:fldChar w:fldCharType="end"/>
      </w:r>
    </w:p>
  </w:footnote>
  <w:footnote w:id="130">
    <w:p w14:paraId="59C34758" w14:textId="33B774A6" w:rsidR="006F28E3" w:rsidRDefault="006F28E3">
      <w:pPr>
        <w:pStyle w:val="FootnoteText"/>
      </w:pPr>
      <w:r>
        <w:rPr>
          <w:rStyle w:val="FootnoteReference"/>
        </w:rPr>
        <w:footnoteRef/>
      </w:r>
      <w:r>
        <w:t xml:space="preserve"> </w:t>
      </w:r>
      <w:r>
        <w:fldChar w:fldCharType="begin"/>
      </w:r>
      <w:r>
        <w:instrText xml:space="preserve"> ADDIN ZOTERO_ITEM CSL_CITATION {"citationID":"C3xhsOgT","properties":{"formattedCitation":"Arendt, trad. Fradier, et pr\\uc0\\u233{}face de Ricoeur, 310.","plainCitation":"Arendt, trad. Fradier, et préface de Ricoeur, 310.","noteIndex":130},"citationItems":[{"id":1874,"uris":["http://zotero.org/users/3679831/items/LPV7B9NQ"],"uri":["http://zotero.org/users/3679831/items/LPV7B9NQ"],"itemData":{"id":1874,"type":"book","title":"Condition de l'homme moderne","publisher":"Calmann-Lévy","publisher-place":"Paris","source":"Open WorldCat","event-place":"Paris","abstract":"Condition de l’homme moderne (1958) prend place dans l’oeuvre de Hannah Arendt, à la suite des Origines du totalitarisme (1951.Témoin des grands séismes de l’histoire et de la raison. Hannah Arendt s’est particulièrement attachée à réfléchir sur les conditions de la liberté et d’une pensée libre. Ce livre rappelle avec force que la vraie liberté politique n’est pas la retraite paisible dans la sphère de la vie privée, si précieuse soit-elle, mais aussi et d’abord l’action publique menée avec des égaux et reposant sur des choix individuels. Examinant les concepts de travail, d’oeuvre et d’action, Hannah Arendt nous parle du règne de la nécessité, de la capacité de création et de la révélation de l’homme dans la parole et dans l’action. Se fondant sur la philosophie grecque, elle étudie les questions majeures de notre temps : la réhabilitation de l’action politique individuelle, les limites de toute souveraineté, les périls mortels du déterminisme historique et social, la fragilité de la liberté, le caractère imprévisible de l’histoire des hommes. Hannah Arendt aimait citer René Char : \"Notre héritage n’est précédé d’aucun testament.\" Cette réédition de l’oeuvre philosophique majeure de Hannah Arendt est précédée d’une importante préface de Paul Ricoeur, qui analyse l’apport de l’auteur à la pensée politique contemporaine et situe ce livre dans l’eouvre de Hannah Arendt.","ISBN":"978-2-266-12649-6","note":"OCLC: 913110082","language":"French","author":[{"family":"Arendt","given":"Hannah"},{"family":"Fradier","given":"Georges","non-dropping-particle":"trad."},{"family":"Ricoeur","given":"Paul","non-dropping-particle":"préface de"}],"issued":{"date-parts":[["2014"]]}},"locator":"310","label":"page"}],"schema":"https://github.com/citation-style-language/schema/raw/master/csl-citation.json"} </w:instrText>
      </w:r>
      <w:r>
        <w:fldChar w:fldCharType="separate"/>
      </w:r>
      <w:r w:rsidRPr="001F213D">
        <w:rPr>
          <w:rFonts w:ascii="Calibri" w:hAnsi="Calibri" w:cs="Calibri"/>
          <w:szCs w:val="24"/>
        </w:rPr>
        <w:t>Arendt, trad. Fradier et préface de Ricoeur, 310.</w:t>
      </w:r>
      <w:r>
        <w:fldChar w:fldCharType="end"/>
      </w:r>
    </w:p>
  </w:footnote>
  <w:footnote w:id="131">
    <w:p w14:paraId="34ACEBEA" w14:textId="6B239D52" w:rsidR="006F28E3" w:rsidRDefault="006F28E3">
      <w:pPr>
        <w:pStyle w:val="FootnoteText"/>
      </w:pPr>
      <w:r>
        <w:rPr>
          <w:rStyle w:val="FootnoteReference"/>
        </w:rPr>
        <w:footnoteRef/>
      </w:r>
      <w:r>
        <w:t xml:space="preserve"> </w:t>
      </w:r>
      <w:r>
        <w:fldChar w:fldCharType="begin"/>
      </w:r>
      <w:r>
        <w:instrText xml:space="preserve"> ADDIN ZOTERO_ITEM CSL_CITATION {"citationID":"YVFFfVFA","properties":{"formattedCitation":"Arendt, trad. Fradier, et pr\\uc0\\u233{}face de Ricoeur, 311.","plainCitation":"Arendt, trad. Fradier, et préface de Ricoeur, 311.","noteIndex":131},"citationItems":[{"id":1874,"uris":["http://zotero.org/users/3679831/items/LPV7B9NQ"],"uri":["http://zotero.org/users/3679831/items/LPV7B9NQ"],"itemData":{"id":1874,"type":"book","title":"Condition de l'homme moderne","publisher":"Calmann-Lévy","publisher-place":"Paris","source":"Open WorldCat","event-place":"Paris","abstract":"Condition de l’homme moderne (1958) prend place dans l’oeuvre de Hannah Arendt, à la suite des Origines du totalitarisme (1951.Témoin des grands séismes de l’histoire et de la raison. Hannah Arendt s’est particulièrement attachée à réfléchir sur les conditions de la liberté et d’une pensée libre. Ce livre rappelle avec force que la vraie liberté politique n’est pas la retraite paisible dans la sphère de la vie privée, si précieuse soit-elle, mais aussi et d’abord l’action publique menée avec des égaux et reposant sur des choix individuels. Examinant les concepts de travail, d’oeuvre et d’action, Hannah Arendt nous parle du règne de la nécessité, de la capacité de création et de la révélation de l’homme dans la parole et dans l’action. Se fondant sur la philosophie grecque, elle étudie les questions majeures de notre temps : la réhabilitation de l’action politique individuelle, les limites de toute souveraineté, les périls mortels du déterminisme historique et social, la fragilité de la liberté, le caractère imprévisible de l’histoire des hommes. Hannah Arendt aimait citer René Char : \"Notre héritage n’est précédé d’aucun testament.\" Cette réédition de l’oeuvre philosophique majeure de Hannah Arendt est précédée d’une importante préface de Paul Ricoeur, qui analyse l’apport de l’auteur à la pensée politique contemporaine et situe ce livre dans l’eouvre de Hannah Arendt.","ISBN":"978-2-266-12649-6","note":"OCLC: 913110082","language":"French","author":[{"family":"Arendt","given":"Hannah"},{"family":"Fradier","given":"Georges","non-dropping-particle":"trad."},{"family":"Ricoeur","given":"Paul","non-dropping-particle":"préface de"}],"issued":{"date-parts":[["2014"]]}},"locator":"311","label":"page"}],"schema":"https://github.com/citation-style-language/schema/raw/master/csl-citation.json"} </w:instrText>
      </w:r>
      <w:r>
        <w:fldChar w:fldCharType="separate"/>
      </w:r>
      <w:r w:rsidRPr="001F213D">
        <w:rPr>
          <w:rFonts w:ascii="Calibri" w:hAnsi="Calibri" w:cs="Calibri"/>
          <w:szCs w:val="24"/>
        </w:rPr>
        <w:t>Arendt, trad. Fradier</w:t>
      </w:r>
      <w:r>
        <w:rPr>
          <w:rFonts w:ascii="Calibri" w:hAnsi="Calibri" w:cs="Calibri"/>
          <w:szCs w:val="24"/>
        </w:rPr>
        <w:t xml:space="preserve"> </w:t>
      </w:r>
      <w:r w:rsidRPr="001F213D">
        <w:rPr>
          <w:rFonts w:ascii="Calibri" w:hAnsi="Calibri" w:cs="Calibri"/>
          <w:szCs w:val="24"/>
        </w:rPr>
        <w:t>et préface de Ricoeur, 311.</w:t>
      </w:r>
      <w:r>
        <w:fldChar w:fldCharType="end"/>
      </w:r>
    </w:p>
  </w:footnote>
  <w:footnote w:id="132">
    <w:p w14:paraId="4343B009" w14:textId="3CD519F1" w:rsidR="006F28E3" w:rsidRPr="0076221C" w:rsidRDefault="006F28E3" w:rsidP="001905B0">
      <w:pPr>
        <w:pStyle w:val="FootnoteText"/>
        <w:rPr>
          <w:rFonts w:ascii="Calibri" w:hAnsi="Calibri" w:cs="Calibri"/>
        </w:rPr>
      </w:pPr>
      <w:r w:rsidRPr="00EE64C5">
        <w:rPr>
          <w:rStyle w:val="FootnoteReference"/>
        </w:rPr>
        <w:footnoteRef/>
      </w:r>
      <w:r w:rsidRPr="0076221C">
        <w:rPr>
          <w:rFonts w:ascii="Calibri" w:hAnsi="Calibri" w:cs="Calibri"/>
        </w:rPr>
        <w:t xml:space="preserve"> </w:t>
      </w:r>
      <w:r w:rsidRPr="00E7325A">
        <w:rPr>
          <w:rFonts w:ascii="Calibri" w:hAnsi="Calibri" w:cs="Calibri"/>
        </w:rPr>
        <w:fldChar w:fldCharType="begin"/>
      </w:r>
      <w:r>
        <w:rPr>
          <w:rFonts w:ascii="Calibri" w:hAnsi="Calibri" w:cs="Calibri"/>
        </w:rPr>
        <w:instrText xml:space="preserve"> ADDIN ZOTERO_ITEM CSL_CITATION {"citationID":"qw1Cyz12","properties":{"formattedCitation":"Paul Ric\\uc0\\u339{}ur, \\uc0\\u171{}\\uc0\\u160{}AUX FRONTI\\uc0\\u200{}RES DE LA PHILOSOPHIE: SUR LE TRAGIQUE (Suite)\\uc0\\u160{}\\uc0\\u187{}, {\\i{}Esprit (1940-)}, n\\super o\\nosupersub{} 200 (3) (1953): 16\\uc0\\u8209{}19.","plainCitation":"Paul Ricœur, « AUX FRONTIÈRES DE LA PHILOSOPHIE: SUR LE TRAGIQUE (Suite) », Esprit (1940-), no 200 (3) (1953): 16</w:instrText>
      </w:r>
      <w:r>
        <w:rPr>
          <w:rFonts w:ascii="Cambria Math" w:hAnsi="Cambria Math" w:cs="Cambria Math"/>
        </w:rPr>
        <w:instrText>‑</w:instrText>
      </w:r>
      <w:r>
        <w:rPr>
          <w:rFonts w:ascii="Calibri" w:hAnsi="Calibri" w:cs="Calibri"/>
        </w:rPr>
        <w:instrText xml:space="preserve">19.","dontUpdate":true,"noteIndex":133},"citationItems":[{"id":1905,"uris":["http://zotero.org/users/3679831/items/CVZPAUCI"],"uri":["http://zotero.org/users/3679831/items/CVZPAUCI"],"itemData":{"id":1905,"type":"article-journal","title":"AUX FRONTIÈRES DE LA PHILOSOPHIE: SUR LE TRAGIQUE (Suite)","container-title":"Esprit (1940-)","page":"449-467","issue":"200 (3)","source":"JSTOR","archive":"JSTOR","ISSN":"0014-0759","shortTitle":"AUX FRONTIÈRES DE LA PHILOSOPHIE","author":[{"family":"Ricœur","given":"Paul"}],"issued":{"date-parts":[["1953"]]}},"locator":"16-19","label":"page"}],"schema":"https://github.com/citation-style-language/schema/raw/master/csl-citation.json"} </w:instrText>
      </w:r>
      <w:r w:rsidRPr="00E7325A">
        <w:rPr>
          <w:rFonts w:ascii="Calibri" w:hAnsi="Calibri" w:cs="Calibri"/>
        </w:rPr>
        <w:fldChar w:fldCharType="separate"/>
      </w:r>
      <w:r w:rsidRPr="0076221C">
        <w:rPr>
          <w:rFonts w:ascii="Calibri" w:hAnsi="Calibri" w:cs="Calibri"/>
        </w:rPr>
        <w:t>Paul Ricœur, « Aux frontières de la philosophie: sur le tragique (Suite) », Esprit (1940-), no 200 (3) (1953): 464.</w:t>
      </w:r>
      <w:r w:rsidRPr="00E7325A">
        <w:rPr>
          <w:rFonts w:ascii="Calibri" w:hAnsi="Calibri" w:cs="Calibri"/>
        </w:rPr>
        <w:fldChar w:fldCharType="end"/>
      </w:r>
      <w:r w:rsidRPr="0076221C">
        <w:rPr>
          <w:rFonts w:ascii="Calibri" w:hAnsi="Calibri" w:cs="Calibri"/>
        </w:rPr>
        <w:t xml:space="preserve"> </w:t>
      </w:r>
    </w:p>
  </w:footnote>
  <w:footnote w:id="133">
    <w:p w14:paraId="16C51447" w14:textId="77777777" w:rsidR="006F28E3" w:rsidRPr="002D41AB" w:rsidRDefault="006F28E3" w:rsidP="001905B0">
      <w:pPr>
        <w:pStyle w:val="FootnoteText"/>
        <w:rPr>
          <w:rFonts w:ascii="Calibri" w:hAnsi="Calibri" w:cs="Calibri"/>
        </w:rPr>
      </w:pPr>
      <w:r w:rsidRPr="00EE64C5">
        <w:rPr>
          <w:rStyle w:val="FootnoteReference"/>
        </w:rPr>
        <w:footnoteRef/>
      </w:r>
      <w:r w:rsidRPr="002D41AB">
        <w:rPr>
          <w:rFonts w:ascii="Calibri" w:hAnsi="Calibri" w:cs="Calibri"/>
        </w:rPr>
        <w:t xml:space="preserve"> Ricœur, 464.</w:t>
      </w:r>
    </w:p>
  </w:footnote>
  <w:footnote w:id="134">
    <w:p w14:paraId="21A79474" w14:textId="05E47C9C" w:rsidR="006F28E3" w:rsidRPr="002D41AB" w:rsidRDefault="006F28E3" w:rsidP="001905B0">
      <w:pPr>
        <w:pStyle w:val="FootnoteText"/>
        <w:rPr>
          <w:rFonts w:ascii="Calibri" w:hAnsi="Calibri" w:cs="Calibri"/>
        </w:rPr>
      </w:pPr>
      <w:r w:rsidRPr="00EE64C5">
        <w:rPr>
          <w:rStyle w:val="FootnoteReference"/>
        </w:rPr>
        <w:footnoteRef/>
      </w:r>
      <w:r w:rsidRPr="002D41AB">
        <w:rPr>
          <w:rFonts w:ascii="Calibri" w:hAnsi="Calibri" w:cs="Calibri"/>
        </w:rPr>
        <w:t xml:space="preserve"> </w:t>
      </w:r>
      <w:r w:rsidRPr="00E7325A">
        <w:rPr>
          <w:rFonts w:ascii="Calibri" w:hAnsi="Calibri" w:cs="Calibri"/>
        </w:rPr>
        <w:fldChar w:fldCharType="begin"/>
      </w:r>
      <w:r>
        <w:rPr>
          <w:rFonts w:ascii="Calibri" w:hAnsi="Calibri" w:cs="Calibri"/>
        </w:rPr>
        <w:instrText xml:space="preserve"> ADDIN ZOTERO_ITEM CSL_CITATION {"citationID":"b7Wl6GFV","properties":{"formattedCitation":"Paul Ric\\uc0\\u339{}ur, \\uc0\\u171{}\\uc0\\u160{}AUX FRONTI\\uc0\\u200{}RES DE LA PHILOSOPHIE: SUR LE TRAGIQUE (Suite)\\uc0\\u160{}\\uc0\\u187{}, {\\i{}Esprit (1940-)}, n\\super o\\nosupersub{} 200 (3) (1953): 16\\uc0\\u8209{}19.","plainCitation":"Paul Ricœur, « AUX FRONTIÈRES DE LA PHILOSOPHIE: SUR LE TRAGIQUE (Suite) », Esprit (1940-), no 200 (3) (1953): 16</w:instrText>
      </w:r>
      <w:r>
        <w:rPr>
          <w:rFonts w:ascii="Cambria Math" w:hAnsi="Cambria Math" w:cs="Cambria Math"/>
        </w:rPr>
        <w:instrText>‑</w:instrText>
      </w:r>
      <w:r>
        <w:rPr>
          <w:rFonts w:ascii="Calibri" w:hAnsi="Calibri" w:cs="Calibri"/>
        </w:rPr>
        <w:instrText xml:space="preserve">19.","dontUpdate":true,"noteIndex":135},"citationItems":[{"id":1905,"uris":["http://zotero.org/users/3679831/items/CVZPAUCI"],"uri":["http://zotero.org/users/3679831/items/CVZPAUCI"],"itemData":{"id":1905,"type":"article-journal","title":"AUX FRONTIÈRES DE LA PHILOSOPHIE: SUR LE TRAGIQUE (Suite)","container-title":"Esprit (1940-)","page":"449-467","issue":"200 (3)","source":"JSTOR","archive":"JSTOR","ISSN":"0014-0759","shortTitle":"AUX FRONTIÈRES DE LA PHILOSOPHIE","author":[{"family":"Ricœur","given":"Paul"}],"issued":{"date-parts":[["1953"]]}},"locator":"16-19","label":"page"}],"schema":"https://github.com/citation-style-language/schema/raw/master/csl-citation.json"} </w:instrText>
      </w:r>
      <w:r w:rsidRPr="00E7325A">
        <w:rPr>
          <w:rFonts w:ascii="Calibri" w:hAnsi="Calibri" w:cs="Calibri"/>
        </w:rPr>
        <w:fldChar w:fldCharType="separate"/>
      </w:r>
      <w:r w:rsidRPr="002D41AB">
        <w:rPr>
          <w:rFonts w:ascii="Calibri" w:hAnsi="Calibri" w:cs="Calibri"/>
        </w:rPr>
        <w:t>Ricœur, 464.</w:t>
      </w:r>
      <w:r w:rsidRPr="002D41AB" w:rsidDel="00141BA9">
        <w:rPr>
          <w:rFonts w:ascii="Calibri" w:hAnsi="Calibri" w:cs="Calibri"/>
        </w:rPr>
        <w:t xml:space="preserve"> </w:t>
      </w:r>
      <w:r w:rsidRPr="00E7325A">
        <w:rPr>
          <w:rFonts w:ascii="Calibri" w:hAnsi="Calibri" w:cs="Calibri"/>
        </w:rPr>
        <w:fldChar w:fldCharType="end"/>
      </w:r>
      <w:r w:rsidRPr="002D41AB">
        <w:rPr>
          <w:rFonts w:ascii="Calibri" w:hAnsi="Calibri" w:cs="Calibri"/>
        </w:rPr>
        <w:t xml:space="preserve"> </w:t>
      </w:r>
    </w:p>
  </w:footnote>
  <w:footnote w:id="135">
    <w:p w14:paraId="34F6E382" w14:textId="0C5B0E48" w:rsidR="006F28E3" w:rsidRPr="002D41AB" w:rsidRDefault="006F28E3" w:rsidP="001905B0">
      <w:pPr>
        <w:pStyle w:val="FootnoteText"/>
      </w:pPr>
      <w:r w:rsidRPr="00EE64C5">
        <w:rPr>
          <w:rStyle w:val="FootnoteReference"/>
        </w:rPr>
        <w:footnoteRef/>
      </w:r>
      <w:r w:rsidRPr="002D41AB">
        <w:rPr>
          <w:rFonts w:ascii="Calibri" w:hAnsi="Calibri" w:cs="Calibri"/>
        </w:rPr>
        <w:t xml:space="preserve"> </w:t>
      </w:r>
      <w:r w:rsidRPr="00E7325A">
        <w:rPr>
          <w:rFonts w:ascii="Calibri" w:hAnsi="Calibri" w:cs="Calibri"/>
        </w:rPr>
        <w:fldChar w:fldCharType="begin"/>
      </w:r>
      <w:r>
        <w:rPr>
          <w:rFonts w:ascii="Calibri" w:hAnsi="Calibri" w:cs="Calibri"/>
        </w:rPr>
        <w:instrText xml:space="preserve"> ADDIN ZOTERO_ITEM CSL_CITATION {"citationID":"3Zmu2RoM","properties":{"formattedCitation":"Paul Ric\\uc0\\u339{}ur, \\uc0\\u171{}\\uc0\\u160{}AUX FRONTI\\uc0\\u200{}RES DE LA PHILOSOPHIE: SUR LE TRAGIQUE (Suite)\\uc0\\u160{}\\uc0\\u187{}, {\\i{}Esprit (1940-)}, n\\super o\\nosupersub{} 200 (3) (1953): 16\\uc0\\u8209{}19.","plainCitation":"Paul Ricœur, « AUX FRONTIÈRES DE LA PHILOSOPHIE: SUR LE TRAGIQUE (Suite) », Esprit (1940-), no 200 (3) (1953): 16</w:instrText>
      </w:r>
      <w:r>
        <w:rPr>
          <w:rFonts w:ascii="Cambria Math" w:hAnsi="Cambria Math" w:cs="Cambria Math"/>
        </w:rPr>
        <w:instrText>‑</w:instrText>
      </w:r>
      <w:r>
        <w:rPr>
          <w:rFonts w:ascii="Calibri" w:hAnsi="Calibri" w:cs="Calibri"/>
        </w:rPr>
        <w:instrText xml:space="preserve">19.","dontUpdate":true,"noteIndex":136},"citationItems":[{"id":1905,"uris":["http://zotero.org/users/3679831/items/CVZPAUCI"],"uri":["http://zotero.org/users/3679831/items/CVZPAUCI"],"itemData":{"id":1905,"type":"article-journal","title":"AUX FRONTIÈRES DE LA PHILOSOPHIE: SUR LE TRAGIQUE (Suite)","container-title":"Esprit (1940-)","page":"449-467","issue":"200 (3)","source":"JSTOR","archive":"JSTOR","ISSN":"0014-0759","shortTitle":"AUX FRONTIÈRES DE LA PHILOSOPHIE","author":[{"family":"Ricœur","given":"Paul"}],"issued":{"date-parts":[["1953"]]}},"locator":"16-19","label":"page"}],"schema":"https://github.com/citation-style-language/schema/raw/master/csl-citation.json"} </w:instrText>
      </w:r>
      <w:r w:rsidRPr="00E7325A">
        <w:rPr>
          <w:rFonts w:ascii="Calibri" w:hAnsi="Calibri" w:cs="Calibri"/>
        </w:rPr>
        <w:fldChar w:fldCharType="separate"/>
      </w:r>
      <w:r w:rsidRPr="002D41AB">
        <w:rPr>
          <w:rFonts w:ascii="Calibri" w:hAnsi="Calibri" w:cs="Calibri"/>
        </w:rPr>
        <w:t>Ricœur, 464.</w:t>
      </w:r>
      <w:r w:rsidRPr="002D41AB" w:rsidDel="00141BA9">
        <w:rPr>
          <w:rFonts w:ascii="Calibri" w:hAnsi="Calibri" w:cs="Calibri"/>
        </w:rPr>
        <w:t xml:space="preserve"> </w:t>
      </w:r>
      <w:r w:rsidRPr="00E7325A">
        <w:rPr>
          <w:rFonts w:ascii="Calibri" w:hAnsi="Calibri" w:cs="Calibri"/>
        </w:rPr>
        <w:fldChar w:fldCharType="end"/>
      </w:r>
    </w:p>
  </w:footnote>
  <w:footnote w:id="136">
    <w:p w14:paraId="7E82C2FF" w14:textId="77777777" w:rsidR="006F28E3" w:rsidRPr="002D41AB" w:rsidRDefault="006F28E3" w:rsidP="001905B0">
      <w:pPr>
        <w:pStyle w:val="FootnoteText"/>
      </w:pPr>
      <w:r w:rsidRPr="00EE64C5">
        <w:rPr>
          <w:rStyle w:val="FootnoteReference"/>
        </w:rPr>
        <w:footnoteRef/>
      </w:r>
      <w:r w:rsidRPr="002D41AB">
        <w:rPr>
          <w:rFonts w:ascii="Calibri" w:hAnsi="Calibri" w:cs="Calibri"/>
        </w:rPr>
        <w:t xml:space="preserve"> Ricœur, 464.</w:t>
      </w:r>
    </w:p>
  </w:footnote>
  <w:footnote w:id="137">
    <w:p w14:paraId="797FA97E" w14:textId="51CF6AC7" w:rsidR="006F28E3" w:rsidRPr="002D41AB" w:rsidRDefault="006F28E3" w:rsidP="001905B0">
      <w:pPr>
        <w:pStyle w:val="FootnoteText"/>
      </w:pPr>
      <w:r w:rsidRPr="00EE64C5">
        <w:rPr>
          <w:rStyle w:val="FootnoteReference"/>
        </w:rPr>
        <w:footnoteRef/>
      </w:r>
      <w:r w:rsidRPr="002D41AB">
        <w:rPr>
          <w:rFonts w:ascii="Calibri" w:hAnsi="Calibri" w:cs="Calibri"/>
        </w:rPr>
        <w:t xml:space="preserve"> Ricœur, 464.</w:t>
      </w:r>
      <w:r w:rsidRPr="00E7325A">
        <w:rPr>
          <w:rFonts w:ascii="Calibri" w:hAnsi="Calibri" w:cs="Calibri"/>
        </w:rPr>
        <w:fldChar w:fldCharType="begin"/>
      </w:r>
      <w:r>
        <w:rPr>
          <w:rFonts w:ascii="Calibri" w:hAnsi="Calibri" w:cs="Calibri"/>
        </w:rPr>
        <w:instrText xml:space="preserve"> ADDIN ZOTERO_ITEM CSL_CITATION {"citationID":"kLlHrBpp","properties":{"formattedCitation":"Paul Ric\\uc0\\u339{}ur, \\uc0\\u171{}\\uc0\\u160{}AUX FRONTI\\uc0\\u200{}RES DE LA PHILOSOPHIE: SUR LE TRAGIQUE (Suite)\\uc0\\u160{}\\uc0\\u187{}, {\\i{}Esprit (1940-)}, n\\super o\\nosupersub{} 200 (3) (1953): 16\\uc0\\u8209{}19.","plainCitation":"Paul Ricœur, « AUX FRONTIÈRES DE LA PHILOSOPHIE: SUR LE TRAGIQUE (Suite) », Esprit (1940-), no 200 (3) (1953): 16</w:instrText>
      </w:r>
      <w:r>
        <w:rPr>
          <w:rFonts w:ascii="Cambria Math" w:hAnsi="Cambria Math" w:cs="Cambria Math"/>
        </w:rPr>
        <w:instrText>‑</w:instrText>
      </w:r>
      <w:r>
        <w:rPr>
          <w:rFonts w:ascii="Calibri" w:hAnsi="Calibri" w:cs="Calibri"/>
        </w:rPr>
        <w:instrText xml:space="preserve">19.","dontUpdate":true,"noteIndex":138},"citationItems":[{"id":1905,"uris":["http://zotero.org/users/3679831/items/CVZPAUCI"],"uri":["http://zotero.org/users/3679831/items/CVZPAUCI"],"itemData":{"id":1905,"type":"article-journal","title":"AUX FRONTIÈRES DE LA PHILOSOPHIE: SUR LE TRAGIQUE (Suite)","container-title":"Esprit (1940-)","page":"449-467","issue":"200 (3)","source":"JSTOR","archive":"JSTOR","ISSN":"0014-0759","shortTitle":"AUX FRONTIÈRES DE LA PHILOSOPHIE","author":[{"family":"Ricœur","given":"Paul"}],"issued":{"date-parts":[["1953"]]}},"locator":"16-19","label":"page"}],"schema":"https://github.com/citation-style-language/schema/raw/master/csl-citation.json"} </w:instrText>
      </w:r>
      <w:r w:rsidRPr="00E7325A">
        <w:rPr>
          <w:rFonts w:ascii="Calibri" w:hAnsi="Calibri" w:cs="Calibri"/>
        </w:rPr>
        <w:fldChar w:fldCharType="end"/>
      </w:r>
      <w:r w:rsidRPr="002D41AB">
        <w:rPr>
          <w:rFonts w:ascii="Calibri" w:hAnsi="Calibri" w:cs="Calibri"/>
        </w:rPr>
        <w:t xml:space="preserve"> </w:t>
      </w:r>
    </w:p>
  </w:footnote>
  <w:footnote w:id="138">
    <w:p w14:paraId="31964687" w14:textId="77777777" w:rsidR="006F28E3" w:rsidRPr="0076221C" w:rsidRDefault="006F28E3" w:rsidP="001905B0">
      <w:pPr>
        <w:pStyle w:val="FootnoteText"/>
      </w:pPr>
      <w:r w:rsidRPr="00EE64C5">
        <w:rPr>
          <w:rStyle w:val="FootnoteReference"/>
        </w:rPr>
        <w:footnoteRef/>
      </w:r>
      <w:r w:rsidRPr="0076221C">
        <w:rPr>
          <w:rFonts w:ascii="Calibri" w:hAnsi="Calibri" w:cs="Calibri"/>
        </w:rPr>
        <w:t xml:space="preserve"> Ricœur, 464.</w:t>
      </w:r>
    </w:p>
  </w:footnote>
  <w:footnote w:id="139">
    <w:p w14:paraId="6D1C7757" w14:textId="77777777" w:rsidR="006F28E3" w:rsidRPr="0076221C" w:rsidRDefault="006F28E3" w:rsidP="001905B0">
      <w:pPr>
        <w:pStyle w:val="FootnoteText"/>
      </w:pPr>
      <w:r w:rsidRPr="0026745F">
        <w:rPr>
          <w:rStyle w:val="FootnoteReference"/>
        </w:rPr>
        <w:footnoteRef/>
      </w:r>
      <w:r w:rsidRPr="0076221C">
        <w:t xml:space="preserve"> Arendt, </w:t>
      </w:r>
      <w:r w:rsidRPr="0076221C">
        <w:rPr>
          <w:i/>
        </w:rPr>
        <w:t>La crise de la culture</w:t>
      </w:r>
      <w:r w:rsidRPr="0076221C">
        <w:t>, Paris, Gallimard, 1972, p.334</w:t>
      </w:r>
    </w:p>
  </w:footnote>
  <w:footnote w:id="140">
    <w:p w14:paraId="781B3DB0" w14:textId="5A65C0BC" w:rsidR="006F28E3" w:rsidRPr="0076221C" w:rsidRDefault="006F28E3" w:rsidP="001905B0">
      <w:pPr>
        <w:pStyle w:val="FootnoteText"/>
      </w:pPr>
      <w:r w:rsidRPr="0026745F">
        <w:rPr>
          <w:rStyle w:val="FootnoteReference"/>
        </w:rPr>
        <w:footnoteRef/>
      </w:r>
      <w:r w:rsidRPr="0076221C">
        <w:t xml:space="preserve"> </w:t>
      </w:r>
      <w:r>
        <w:fldChar w:fldCharType="begin"/>
      </w:r>
      <w:r>
        <w:instrText xml:space="preserve"> ADDIN ZOTERO_ITEM CSL_CITATION {"citationID":"KSYst2oB","properties":{"formattedCitation":"Ferry, {\\i{}L\\uc0\\u8217{}\\uc0\\u233{}thique reconstructive}, 1996, 34.","plainCitation":"Ferry, L’éthique reconstructive, 1996, 34.","noteIndex":141},"citationItems":[{"id":1896,"uris":["http://zotero.org/users/3679831/items/JSMRLHEE"],"uri":["http://zotero.org/users/3679831/items/JSMRLHEE"],"itemData":{"id":1896,"type":"book","title":"L'éthique reconstructive","publisher":"Ed. du Cerf","publisher-place":"Paris","source":"Open WorldCat","event-place":"Paris","abstract":"Narration ou argumentation? Une nouvelle polarité philosophique se dessine ainsi, chargée d'enjeux relatifs à la question de l'éthique. Par la mise en récit des expériences, la narration confère à l'identité personnelle un ancrage et une épaisseur historiques, orientant l'éthique vers un idéal substantiel de vie bonne. Mais comment articuler la visée substantielle à la voie procédurale? Comment assurer, sur la voie du discours, le principe de reconnaissance? Dans cette entreprise, \"l'éthique de la reconstruction\" revêt une signification décisive.","ISBN":"978-2-204-05383-9","note":"OCLC: 243849619","language":"French","author":[{"family":"Ferry","given":"Jean-Marc"}],"issued":{"date-parts":[["1996"]]}},"locator":"34","label":"page"}],"schema":"https://github.com/citation-style-language/schema/raw/master/csl-citation.json"} </w:instrText>
      </w:r>
      <w:r>
        <w:fldChar w:fldCharType="separate"/>
      </w:r>
      <w:r w:rsidRPr="0076221C">
        <w:rPr>
          <w:rFonts w:ascii="Calibri" w:hAnsi="Calibri" w:cs="Calibri"/>
          <w:szCs w:val="24"/>
        </w:rPr>
        <w:t xml:space="preserve">Ferry, </w:t>
      </w:r>
      <w:r w:rsidRPr="0076221C">
        <w:rPr>
          <w:rFonts w:ascii="Calibri" w:hAnsi="Calibri" w:cs="Calibri"/>
          <w:i/>
          <w:iCs/>
          <w:szCs w:val="24"/>
        </w:rPr>
        <w:t>L’éthique reconstructive</w:t>
      </w:r>
      <w:r w:rsidRPr="0076221C">
        <w:rPr>
          <w:rFonts w:ascii="Calibri" w:hAnsi="Calibri" w:cs="Calibri"/>
          <w:szCs w:val="24"/>
        </w:rPr>
        <w:t>, 1996, 34.</w:t>
      </w:r>
      <w:r>
        <w:fldChar w:fldCharType="end"/>
      </w:r>
    </w:p>
  </w:footnote>
  <w:footnote w:id="141">
    <w:p w14:paraId="481A7728" w14:textId="6541B2C5" w:rsidR="006F28E3" w:rsidRPr="0076221C" w:rsidRDefault="006F28E3" w:rsidP="001905B0">
      <w:pPr>
        <w:pStyle w:val="FootnoteText"/>
      </w:pPr>
      <w:r w:rsidRPr="0026745F">
        <w:rPr>
          <w:rStyle w:val="FootnoteReference"/>
        </w:rPr>
        <w:footnoteRef/>
      </w:r>
      <w:r w:rsidRPr="0076221C">
        <w:t xml:space="preserve"> </w:t>
      </w:r>
      <w:r>
        <w:fldChar w:fldCharType="begin"/>
      </w:r>
      <w:r>
        <w:instrText xml:space="preserve"> ADDIN ZOTERO_ITEM CSL_CITATION {"citationID":"PbQlqGDq","properties":{"formattedCitation":"Ferry, 34.","plainCitation":"Ferry, 34.","noteIndex":142},"citationItems":[{"id":1896,"uris":["http://zotero.org/users/3679831/items/JSMRLHEE"],"uri":["http://zotero.org/users/3679831/items/JSMRLHEE"],"itemData":{"id":1896,"type":"book","title":"L'éthique reconstructive","publisher":"Ed. du Cerf","publisher-place":"Paris","source":"Open WorldCat","event-place":"Paris","abstract":"Narration ou argumentation? Une nouvelle polarité philosophique se dessine ainsi, chargée d'enjeux relatifs à la question de l'éthique. Par la mise en récit des expériences, la narration confère à l'identité personnelle un ancrage et une épaisseur historiques, orientant l'éthique vers un idéal substantiel de vie bonne. Mais comment articuler la visée substantielle à la voie procédurale? Comment assurer, sur la voie du discours, le principe de reconnaissance? Dans cette entreprise, \"l'éthique de la reconstruction\" revêt une signification décisive.","ISBN":"978-2-204-05383-9","note":"OCLC: 243849619","language":"French","author":[{"family":"Ferry","given":"Jean-Marc"}],"issued":{"date-parts":[["1996"]]}},"locator":"34","label":"page"}],"schema":"https://github.com/citation-style-language/schema/raw/master/csl-citation.json"} </w:instrText>
      </w:r>
      <w:r>
        <w:fldChar w:fldCharType="separate"/>
      </w:r>
      <w:r w:rsidRPr="0076221C">
        <w:rPr>
          <w:rFonts w:ascii="Calibri" w:hAnsi="Calibri" w:cs="Calibri"/>
        </w:rPr>
        <w:t>Ferry, 34.</w:t>
      </w:r>
      <w:r>
        <w:fldChar w:fldCharType="end"/>
      </w:r>
    </w:p>
  </w:footnote>
  <w:footnote w:id="142">
    <w:p w14:paraId="3A5A1ADD" w14:textId="0128045C" w:rsidR="006F28E3" w:rsidRPr="0076221C" w:rsidRDefault="006F28E3" w:rsidP="001905B0">
      <w:pPr>
        <w:pStyle w:val="FootnoteText"/>
      </w:pPr>
      <w:r>
        <w:rPr>
          <w:rStyle w:val="FootnoteReference"/>
        </w:rPr>
        <w:footnoteRef/>
      </w:r>
      <w:r w:rsidRPr="0076221C">
        <w:t xml:space="preserve"> </w:t>
      </w:r>
      <w:r>
        <w:fldChar w:fldCharType="begin"/>
      </w:r>
      <w:r>
        <w:instrText xml:space="preserve"> ADDIN ZOTERO_ITEM CSL_CITATION {"citationID":"wE8zRcfU","properties":{"formattedCitation":"Jeang\\uc0\\u232{}ne Vilmer et al., {\\i{}\\uc0\\u201{}thique des relations internationales}, 253.","plainCitation":"Jeangène Vilmer et al., Éthique des relations internationales, 253.","noteIndex":143},"citationItems":[{"id":1276,"uris":["http://zotero.org/users/3679831/items/R9U3S543"],"uri":["http://zotero.org/users/3679831/items/R9U3S543"],"itemData":{"id":1276,"type":"book","title":"Éthique des relations internationales: problématiques contemporaines","publisher":"Presses universitaires de France","publisher-place":"Paris","edition":"1re éd..","source":"primo-standard-lb.com","event-place":"Paris","ISBN":"978-2-13-059112-2","call-number":"JZ 1306 .E8848 2013","shortTitle":"Éthique des relations internationales","author":[{"family":"Jeangène Vilmer","given":"Jean-Baptiste"},{"family":"Chung","given":"Ryoa"},{"family":"Hassner","given":"Pierre"},{"family":"Ramel","given":"Frédéric"}],"issued":{"date-parts":[["2013"]]}},"locator":"253","label":"page"}],"schema":"https://github.com/citation-style-language/schema/raw/master/csl-citation.json"} </w:instrText>
      </w:r>
      <w:r>
        <w:fldChar w:fldCharType="separate"/>
      </w:r>
      <w:r w:rsidRPr="0076221C">
        <w:rPr>
          <w:rFonts w:ascii="Calibri" w:hAnsi="Calibri" w:cs="Calibri"/>
          <w:szCs w:val="24"/>
        </w:rPr>
        <w:t xml:space="preserve">Jeangène Vilmer et al., </w:t>
      </w:r>
      <w:r w:rsidRPr="0076221C">
        <w:rPr>
          <w:rFonts w:ascii="Calibri" w:hAnsi="Calibri" w:cs="Calibri"/>
          <w:i/>
          <w:iCs/>
          <w:szCs w:val="24"/>
        </w:rPr>
        <w:t>Éthique des relations internationales</w:t>
      </w:r>
      <w:r w:rsidRPr="0076221C">
        <w:rPr>
          <w:rFonts w:ascii="Calibri" w:hAnsi="Calibri" w:cs="Calibri"/>
          <w:szCs w:val="24"/>
        </w:rPr>
        <w:t>, 253.</w:t>
      </w:r>
      <w:r>
        <w:fldChar w:fldCharType="end"/>
      </w:r>
    </w:p>
  </w:footnote>
  <w:footnote w:id="143">
    <w:p w14:paraId="2DC56841" w14:textId="52EE7DEF" w:rsidR="006F28E3" w:rsidRPr="0076221C" w:rsidRDefault="006F28E3" w:rsidP="001905B0">
      <w:pPr>
        <w:pStyle w:val="FootnoteText"/>
      </w:pPr>
      <w:r w:rsidRPr="0026745F">
        <w:rPr>
          <w:rStyle w:val="FootnoteReference"/>
        </w:rPr>
        <w:footnoteRef/>
      </w:r>
      <w:r w:rsidRPr="0076221C">
        <w:t xml:space="preserve"> </w:t>
      </w:r>
      <w:r>
        <w:fldChar w:fldCharType="begin"/>
      </w:r>
      <w:r>
        <w:instrText xml:space="preserve"> ADDIN ZOTERO_ITEM CSL_CITATION {"citationID":"nRQUjxzQ","properties":{"formattedCitation":"Edouard Delruelle, {\\i{}Identit\\uc0\\u233{} reconstructive et dialogue des cultures} (Le bord de l\\uc0\\u8217{}eau, 2014), 10, https://orbi.uliege.be/handle/2268/202116.","plainCitation":"Edouard Delruelle, Identité reconstructive et dialogue des cultures (Le bord de l’eau, 2014), 10, https://orbi.uliege.be/handle/2268/202116.","dontUpdate":true,"noteIndex":144},"citationItems":[{"id":1889,"uris":["http://zotero.org/users/3679831/items/E6I2Z6GH"],"uri":["http://zotero.org/users/3679831/items/E6I2Z6GH"],"itemData":{"id":1889,"type":"book","title":"Identité reconstructive et dialogue des cultures","publisher":"Le bord de l'eau","source":"orbi.uliege.be","URL":"https://orbi.uliege.be/handle/2268/202116","ISBN":"978-2-35687-356-9","language":"fr","author":[{"family":"Delruelle","given":"Edouard"}],"issued":{"date-parts":[["2014"]]},"accessed":{"date-parts":[["2019",2,12]]}},"locator":"10","label":"page"}],"schema":"https://github.com/citation-style-language/schema/raw/master/csl-citation.json"} </w:instrText>
      </w:r>
      <w:r>
        <w:fldChar w:fldCharType="separate"/>
      </w:r>
      <w:r w:rsidRPr="0076221C">
        <w:rPr>
          <w:rFonts w:ascii="Calibri" w:hAnsi="Calibri" w:cs="Calibri"/>
          <w:szCs w:val="24"/>
        </w:rPr>
        <w:t xml:space="preserve">Edouard Delruelle, </w:t>
      </w:r>
      <w:r w:rsidRPr="0076221C">
        <w:rPr>
          <w:rFonts w:ascii="Calibri" w:hAnsi="Calibri" w:cs="Calibri"/>
          <w:i/>
          <w:iCs/>
          <w:szCs w:val="24"/>
        </w:rPr>
        <w:t>Identité reconstructive et dialogue des cultures</w:t>
      </w:r>
      <w:r w:rsidRPr="0076221C">
        <w:rPr>
          <w:rFonts w:ascii="Calibri" w:hAnsi="Calibri" w:cs="Calibri"/>
          <w:szCs w:val="24"/>
        </w:rPr>
        <w:t xml:space="preserve"> (Le bord de l’eau, 2014), 10.</w:t>
      </w:r>
      <w:r>
        <w:fldChar w:fldCharType="end"/>
      </w:r>
    </w:p>
  </w:footnote>
  <w:footnote w:id="144">
    <w:p w14:paraId="093D4289" w14:textId="2CF875E1" w:rsidR="006F28E3" w:rsidRPr="00724031" w:rsidRDefault="006F28E3" w:rsidP="001905B0">
      <w:pPr>
        <w:pStyle w:val="FootnoteText"/>
      </w:pPr>
      <w:r w:rsidRPr="0026745F">
        <w:rPr>
          <w:rStyle w:val="FootnoteReference"/>
        </w:rPr>
        <w:footnoteRef/>
      </w:r>
      <w:r w:rsidRPr="00724031">
        <w:t xml:space="preserve"> Jean-Marc Ferry, </w:t>
      </w:r>
      <w:r>
        <w:fldChar w:fldCharType="begin"/>
      </w:r>
      <w:r>
        <w:instrText xml:space="preserve"> ADDIN ZOTERO_ITEM CSL_CITATION {"citationID":"iGUNtVvT","properties":{"formattedCitation":"\\uc0\\u171{}\\uc0\\u160{}L\\uc0\\u8217{}\\uc0\\u233{}thique reconstructive comme \\uc0\\u233{}thique de la responsabilit\\uc0\\u233{} politique - raison-publique.fr\\uc0\\u160{}\\uc0\\u187{}, 14, consult\\uc0\\u233{} le 28 f\\uc0\\u233{}vrier 2019, http://www.raison-publique.fr/article568.html.","plainCitation":"« L’éthique reconstructive comme éthique de la responsabilité politique - raison-publique.fr », 14, consulté le 28 février 2019, http://www.raison-publique.fr/article568.html.","dontUpdate":true,"noteIndex":145},"citationItems":[{"id":1934,"uris":["http://zotero.org/users/3679831/items/2CSCIKY6"],"uri":["http://zotero.org/users/3679831/items/2CSCIKY6"],"itemData":{"id":1934,"type":"webpage","title":"L'éthique reconstructive comme éthique de la responsabilité politique - raison-publique.fr","URL":"http://www.raison-publique.fr/article568.html","accessed":{"date-parts":[["2019",2,27]]}},"locator":"14","label":"page"}],"schema":"https://github.com/citation-style-language/schema/raw/master/csl-citation.json"} </w:instrText>
      </w:r>
      <w:r>
        <w:fldChar w:fldCharType="separate"/>
      </w:r>
      <w:r w:rsidRPr="00724031">
        <w:rPr>
          <w:rFonts w:ascii="Calibri" w:hAnsi="Calibri" w:cs="Calibri"/>
          <w:szCs w:val="24"/>
        </w:rPr>
        <w:t>« L’éthique reconstructive comme éthique de la responsabilité politique - raison-publique.fr », 14.</w:t>
      </w:r>
      <w:r>
        <w:fldChar w:fldCharType="end"/>
      </w:r>
    </w:p>
  </w:footnote>
  <w:footnote w:id="145">
    <w:p w14:paraId="0E2E28BC" w14:textId="77777777" w:rsidR="006F28E3" w:rsidRPr="0076221C" w:rsidRDefault="006F28E3" w:rsidP="001905B0">
      <w:pPr>
        <w:pStyle w:val="FootnoteText"/>
      </w:pPr>
      <w:r w:rsidRPr="0026745F">
        <w:rPr>
          <w:rStyle w:val="FootnoteReference"/>
        </w:rPr>
        <w:footnoteRef/>
      </w:r>
      <w:r w:rsidRPr="0076221C">
        <w:t xml:space="preserve"> </w:t>
      </w:r>
      <w:r w:rsidRPr="00724031">
        <w:t>Ferry,</w:t>
      </w:r>
      <w:r w:rsidRPr="002D41AB">
        <w:rPr>
          <w:rFonts w:ascii="Calibri" w:hAnsi="Calibri" w:cs="Calibri"/>
          <w:szCs w:val="24"/>
        </w:rPr>
        <w:t xml:space="preserve"> </w:t>
      </w:r>
      <w:r w:rsidRPr="00724031">
        <w:rPr>
          <w:rFonts w:ascii="Calibri" w:hAnsi="Calibri" w:cs="Calibri"/>
          <w:szCs w:val="24"/>
        </w:rPr>
        <w:t>14.</w:t>
      </w:r>
    </w:p>
  </w:footnote>
  <w:footnote w:id="146">
    <w:p w14:paraId="1BDD7929" w14:textId="0AD1D3BC" w:rsidR="006F28E3" w:rsidRPr="0076221C" w:rsidRDefault="006F28E3" w:rsidP="001905B0">
      <w:pPr>
        <w:pStyle w:val="FootnoteText"/>
      </w:pPr>
      <w:r w:rsidRPr="0026745F">
        <w:rPr>
          <w:rStyle w:val="FootnoteReference"/>
        </w:rPr>
        <w:footnoteRef/>
      </w:r>
      <w:r w:rsidRPr="0076221C">
        <w:t xml:space="preserve"> </w:t>
      </w:r>
      <w:r>
        <w:fldChar w:fldCharType="begin"/>
      </w:r>
      <w:r>
        <w:instrText xml:space="preserve"> ADDIN ZOTERO_ITEM CSL_CITATION {"citationID":"PPiV07y5","properties":{"formattedCitation":"\\uc0\\u171{}\\uc0\\u160{}L\\uc0\\u8217{}\\uc0\\u233{}thique reconstructive comme \\uc0\\u233{}thique de la responsabilit\\uc0\\u233{} politique - raison-publique.fr\\uc0\\u160{}\\uc0\\u187{}, 14, consult\\uc0\\u233{} le 28 f\\uc0\\u233{}vrier 2019, http://www.raison-publique.fr/article568.html.","plainCitation":"« L’éthique reconstructive comme éthique de la responsabilité politique - raison-publique.fr », 14, consulté le 28 février 2019, http://www.raison-publique.fr/article568.html.","dontUpdate":true,"noteIndex":147},"citationItems":[{"id":1934,"uris":["http://zotero.org/users/3679831/items/2CSCIKY6"],"uri":["http://zotero.org/users/3679831/items/2CSCIKY6"],"itemData":{"id":1934,"type":"webpage","title":"L'éthique reconstructive comme éthique de la responsabilité politique - raison-publique.fr","URL":"http://www.raison-publique.fr/article568.html","accessed":{"date-parts":[["2019",2,27]]}},"locator":"14","label":"page"}],"schema":"https://github.com/citation-style-language/schema/raw/master/csl-citation.json"} </w:instrText>
      </w:r>
      <w:r>
        <w:fldChar w:fldCharType="separate"/>
      </w:r>
      <w:r w:rsidRPr="00724031">
        <w:t>Ferry,</w:t>
      </w:r>
      <w:r w:rsidRPr="0076221C">
        <w:rPr>
          <w:rFonts w:ascii="Calibri" w:hAnsi="Calibri" w:cs="Calibri"/>
          <w:szCs w:val="24"/>
        </w:rPr>
        <w:t xml:space="preserve"> 13.</w:t>
      </w:r>
      <w:r>
        <w:fldChar w:fldCharType="end"/>
      </w:r>
    </w:p>
  </w:footnote>
  <w:footnote w:id="147">
    <w:p w14:paraId="1A7DCA9A" w14:textId="45C37D4B" w:rsidR="006F28E3" w:rsidRPr="0076221C" w:rsidRDefault="006F28E3" w:rsidP="001905B0">
      <w:pPr>
        <w:pStyle w:val="FootnoteText"/>
      </w:pPr>
      <w:r w:rsidRPr="0026745F">
        <w:rPr>
          <w:rStyle w:val="FootnoteReference"/>
        </w:rPr>
        <w:footnoteRef/>
      </w:r>
      <w:r w:rsidRPr="0076221C">
        <w:t xml:space="preserve"> Jean-Marc Ferry, </w:t>
      </w:r>
      <w:r>
        <w:fldChar w:fldCharType="begin"/>
      </w:r>
      <w:r>
        <w:instrText xml:space="preserve"> ADDIN ZOTERO_ITEM CSL_CITATION {"citationID":"o6G6Hjzz","properties":{"formattedCitation":"\\uc0\\u171{}\\uc0\\u160{}HABERMAS CRITIQUE DE HANNAH ARENDT | Revue Esprit\\uc0\\u160{}\\uc0\\u187{}, Esprit Presse, 110, consult\\uc0\\u233{} le 28 janvier 2019, https://esprit.presse.fr/article/ferry-jean-marc/habermas-critique-de-hannah-arendt-26559.","plainCitation":"« HABERMAS CRITIQUE DE HANNAH ARENDT | Revue Esprit », Esprit Presse, 110, consulté le 28 janvier 2019, https://esprit.presse.fr/article/ferry-jean-marc/habermas-critique-de-hannah-arendt-26559.","dontUpdate":true,"noteIndex":148},"citationItems":[{"id":1856,"uris":["http://zotero.org/users/3679831/items/64KE5P8Z"],"uri":["http://zotero.org/users/3679831/items/64KE5P8Z"],"itemData":{"id":1856,"type":"webpage","title":"HABERMAS CRITIQUE DE HANNAH ARENDT | Revue Esprit","container-title":"Esprit Presse","abstract":"Esprit est une revue intellectuelle française fondée en 1932 par Emmanuel Mounier à la recherche d\\'une troisième voie humaniste entre le capitalisme libéral et le marxisme. Après guerre, elle essa...","URL":"https://esprit.presse.fr/article/ferry-jean-marc/habermas-critique-de-hannah-arendt-26559","language":"fr","accessed":{"date-parts":[["2019",1,27]]}},"locator":"110","label":"page"}],"schema":"https://github.com/citation-style-language/schema/raw/master/csl-citation.json"} </w:instrText>
      </w:r>
      <w:r>
        <w:fldChar w:fldCharType="separate"/>
      </w:r>
      <w:r w:rsidRPr="0076221C">
        <w:rPr>
          <w:rFonts w:ascii="Calibri" w:hAnsi="Calibri" w:cs="Calibri"/>
          <w:szCs w:val="24"/>
        </w:rPr>
        <w:t>« Habermas critique de Hannah Arendt | revue esprit », 110.</w:t>
      </w:r>
      <w:r>
        <w:fldChar w:fldCharType="end"/>
      </w:r>
    </w:p>
  </w:footnote>
  <w:footnote w:id="148">
    <w:p w14:paraId="66D22BF7" w14:textId="52EF16A9" w:rsidR="006F28E3" w:rsidRPr="00B228A6" w:rsidRDefault="006F28E3" w:rsidP="001905B0">
      <w:pPr>
        <w:pStyle w:val="FootnoteText"/>
        <w:rPr>
          <w:lang w:val="en-CA"/>
        </w:rPr>
      </w:pPr>
      <w:r w:rsidRPr="0026745F">
        <w:rPr>
          <w:rStyle w:val="FootnoteReference"/>
        </w:rPr>
        <w:footnoteRef/>
      </w:r>
      <w:r w:rsidRPr="00B228A6">
        <w:rPr>
          <w:lang w:val="en-CA"/>
        </w:rPr>
        <w:t xml:space="preserve"> </w:t>
      </w:r>
      <w:r>
        <w:fldChar w:fldCharType="begin"/>
      </w:r>
      <w:r>
        <w:rPr>
          <w:lang w:val="en-CA"/>
        </w:rPr>
        <w:instrText xml:space="preserve"> ADDIN ZOTERO_ITEM CSL_CITATION {"citationID":"Xk8AnahF","properties":{"formattedCitation":"Ferry, {\\i{}L\\uc0\\u8217{}\\uc0\\u233{}thique reconstructive}, 1996, 71.","plainCitation":"Ferry, L’éthique reconstructive, 1996, 71.","noteIndex":149},"citationItems":[{"id":1896,"uris":["http://zotero.org/users/3679831/items/JSMRLHEE"],"uri":["http://zotero.org/users/3679831/items/JSMRLHEE"],"itemData":{"id":1896,"type":"book","title":"L'éthique reconstructive","publisher":"Ed. du Cerf","publisher-place":"Paris","source":"Open WorldCat","event-place":"Paris","abstract":"Narration ou argumentation? Une nouvelle polarité philosophique se dessine ainsi, chargée d'enjeux relatifs à la question de l'éthique. Par la mise en récit des expériences, la narration confère à l'identité personnelle un ancrage et une épaisseur historiques, orientant l'éthique vers un idéal substantiel de vie bonne. Mais comment articuler la visée substantielle à la voie procédurale? Comment assurer, sur la voie du discours, le principe de reconnaissance? Dans cette entreprise, \"l'éthique de la reconstruction\" revêt une signification décisive.","ISBN":"978-2-204-05383-9","note":"OCLC: 243849619","language":"French","author":[{"family":"Ferry","given":"Jean-Marc"}],"issued":{"date-parts":[["1996"]]}},"locator":"71","label":"page"}],"schema":"https://github.com/citation-style-language/schema/raw/master/csl-citation.json"} </w:instrText>
      </w:r>
      <w:r>
        <w:fldChar w:fldCharType="separate"/>
      </w:r>
      <w:r w:rsidRPr="00B228A6">
        <w:rPr>
          <w:rFonts w:ascii="Calibri" w:hAnsi="Calibri" w:cs="Calibri"/>
          <w:szCs w:val="24"/>
          <w:lang w:val="en-CA"/>
        </w:rPr>
        <w:t xml:space="preserve">Ferry, </w:t>
      </w:r>
      <w:r w:rsidRPr="00B228A6">
        <w:rPr>
          <w:rFonts w:ascii="Calibri" w:hAnsi="Calibri" w:cs="Calibri"/>
          <w:i/>
          <w:iCs/>
          <w:szCs w:val="24"/>
          <w:lang w:val="en-CA"/>
        </w:rPr>
        <w:t>L’éthique reconstructive</w:t>
      </w:r>
      <w:r w:rsidRPr="00B228A6">
        <w:rPr>
          <w:rFonts w:ascii="Calibri" w:hAnsi="Calibri" w:cs="Calibri"/>
          <w:szCs w:val="24"/>
          <w:lang w:val="en-CA"/>
        </w:rPr>
        <w:t>, 1996, 71.</w:t>
      </w:r>
      <w:r>
        <w:fldChar w:fldCharType="end"/>
      </w:r>
    </w:p>
  </w:footnote>
  <w:footnote w:id="149">
    <w:p w14:paraId="27EDA183" w14:textId="386D4824" w:rsidR="006F28E3" w:rsidRPr="00B228A6" w:rsidRDefault="006F28E3" w:rsidP="001905B0">
      <w:pPr>
        <w:pStyle w:val="FootnoteText"/>
        <w:rPr>
          <w:lang w:val="en-CA"/>
        </w:rPr>
      </w:pPr>
      <w:r w:rsidRPr="0026745F">
        <w:rPr>
          <w:rStyle w:val="FootnoteReference"/>
        </w:rPr>
        <w:footnoteRef/>
      </w:r>
      <w:r w:rsidRPr="00B228A6">
        <w:rPr>
          <w:lang w:val="en-CA"/>
        </w:rPr>
        <w:t xml:space="preserve"> </w:t>
      </w:r>
      <w:r>
        <w:fldChar w:fldCharType="begin"/>
      </w:r>
      <w:r>
        <w:rPr>
          <w:lang w:val="en-CA"/>
        </w:rPr>
        <w:instrText xml:space="preserve"> ADDIN ZOTERO_ITEM CSL_CITATION {"citationID":"nau90i0K","properties":{"formattedCitation":"Ferry, 63.","plainCitation":"Ferry, 63.","noteIndex":150},"citationItems":[{"id":1896,"uris":["http://zotero.org/users/3679831/items/JSMRLHEE"],"uri":["http://zotero.org/users/3679831/items/JSMRLHEE"],"itemData":{"id":1896,"type":"book","title":"L'éthique reconstructive","publisher":"Ed. du Cerf","publisher-place":"Paris","source":"Open WorldCat","event-place":"Paris","abstract":"Narration ou argumentation? Une nouvelle polarité philosophique se dessine ainsi, chargée d'enjeux relatifs à la question de l'éthique. Par la mise en récit des expériences, la narration confère à l'identité personnelle un ancrage et une épaisseur historiques, orientant l'éthique vers un idéal substantiel de vie bonne. Mais comment articuler la visée substantielle à la voie procédurale? Comment assurer, sur la voie du discours, le principe de reconnaissance? Dans cette entreprise, \"l'éthique de la reconstruction\" revêt une signification décisive.","ISBN":"978-2-204-05383-9","note":"OCLC: 243849619","language":"French","author":[{"family":"Ferry","given":"Jean-Marc"}],"issued":{"date-parts":[["1996"]]}},"locator":"63","label":"page"}],"schema":"https://github.com/citation-style-language/schema/raw/master/csl-citation.json"} </w:instrText>
      </w:r>
      <w:r>
        <w:fldChar w:fldCharType="separate"/>
      </w:r>
      <w:r w:rsidRPr="00B228A6">
        <w:rPr>
          <w:rFonts w:ascii="Calibri" w:hAnsi="Calibri" w:cs="Calibri"/>
          <w:lang w:val="en-CA"/>
        </w:rPr>
        <w:t>Ferry, 63.</w:t>
      </w:r>
      <w:r>
        <w:fldChar w:fldCharType="end"/>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7019F60" w14:textId="77777777" w:rsidR="006F28E3" w:rsidRDefault="006F28E3">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264DAB"/>
    <w:multiLevelType w:val="hybridMultilevel"/>
    <w:tmpl w:val="90FA7156"/>
    <w:lvl w:ilvl="0" w:tplc="0C0C000F">
      <w:start w:val="1"/>
      <w:numFmt w:val="decimal"/>
      <w:lvlText w:val="%1."/>
      <w:lvlJc w:val="left"/>
      <w:pPr>
        <w:ind w:left="720" w:hanging="360"/>
      </w:pPr>
      <w:rPr>
        <w:rFonts w:hint="default"/>
      </w:rPr>
    </w:lvl>
    <w:lvl w:ilvl="1" w:tplc="0C0C0019" w:tentative="1">
      <w:start w:val="1"/>
      <w:numFmt w:val="lowerLetter"/>
      <w:lvlText w:val="%2."/>
      <w:lvlJc w:val="left"/>
      <w:pPr>
        <w:ind w:left="1440" w:hanging="360"/>
      </w:pPr>
    </w:lvl>
    <w:lvl w:ilvl="2" w:tplc="0C0C001B" w:tentative="1">
      <w:start w:val="1"/>
      <w:numFmt w:val="lowerRoman"/>
      <w:lvlText w:val="%3."/>
      <w:lvlJc w:val="right"/>
      <w:pPr>
        <w:ind w:left="2160" w:hanging="180"/>
      </w:pPr>
    </w:lvl>
    <w:lvl w:ilvl="3" w:tplc="0C0C000F" w:tentative="1">
      <w:start w:val="1"/>
      <w:numFmt w:val="decimal"/>
      <w:lvlText w:val="%4."/>
      <w:lvlJc w:val="left"/>
      <w:pPr>
        <w:ind w:left="2880" w:hanging="360"/>
      </w:pPr>
    </w:lvl>
    <w:lvl w:ilvl="4" w:tplc="0C0C0019" w:tentative="1">
      <w:start w:val="1"/>
      <w:numFmt w:val="lowerLetter"/>
      <w:lvlText w:val="%5."/>
      <w:lvlJc w:val="left"/>
      <w:pPr>
        <w:ind w:left="3600" w:hanging="360"/>
      </w:pPr>
    </w:lvl>
    <w:lvl w:ilvl="5" w:tplc="0C0C001B" w:tentative="1">
      <w:start w:val="1"/>
      <w:numFmt w:val="lowerRoman"/>
      <w:lvlText w:val="%6."/>
      <w:lvlJc w:val="right"/>
      <w:pPr>
        <w:ind w:left="4320" w:hanging="180"/>
      </w:pPr>
    </w:lvl>
    <w:lvl w:ilvl="6" w:tplc="0C0C000F" w:tentative="1">
      <w:start w:val="1"/>
      <w:numFmt w:val="decimal"/>
      <w:lvlText w:val="%7."/>
      <w:lvlJc w:val="left"/>
      <w:pPr>
        <w:ind w:left="5040" w:hanging="360"/>
      </w:pPr>
    </w:lvl>
    <w:lvl w:ilvl="7" w:tplc="0C0C0019" w:tentative="1">
      <w:start w:val="1"/>
      <w:numFmt w:val="lowerLetter"/>
      <w:lvlText w:val="%8."/>
      <w:lvlJc w:val="left"/>
      <w:pPr>
        <w:ind w:left="5760" w:hanging="360"/>
      </w:pPr>
    </w:lvl>
    <w:lvl w:ilvl="8" w:tplc="0C0C001B" w:tentative="1">
      <w:start w:val="1"/>
      <w:numFmt w:val="lowerRoman"/>
      <w:lvlText w:val="%9."/>
      <w:lvlJc w:val="right"/>
      <w:pPr>
        <w:ind w:left="6480" w:hanging="180"/>
      </w:pPr>
    </w:lvl>
  </w:abstractNum>
  <w:abstractNum w:abstractNumId="1" w15:restartNumberingAfterBreak="0">
    <w:nsid w:val="053E3C38"/>
    <w:multiLevelType w:val="hybridMultilevel"/>
    <w:tmpl w:val="41D8512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86B0FFC"/>
    <w:multiLevelType w:val="hybridMultilevel"/>
    <w:tmpl w:val="461E39B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A422A61"/>
    <w:multiLevelType w:val="hybridMultilevel"/>
    <w:tmpl w:val="02CE0EFA"/>
    <w:lvl w:ilvl="0" w:tplc="5498B57A">
      <w:start w:val="1"/>
      <w:numFmt w:val="decimal"/>
      <w:lvlText w:val="%1."/>
      <w:lvlJc w:val="left"/>
      <w:pPr>
        <w:ind w:left="1080" w:hanging="360"/>
      </w:pPr>
      <w:rPr>
        <w:rFonts w:hint="default"/>
      </w:rPr>
    </w:lvl>
    <w:lvl w:ilvl="1" w:tplc="0C0C0019" w:tentative="1">
      <w:start w:val="1"/>
      <w:numFmt w:val="lowerLetter"/>
      <w:lvlText w:val="%2."/>
      <w:lvlJc w:val="left"/>
      <w:pPr>
        <w:ind w:left="1800" w:hanging="360"/>
      </w:pPr>
    </w:lvl>
    <w:lvl w:ilvl="2" w:tplc="0C0C001B" w:tentative="1">
      <w:start w:val="1"/>
      <w:numFmt w:val="lowerRoman"/>
      <w:lvlText w:val="%3."/>
      <w:lvlJc w:val="right"/>
      <w:pPr>
        <w:ind w:left="2520" w:hanging="180"/>
      </w:pPr>
    </w:lvl>
    <w:lvl w:ilvl="3" w:tplc="0C0C000F" w:tentative="1">
      <w:start w:val="1"/>
      <w:numFmt w:val="decimal"/>
      <w:lvlText w:val="%4."/>
      <w:lvlJc w:val="left"/>
      <w:pPr>
        <w:ind w:left="3240" w:hanging="360"/>
      </w:pPr>
    </w:lvl>
    <w:lvl w:ilvl="4" w:tplc="0C0C0019" w:tentative="1">
      <w:start w:val="1"/>
      <w:numFmt w:val="lowerLetter"/>
      <w:lvlText w:val="%5."/>
      <w:lvlJc w:val="left"/>
      <w:pPr>
        <w:ind w:left="3960" w:hanging="360"/>
      </w:pPr>
    </w:lvl>
    <w:lvl w:ilvl="5" w:tplc="0C0C001B" w:tentative="1">
      <w:start w:val="1"/>
      <w:numFmt w:val="lowerRoman"/>
      <w:lvlText w:val="%6."/>
      <w:lvlJc w:val="right"/>
      <w:pPr>
        <w:ind w:left="4680" w:hanging="180"/>
      </w:pPr>
    </w:lvl>
    <w:lvl w:ilvl="6" w:tplc="0C0C000F" w:tentative="1">
      <w:start w:val="1"/>
      <w:numFmt w:val="decimal"/>
      <w:lvlText w:val="%7."/>
      <w:lvlJc w:val="left"/>
      <w:pPr>
        <w:ind w:left="5400" w:hanging="360"/>
      </w:pPr>
    </w:lvl>
    <w:lvl w:ilvl="7" w:tplc="0C0C0019" w:tentative="1">
      <w:start w:val="1"/>
      <w:numFmt w:val="lowerLetter"/>
      <w:lvlText w:val="%8."/>
      <w:lvlJc w:val="left"/>
      <w:pPr>
        <w:ind w:left="6120" w:hanging="360"/>
      </w:pPr>
    </w:lvl>
    <w:lvl w:ilvl="8" w:tplc="0C0C001B" w:tentative="1">
      <w:start w:val="1"/>
      <w:numFmt w:val="lowerRoman"/>
      <w:lvlText w:val="%9."/>
      <w:lvlJc w:val="right"/>
      <w:pPr>
        <w:ind w:left="6840" w:hanging="180"/>
      </w:pPr>
    </w:lvl>
  </w:abstractNum>
  <w:abstractNum w:abstractNumId="4" w15:restartNumberingAfterBreak="0">
    <w:nsid w:val="0F8231E2"/>
    <w:multiLevelType w:val="hybridMultilevel"/>
    <w:tmpl w:val="B9E2C1C4"/>
    <w:lvl w:ilvl="0" w:tplc="0C0C0019">
      <w:start w:val="1"/>
      <w:numFmt w:val="lowerLetter"/>
      <w:lvlText w:val="%1."/>
      <w:lvlJc w:val="left"/>
      <w:pPr>
        <w:ind w:left="1428" w:hanging="360"/>
      </w:pPr>
    </w:lvl>
    <w:lvl w:ilvl="1" w:tplc="0C0C0019" w:tentative="1">
      <w:start w:val="1"/>
      <w:numFmt w:val="lowerLetter"/>
      <w:lvlText w:val="%2."/>
      <w:lvlJc w:val="left"/>
      <w:pPr>
        <w:ind w:left="2148" w:hanging="360"/>
      </w:pPr>
    </w:lvl>
    <w:lvl w:ilvl="2" w:tplc="0C0C001B" w:tentative="1">
      <w:start w:val="1"/>
      <w:numFmt w:val="lowerRoman"/>
      <w:lvlText w:val="%3."/>
      <w:lvlJc w:val="right"/>
      <w:pPr>
        <w:ind w:left="2868" w:hanging="180"/>
      </w:pPr>
    </w:lvl>
    <w:lvl w:ilvl="3" w:tplc="0C0C000F" w:tentative="1">
      <w:start w:val="1"/>
      <w:numFmt w:val="decimal"/>
      <w:lvlText w:val="%4."/>
      <w:lvlJc w:val="left"/>
      <w:pPr>
        <w:ind w:left="3588" w:hanging="360"/>
      </w:pPr>
    </w:lvl>
    <w:lvl w:ilvl="4" w:tplc="0C0C0019" w:tentative="1">
      <w:start w:val="1"/>
      <w:numFmt w:val="lowerLetter"/>
      <w:lvlText w:val="%5."/>
      <w:lvlJc w:val="left"/>
      <w:pPr>
        <w:ind w:left="4308" w:hanging="360"/>
      </w:pPr>
    </w:lvl>
    <w:lvl w:ilvl="5" w:tplc="0C0C001B" w:tentative="1">
      <w:start w:val="1"/>
      <w:numFmt w:val="lowerRoman"/>
      <w:lvlText w:val="%6."/>
      <w:lvlJc w:val="right"/>
      <w:pPr>
        <w:ind w:left="5028" w:hanging="180"/>
      </w:pPr>
    </w:lvl>
    <w:lvl w:ilvl="6" w:tplc="0C0C000F" w:tentative="1">
      <w:start w:val="1"/>
      <w:numFmt w:val="decimal"/>
      <w:lvlText w:val="%7."/>
      <w:lvlJc w:val="left"/>
      <w:pPr>
        <w:ind w:left="5748" w:hanging="360"/>
      </w:pPr>
    </w:lvl>
    <w:lvl w:ilvl="7" w:tplc="0C0C0019" w:tentative="1">
      <w:start w:val="1"/>
      <w:numFmt w:val="lowerLetter"/>
      <w:lvlText w:val="%8."/>
      <w:lvlJc w:val="left"/>
      <w:pPr>
        <w:ind w:left="6468" w:hanging="360"/>
      </w:pPr>
    </w:lvl>
    <w:lvl w:ilvl="8" w:tplc="0C0C001B" w:tentative="1">
      <w:start w:val="1"/>
      <w:numFmt w:val="lowerRoman"/>
      <w:lvlText w:val="%9."/>
      <w:lvlJc w:val="right"/>
      <w:pPr>
        <w:ind w:left="7188" w:hanging="180"/>
      </w:pPr>
    </w:lvl>
  </w:abstractNum>
  <w:abstractNum w:abstractNumId="5" w15:restartNumberingAfterBreak="0">
    <w:nsid w:val="200F1B59"/>
    <w:multiLevelType w:val="hybridMultilevel"/>
    <w:tmpl w:val="9FFE7F0A"/>
    <w:lvl w:ilvl="0" w:tplc="0C0C000F">
      <w:start w:val="1"/>
      <w:numFmt w:val="decimal"/>
      <w:lvlText w:val="%1."/>
      <w:lvlJc w:val="left"/>
      <w:pPr>
        <w:ind w:left="720" w:hanging="360"/>
      </w:pPr>
    </w:lvl>
    <w:lvl w:ilvl="1" w:tplc="0C0C0019" w:tentative="1">
      <w:start w:val="1"/>
      <w:numFmt w:val="lowerLetter"/>
      <w:lvlText w:val="%2."/>
      <w:lvlJc w:val="left"/>
      <w:pPr>
        <w:ind w:left="1440" w:hanging="360"/>
      </w:pPr>
    </w:lvl>
    <w:lvl w:ilvl="2" w:tplc="0C0C001B" w:tentative="1">
      <w:start w:val="1"/>
      <w:numFmt w:val="lowerRoman"/>
      <w:lvlText w:val="%3."/>
      <w:lvlJc w:val="right"/>
      <w:pPr>
        <w:ind w:left="2160" w:hanging="180"/>
      </w:pPr>
    </w:lvl>
    <w:lvl w:ilvl="3" w:tplc="0C0C000F" w:tentative="1">
      <w:start w:val="1"/>
      <w:numFmt w:val="decimal"/>
      <w:lvlText w:val="%4."/>
      <w:lvlJc w:val="left"/>
      <w:pPr>
        <w:ind w:left="2880" w:hanging="360"/>
      </w:pPr>
    </w:lvl>
    <w:lvl w:ilvl="4" w:tplc="0C0C0019" w:tentative="1">
      <w:start w:val="1"/>
      <w:numFmt w:val="lowerLetter"/>
      <w:lvlText w:val="%5."/>
      <w:lvlJc w:val="left"/>
      <w:pPr>
        <w:ind w:left="3600" w:hanging="360"/>
      </w:pPr>
    </w:lvl>
    <w:lvl w:ilvl="5" w:tplc="0C0C001B" w:tentative="1">
      <w:start w:val="1"/>
      <w:numFmt w:val="lowerRoman"/>
      <w:lvlText w:val="%6."/>
      <w:lvlJc w:val="right"/>
      <w:pPr>
        <w:ind w:left="4320" w:hanging="180"/>
      </w:pPr>
    </w:lvl>
    <w:lvl w:ilvl="6" w:tplc="0C0C000F" w:tentative="1">
      <w:start w:val="1"/>
      <w:numFmt w:val="decimal"/>
      <w:lvlText w:val="%7."/>
      <w:lvlJc w:val="left"/>
      <w:pPr>
        <w:ind w:left="5040" w:hanging="360"/>
      </w:pPr>
    </w:lvl>
    <w:lvl w:ilvl="7" w:tplc="0C0C0019" w:tentative="1">
      <w:start w:val="1"/>
      <w:numFmt w:val="lowerLetter"/>
      <w:lvlText w:val="%8."/>
      <w:lvlJc w:val="left"/>
      <w:pPr>
        <w:ind w:left="5760" w:hanging="360"/>
      </w:pPr>
    </w:lvl>
    <w:lvl w:ilvl="8" w:tplc="0C0C001B" w:tentative="1">
      <w:start w:val="1"/>
      <w:numFmt w:val="lowerRoman"/>
      <w:lvlText w:val="%9."/>
      <w:lvlJc w:val="right"/>
      <w:pPr>
        <w:ind w:left="6480" w:hanging="180"/>
      </w:pPr>
    </w:lvl>
  </w:abstractNum>
  <w:abstractNum w:abstractNumId="6" w15:restartNumberingAfterBreak="0">
    <w:nsid w:val="224F6F8A"/>
    <w:multiLevelType w:val="hybridMultilevel"/>
    <w:tmpl w:val="5F2CAB34"/>
    <w:lvl w:ilvl="0" w:tplc="5498B57A">
      <w:start w:val="1"/>
      <w:numFmt w:val="decimal"/>
      <w:lvlText w:val="%1."/>
      <w:lvlJc w:val="left"/>
      <w:pPr>
        <w:ind w:left="1080" w:hanging="360"/>
      </w:pPr>
      <w:rPr>
        <w:rFonts w:hint="default"/>
      </w:rPr>
    </w:lvl>
    <w:lvl w:ilvl="1" w:tplc="0C0C0019">
      <w:start w:val="1"/>
      <w:numFmt w:val="lowerLetter"/>
      <w:lvlText w:val="%2."/>
      <w:lvlJc w:val="left"/>
      <w:pPr>
        <w:ind w:left="1800" w:hanging="360"/>
      </w:pPr>
    </w:lvl>
    <w:lvl w:ilvl="2" w:tplc="0C0C001B">
      <w:start w:val="1"/>
      <w:numFmt w:val="lowerRoman"/>
      <w:lvlText w:val="%3."/>
      <w:lvlJc w:val="right"/>
      <w:pPr>
        <w:ind w:left="2520" w:hanging="180"/>
      </w:pPr>
    </w:lvl>
    <w:lvl w:ilvl="3" w:tplc="0C0C000F" w:tentative="1">
      <w:start w:val="1"/>
      <w:numFmt w:val="decimal"/>
      <w:lvlText w:val="%4."/>
      <w:lvlJc w:val="left"/>
      <w:pPr>
        <w:ind w:left="3240" w:hanging="360"/>
      </w:pPr>
    </w:lvl>
    <w:lvl w:ilvl="4" w:tplc="0C0C0019" w:tentative="1">
      <w:start w:val="1"/>
      <w:numFmt w:val="lowerLetter"/>
      <w:lvlText w:val="%5."/>
      <w:lvlJc w:val="left"/>
      <w:pPr>
        <w:ind w:left="3960" w:hanging="360"/>
      </w:pPr>
    </w:lvl>
    <w:lvl w:ilvl="5" w:tplc="0C0C001B" w:tentative="1">
      <w:start w:val="1"/>
      <w:numFmt w:val="lowerRoman"/>
      <w:lvlText w:val="%6."/>
      <w:lvlJc w:val="right"/>
      <w:pPr>
        <w:ind w:left="4680" w:hanging="180"/>
      </w:pPr>
    </w:lvl>
    <w:lvl w:ilvl="6" w:tplc="0C0C000F" w:tentative="1">
      <w:start w:val="1"/>
      <w:numFmt w:val="decimal"/>
      <w:lvlText w:val="%7."/>
      <w:lvlJc w:val="left"/>
      <w:pPr>
        <w:ind w:left="5400" w:hanging="360"/>
      </w:pPr>
    </w:lvl>
    <w:lvl w:ilvl="7" w:tplc="0C0C0019" w:tentative="1">
      <w:start w:val="1"/>
      <w:numFmt w:val="lowerLetter"/>
      <w:lvlText w:val="%8."/>
      <w:lvlJc w:val="left"/>
      <w:pPr>
        <w:ind w:left="6120" w:hanging="360"/>
      </w:pPr>
    </w:lvl>
    <w:lvl w:ilvl="8" w:tplc="0C0C001B" w:tentative="1">
      <w:start w:val="1"/>
      <w:numFmt w:val="lowerRoman"/>
      <w:lvlText w:val="%9."/>
      <w:lvlJc w:val="right"/>
      <w:pPr>
        <w:ind w:left="6840" w:hanging="180"/>
      </w:pPr>
    </w:lvl>
  </w:abstractNum>
  <w:abstractNum w:abstractNumId="7" w15:restartNumberingAfterBreak="0">
    <w:nsid w:val="22961CD9"/>
    <w:multiLevelType w:val="hybridMultilevel"/>
    <w:tmpl w:val="96F6E488"/>
    <w:lvl w:ilvl="0" w:tplc="0C0C000F">
      <w:start w:val="1"/>
      <w:numFmt w:val="decimal"/>
      <w:lvlText w:val="%1."/>
      <w:lvlJc w:val="left"/>
      <w:pPr>
        <w:ind w:left="1428" w:hanging="360"/>
      </w:pPr>
    </w:lvl>
    <w:lvl w:ilvl="1" w:tplc="0C0C0019" w:tentative="1">
      <w:start w:val="1"/>
      <w:numFmt w:val="lowerLetter"/>
      <w:lvlText w:val="%2."/>
      <w:lvlJc w:val="left"/>
      <w:pPr>
        <w:ind w:left="2148" w:hanging="360"/>
      </w:pPr>
    </w:lvl>
    <w:lvl w:ilvl="2" w:tplc="0C0C001B" w:tentative="1">
      <w:start w:val="1"/>
      <w:numFmt w:val="lowerRoman"/>
      <w:lvlText w:val="%3."/>
      <w:lvlJc w:val="right"/>
      <w:pPr>
        <w:ind w:left="2868" w:hanging="180"/>
      </w:pPr>
    </w:lvl>
    <w:lvl w:ilvl="3" w:tplc="0C0C000F" w:tentative="1">
      <w:start w:val="1"/>
      <w:numFmt w:val="decimal"/>
      <w:lvlText w:val="%4."/>
      <w:lvlJc w:val="left"/>
      <w:pPr>
        <w:ind w:left="3588" w:hanging="360"/>
      </w:pPr>
    </w:lvl>
    <w:lvl w:ilvl="4" w:tplc="0C0C0019" w:tentative="1">
      <w:start w:val="1"/>
      <w:numFmt w:val="lowerLetter"/>
      <w:lvlText w:val="%5."/>
      <w:lvlJc w:val="left"/>
      <w:pPr>
        <w:ind w:left="4308" w:hanging="360"/>
      </w:pPr>
    </w:lvl>
    <w:lvl w:ilvl="5" w:tplc="0C0C001B" w:tentative="1">
      <w:start w:val="1"/>
      <w:numFmt w:val="lowerRoman"/>
      <w:lvlText w:val="%6."/>
      <w:lvlJc w:val="right"/>
      <w:pPr>
        <w:ind w:left="5028" w:hanging="180"/>
      </w:pPr>
    </w:lvl>
    <w:lvl w:ilvl="6" w:tplc="0C0C000F" w:tentative="1">
      <w:start w:val="1"/>
      <w:numFmt w:val="decimal"/>
      <w:lvlText w:val="%7."/>
      <w:lvlJc w:val="left"/>
      <w:pPr>
        <w:ind w:left="5748" w:hanging="360"/>
      </w:pPr>
    </w:lvl>
    <w:lvl w:ilvl="7" w:tplc="0C0C0019" w:tentative="1">
      <w:start w:val="1"/>
      <w:numFmt w:val="lowerLetter"/>
      <w:lvlText w:val="%8."/>
      <w:lvlJc w:val="left"/>
      <w:pPr>
        <w:ind w:left="6468" w:hanging="360"/>
      </w:pPr>
    </w:lvl>
    <w:lvl w:ilvl="8" w:tplc="0C0C001B" w:tentative="1">
      <w:start w:val="1"/>
      <w:numFmt w:val="lowerRoman"/>
      <w:lvlText w:val="%9."/>
      <w:lvlJc w:val="right"/>
      <w:pPr>
        <w:ind w:left="7188" w:hanging="180"/>
      </w:pPr>
    </w:lvl>
  </w:abstractNum>
  <w:abstractNum w:abstractNumId="8" w15:restartNumberingAfterBreak="0">
    <w:nsid w:val="28D4147D"/>
    <w:multiLevelType w:val="hybridMultilevel"/>
    <w:tmpl w:val="B9E2C1C4"/>
    <w:lvl w:ilvl="0" w:tplc="0C0C0019">
      <w:start w:val="1"/>
      <w:numFmt w:val="lowerLetter"/>
      <w:lvlText w:val="%1."/>
      <w:lvlJc w:val="left"/>
      <w:pPr>
        <w:ind w:left="1428" w:hanging="360"/>
      </w:pPr>
    </w:lvl>
    <w:lvl w:ilvl="1" w:tplc="0C0C0019" w:tentative="1">
      <w:start w:val="1"/>
      <w:numFmt w:val="lowerLetter"/>
      <w:lvlText w:val="%2."/>
      <w:lvlJc w:val="left"/>
      <w:pPr>
        <w:ind w:left="2148" w:hanging="360"/>
      </w:pPr>
    </w:lvl>
    <w:lvl w:ilvl="2" w:tplc="0C0C001B" w:tentative="1">
      <w:start w:val="1"/>
      <w:numFmt w:val="lowerRoman"/>
      <w:lvlText w:val="%3."/>
      <w:lvlJc w:val="right"/>
      <w:pPr>
        <w:ind w:left="2868" w:hanging="180"/>
      </w:pPr>
    </w:lvl>
    <w:lvl w:ilvl="3" w:tplc="0C0C000F" w:tentative="1">
      <w:start w:val="1"/>
      <w:numFmt w:val="decimal"/>
      <w:lvlText w:val="%4."/>
      <w:lvlJc w:val="left"/>
      <w:pPr>
        <w:ind w:left="3588" w:hanging="360"/>
      </w:pPr>
    </w:lvl>
    <w:lvl w:ilvl="4" w:tplc="0C0C0019" w:tentative="1">
      <w:start w:val="1"/>
      <w:numFmt w:val="lowerLetter"/>
      <w:lvlText w:val="%5."/>
      <w:lvlJc w:val="left"/>
      <w:pPr>
        <w:ind w:left="4308" w:hanging="360"/>
      </w:pPr>
    </w:lvl>
    <w:lvl w:ilvl="5" w:tplc="0C0C001B" w:tentative="1">
      <w:start w:val="1"/>
      <w:numFmt w:val="lowerRoman"/>
      <w:lvlText w:val="%6."/>
      <w:lvlJc w:val="right"/>
      <w:pPr>
        <w:ind w:left="5028" w:hanging="180"/>
      </w:pPr>
    </w:lvl>
    <w:lvl w:ilvl="6" w:tplc="0C0C000F" w:tentative="1">
      <w:start w:val="1"/>
      <w:numFmt w:val="decimal"/>
      <w:lvlText w:val="%7."/>
      <w:lvlJc w:val="left"/>
      <w:pPr>
        <w:ind w:left="5748" w:hanging="360"/>
      </w:pPr>
    </w:lvl>
    <w:lvl w:ilvl="7" w:tplc="0C0C0019" w:tentative="1">
      <w:start w:val="1"/>
      <w:numFmt w:val="lowerLetter"/>
      <w:lvlText w:val="%8."/>
      <w:lvlJc w:val="left"/>
      <w:pPr>
        <w:ind w:left="6468" w:hanging="360"/>
      </w:pPr>
    </w:lvl>
    <w:lvl w:ilvl="8" w:tplc="0C0C001B" w:tentative="1">
      <w:start w:val="1"/>
      <w:numFmt w:val="lowerRoman"/>
      <w:lvlText w:val="%9."/>
      <w:lvlJc w:val="right"/>
      <w:pPr>
        <w:ind w:left="7188" w:hanging="180"/>
      </w:pPr>
    </w:lvl>
  </w:abstractNum>
  <w:abstractNum w:abstractNumId="9" w15:restartNumberingAfterBreak="0">
    <w:nsid w:val="29A30285"/>
    <w:multiLevelType w:val="hybridMultilevel"/>
    <w:tmpl w:val="B9E2C1C4"/>
    <w:lvl w:ilvl="0" w:tplc="0C0C0019">
      <w:start w:val="1"/>
      <w:numFmt w:val="lowerLetter"/>
      <w:lvlText w:val="%1."/>
      <w:lvlJc w:val="left"/>
      <w:pPr>
        <w:ind w:left="1428" w:hanging="360"/>
      </w:pPr>
    </w:lvl>
    <w:lvl w:ilvl="1" w:tplc="0C0C0019" w:tentative="1">
      <w:start w:val="1"/>
      <w:numFmt w:val="lowerLetter"/>
      <w:lvlText w:val="%2."/>
      <w:lvlJc w:val="left"/>
      <w:pPr>
        <w:ind w:left="2148" w:hanging="360"/>
      </w:pPr>
    </w:lvl>
    <w:lvl w:ilvl="2" w:tplc="0C0C001B" w:tentative="1">
      <w:start w:val="1"/>
      <w:numFmt w:val="lowerRoman"/>
      <w:lvlText w:val="%3."/>
      <w:lvlJc w:val="right"/>
      <w:pPr>
        <w:ind w:left="2868" w:hanging="180"/>
      </w:pPr>
    </w:lvl>
    <w:lvl w:ilvl="3" w:tplc="0C0C000F" w:tentative="1">
      <w:start w:val="1"/>
      <w:numFmt w:val="decimal"/>
      <w:lvlText w:val="%4."/>
      <w:lvlJc w:val="left"/>
      <w:pPr>
        <w:ind w:left="3588" w:hanging="360"/>
      </w:pPr>
    </w:lvl>
    <w:lvl w:ilvl="4" w:tplc="0C0C0019" w:tentative="1">
      <w:start w:val="1"/>
      <w:numFmt w:val="lowerLetter"/>
      <w:lvlText w:val="%5."/>
      <w:lvlJc w:val="left"/>
      <w:pPr>
        <w:ind w:left="4308" w:hanging="360"/>
      </w:pPr>
    </w:lvl>
    <w:lvl w:ilvl="5" w:tplc="0C0C001B" w:tentative="1">
      <w:start w:val="1"/>
      <w:numFmt w:val="lowerRoman"/>
      <w:lvlText w:val="%6."/>
      <w:lvlJc w:val="right"/>
      <w:pPr>
        <w:ind w:left="5028" w:hanging="180"/>
      </w:pPr>
    </w:lvl>
    <w:lvl w:ilvl="6" w:tplc="0C0C000F" w:tentative="1">
      <w:start w:val="1"/>
      <w:numFmt w:val="decimal"/>
      <w:lvlText w:val="%7."/>
      <w:lvlJc w:val="left"/>
      <w:pPr>
        <w:ind w:left="5748" w:hanging="360"/>
      </w:pPr>
    </w:lvl>
    <w:lvl w:ilvl="7" w:tplc="0C0C0019" w:tentative="1">
      <w:start w:val="1"/>
      <w:numFmt w:val="lowerLetter"/>
      <w:lvlText w:val="%8."/>
      <w:lvlJc w:val="left"/>
      <w:pPr>
        <w:ind w:left="6468" w:hanging="360"/>
      </w:pPr>
    </w:lvl>
    <w:lvl w:ilvl="8" w:tplc="0C0C001B" w:tentative="1">
      <w:start w:val="1"/>
      <w:numFmt w:val="lowerRoman"/>
      <w:lvlText w:val="%9."/>
      <w:lvlJc w:val="right"/>
      <w:pPr>
        <w:ind w:left="7188" w:hanging="180"/>
      </w:pPr>
    </w:lvl>
  </w:abstractNum>
  <w:abstractNum w:abstractNumId="10" w15:restartNumberingAfterBreak="0">
    <w:nsid w:val="2E8F4E27"/>
    <w:multiLevelType w:val="hybridMultilevel"/>
    <w:tmpl w:val="93A0D3E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353A3FB5"/>
    <w:multiLevelType w:val="hybridMultilevel"/>
    <w:tmpl w:val="5F2CAB34"/>
    <w:lvl w:ilvl="0" w:tplc="5498B57A">
      <w:start w:val="1"/>
      <w:numFmt w:val="decimal"/>
      <w:lvlText w:val="%1."/>
      <w:lvlJc w:val="left"/>
      <w:pPr>
        <w:ind w:left="1080" w:hanging="360"/>
      </w:pPr>
      <w:rPr>
        <w:rFonts w:hint="default"/>
      </w:rPr>
    </w:lvl>
    <w:lvl w:ilvl="1" w:tplc="0C0C0019" w:tentative="1">
      <w:start w:val="1"/>
      <w:numFmt w:val="lowerLetter"/>
      <w:lvlText w:val="%2."/>
      <w:lvlJc w:val="left"/>
      <w:pPr>
        <w:ind w:left="1800" w:hanging="360"/>
      </w:pPr>
    </w:lvl>
    <w:lvl w:ilvl="2" w:tplc="0C0C001B" w:tentative="1">
      <w:start w:val="1"/>
      <w:numFmt w:val="lowerRoman"/>
      <w:lvlText w:val="%3."/>
      <w:lvlJc w:val="right"/>
      <w:pPr>
        <w:ind w:left="2520" w:hanging="180"/>
      </w:pPr>
    </w:lvl>
    <w:lvl w:ilvl="3" w:tplc="0C0C000F" w:tentative="1">
      <w:start w:val="1"/>
      <w:numFmt w:val="decimal"/>
      <w:lvlText w:val="%4."/>
      <w:lvlJc w:val="left"/>
      <w:pPr>
        <w:ind w:left="3240" w:hanging="360"/>
      </w:pPr>
    </w:lvl>
    <w:lvl w:ilvl="4" w:tplc="0C0C0019" w:tentative="1">
      <w:start w:val="1"/>
      <w:numFmt w:val="lowerLetter"/>
      <w:lvlText w:val="%5."/>
      <w:lvlJc w:val="left"/>
      <w:pPr>
        <w:ind w:left="3960" w:hanging="360"/>
      </w:pPr>
    </w:lvl>
    <w:lvl w:ilvl="5" w:tplc="0C0C001B" w:tentative="1">
      <w:start w:val="1"/>
      <w:numFmt w:val="lowerRoman"/>
      <w:lvlText w:val="%6."/>
      <w:lvlJc w:val="right"/>
      <w:pPr>
        <w:ind w:left="4680" w:hanging="180"/>
      </w:pPr>
    </w:lvl>
    <w:lvl w:ilvl="6" w:tplc="0C0C000F" w:tentative="1">
      <w:start w:val="1"/>
      <w:numFmt w:val="decimal"/>
      <w:lvlText w:val="%7."/>
      <w:lvlJc w:val="left"/>
      <w:pPr>
        <w:ind w:left="5400" w:hanging="360"/>
      </w:pPr>
    </w:lvl>
    <w:lvl w:ilvl="7" w:tplc="0C0C0019" w:tentative="1">
      <w:start w:val="1"/>
      <w:numFmt w:val="lowerLetter"/>
      <w:lvlText w:val="%8."/>
      <w:lvlJc w:val="left"/>
      <w:pPr>
        <w:ind w:left="6120" w:hanging="360"/>
      </w:pPr>
    </w:lvl>
    <w:lvl w:ilvl="8" w:tplc="0C0C001B" w:tentative="1">
      <w:start w:val="1"/>
      <w:numFmt w:val="lowerRoman"/>
      <w:lvlText w:val="%9."/>
      <w:lvlJc w:val="right"/>
      <w:pPr>
        <w:ind w:left="6840" w:hanging="180"/>
      </w:pPr>
    </w:lvl>
  </w:abstractNum>
  <w:abstractNum w:abstractNumId="12" w15:restartNumberingAfterBreak="0">
    <w:nsid w:val="396D496F"/>
    <w:multiLevelType w:val="hybridMultilevel"/>
    <w:tmpl w:val="023ADCF2"/>
    <w:lvl w:ilvl="0" w:tplc="5498B57A">
      <w:start w:val="1"/>
      <w:numFmt w:val="decimal"/>
      <w:lvlText w:val="%1."/>
      <w:lvlJc w:val="left"/>
      <w:pPr>
        <w:ind w:left="1080" w:hanging="360"/>
      </w:pPr>
      <w:rPr>
        <w:rFonts w:hint="default"/>
      </w:rPr>
    </w:lvl>
    <w:lvl w:ilvl="1" w:tplc="0C0C0019" w:tentative="1">
      <w:start w:val="1"/>
      <w:numFmt w:val="lowerLetter"/>
      <w:lvlText w:val="%2."/>
      <w:lvlJc w:val="left"/>
      <w:pPr>
        <w:ind w:left="1800" w:hanging="360"/>
      </w:pPr>
    </w:lvl>
    <w:lvl w:ilvl="2" w:tplc="0C0C001B" w:tentative="1">
      <w:start w:val="1"/>
      <w:numFmt w:val="lowerRoman"/>
      <w:lvlText w:val="%3."/>
      <w:lvlJc w:val="right"/>
      <w:pPr>
        <w:ind w:left="2520" w:hanging="180"/>
      </w:pPr>
    </w:lvl>
    <w:lvl w:ilvl="3" w:tplc="0C0C000F" w:tentative="1">
      <w:start w:val="1"/>
      <w:numFmt w:val="decimal"/>
      <w:lvlText w:val="%4."/>
      <w:lvlJc w:val="left"/>
      <w:pPr>
        <w:ind w:left="3240" w:hanging="360"/>
      </w:pPr>
    </w:lvl>
    <w:lvl w:ilvl="4" w:tplc="0C0C0019" w:tentative="1">
      <w:start w:val="1"/>
      <w:numFmt w:val="lowerLetter"/>
      <w:lvlText w:val="%5."/>
      <w:lvlJc w:val="left"/>
      <w:pPr>
        <w:ind w:left="3960" w:hanging="360"/>
      </w:pPr>
    </w:lvl>
    <w:lvl w:ilvl="5" w:tplc="0C0C001B" w:tentative="1">
      <w:start w:val="1"/>
      <w:numFmt w:val="lowerRoman"/>
      <w:lvlText w:val="%6."/>
      <w:lvlJc w:val="right"/>
      <w:pPr>
        <w:ind w:left="4680" w:hanging="180"/>
      </w:pPr>
    </w:lvl>
    <w:lvl w:ilvl="6" w:tplc="0C0C000F" w:tentative="1">
      <w:start w:val="1"/>
      <w:numFmt w:val="decimal"/>
      <w:lvlText w:val="%7."/>
      <w:lvlJc w:val="left"/>
      <w:pPr>
        <w:ind w:left="5400" w:hanging="360"/>
      </w:pPr>
    </w:lvl>
    <w:lvl w:ilvl="7" w:tplc="0C0C0019" w:tentative="1">
      <w:start w:val="1"/>
      <w:numFmt w:val="lowerLetter"/>
      <w:lvlText w:val="%8."/>
      <w:lvlJc w:val="left"/>
      <w:pPr>
        <w:ind w:left="6120" w:hanging="360"/>
      </w:pPr>
    </w:lvl>
    <w:lvl w:ilvl="8" w:tplc="0C0C001B" w:tentative="1">
      <w:start w:val="1"/>
      <w:numFmt w:val="lowerRoman"/>
      <w:lvlText w:val="%9."/>
      <w:lvlJc w:val="right"/>
      <w:pPr>
        <w:ind w:left="6840" w:hanging="180"/>
      </w:pPr>
    </w:lvl>
  </w:abstractNum>
  <w:abstractNum w:abstractNumId="13" w15:restartNumberingAfterBreak="0">
    <w:nsid w:val="3B9E52AA"/>
    <w:multiLevelType w:val="hybridMultilevel"/>
    <w:tmpl w:val="08F4FE0A"/>
    <w:lvl w:ilvl="0" w:tplc="0C0C000F">
      <w:start w:val="1"/>
      <w:numFmt w:val="decimal"/>
      <w:lvlText w:val="%1."/>
      <w:lvlJc w:val="left"/>
      <w:pPr>
        <w:ind w:left="720" w:hanging="360"/>
      </w:pPr>
    </w:lvl>
    <w:lvl w:ilvl="1" w:tplc="0C0C0019" w:tentative="1">
      <w:start w:val="1"/>
      <w:numFmt w:val="lowerLetter"/>
      <w:lvlText w:val="%2."/>
      <w:lvlJc w:val="left"/>
      <w:pPr>
        <w:ind w:left="1440" w:hanging="360"/>
      </w:pPr>
    </w:lvl>
    <w:lvl w:ilvl="2" w:tplc="0C0C001B" w:tentative="1">
      <w:start w:val="1"/>
      <w:numFmt w:val="lowerRoman"/>
      <w:lvlText w:val="%3."/>
      <w:lvlJc w:val="right"/>
      <w:pPr>
        <w:ind w:left="2160" w:hanging="180"/>
      </w:pPr>
    </w:lvl>
    <w:lvl w:ilvl="3" w:tplc="0C0C000F" w:tentative="1">
      <w:start w:val="1"/>
      <w:numFmt w:val="decimal"/>
      <w:lvlText w:val="%4."/>
      <w:lvlJc w:val="left"/>
      <w:pPr>
        <w:ind w:left="2880" w:hanging="360"/>
      </w:pPr>
    </w:lvl>
    <w:lvl w:ilvl="4" w:tplc="0C0C0019" w:tentative="1">
      <w:start w:val="1"/>
      <w:numFmt w:val="lowerLetter"/>
      <w:lvlText w:val="%5."/>
      <w:lvlJc w:val="left"/>
      <w:pPr>
        <w:ind w:left="3600" w:hanging="360"/>
      </w:pPr>
    </w:lvl>
    <w:lvl w:ilvl="5" w:tplc="0C0C001B" w:tentative="1">
      <w:start w:val="1"/>
      <w:numFmt w:val="lowerRoman"/>
      <w:lvlText w:val="%6."/>
      <w:lvlJc w:val="right"/>
      <w:pPr>
        <w:ind w:left="4320" w:hanging="180"/>
      </w:pPr>
    </w:lvl>
    <w:lvl w:ilvl="6" w:tplc="0C0C000F" w:tentative="1">
      <w:start w:val="1"/>
      <w:numFmt w:val="decimal"/>
      <w:lvlText w:val="%7."/>
      <w:lvlJc w:val="left"/>
      <w:pPr>
        <w:ind w:left="5040" w:hanging="360"/>
      </w:pPr>
    </w:lvl>
    <w:lvl w:ilvl="7" w:tplc="0C0C0019" w:tentative="1">
      <w:start w:val="1"/>
      <w:numFmt w:val="lowerLetter"/>
      <w:lvlText w:val="%8."/>
      <w:lvlJc w:val="left"/>
      <w:pPr>
        <w:ind w:left="5760" w:hanging="360"/>
      </w:pPr>
    </w:lvl>
    <w:lvl w:ilvl="8" w:tplc="0C0C001B" w:tentative="1">
      <w:start w:val="1"/>
      <w:numFmt w:val="lowerRoman"/>
      <w:lvlText w:val="%9."/>
      <w:lvlJc w:val="right"/>
      <w:pPr>
        <w:ind w:left="6480" w:hanging="180"/>
      </w:pPr>
    </w:lvl>
  </w:abstractNum>
  <w:abstractNum w:abstractNumId="14" w15:restartNumberingAfterBreak="0">
    <w:nsid w:val="3D8C5DBD"/>
    <w:multiLevelType w:val="hybridMultilevel"/>
    <w:tmpl w:val="F0E4F884"/>
    <w:lvl w:ilvl="0" w:tplc="0C0C000F">
      <w:start w:val="1"/>
      <w:numFmt w:val="decimal"/>
      <w:lvlText w:val="%1."/>
      <w:lvlJc w:val="left"/>
      <w:pPr>
        <w:ind w:left="720" w:hanging="360"/>
      </w:pPr>
    </w:lvl>
    <w:lvl w:ilvl="1" w:tplc="0C0C0019" w:tentative="1">
      <w:start w:val="1"/>
      <w:numFmt w:val="lowerLetter"/>
      <w:lvlText w:val="%2."/>
      <w:lvlJc w:val="left"/>
      <w:pPr>
        <w:ind w:left="1440" w:hanging="360"/>
      </w:pPr>
    </w:lvl>
    <w:lvl w:ilvl="2" w:tplc="0C0C001B" w:tentative="1">
      <w:start w:val="1"/>
      <w:numFmt w:val="lowerRoman"/>
      <w:lvlText w:val="%3."/>
      <w:lvlJc w:val="right"/>
      <w:pPr>
        <w:ind w:left="2160" w:hanging="180"/>
      </w:pPr>
    </w:lvl>
    <w:lvl w:ilvl="3" w:tplc="0C0C000F" w:tentative="1">
      <w:start w:val="1"/>
      <w:numFmt w:val="decimal"/>
      <w:lvlText w:val="%4."/>
      <w:lvlJc w:val="left"/>
      <w:pPr>
        <w:ind w:left="2880" w:hanging="360"/>
      </w:pPr>
    </w:lvl>
    <w:lvl w:ilvl="4" w:tplc="0C0C0019" w:tentative="1">
      <w:start w:val="1"/>
      <w:numFmt w:val="lowerLetter"/>
      <w:lvlText w:val="%5."/>
      <w:lvlJc w:val="left"/>
      <w:pPr>
        <w:ind w:left="3600" w:hanging="360"/>
      </w:pPr>
    </w:lvl>
    <w:lvl w:ilvl="5" w:tplc="0C0C001B" w:tentative="1">
      <w:start w:val="1"/>
      <w:numFmt w:val="lowerRoman"/>
      <w:lvlText w:val="%6."/>
      <w:lvlJc w:val="right"/>
      <w:pPr>
        <w:ind w:left="4320" w:hanging="180"/>
      </w:pPr>
    </w:lvl>
    <w:lvl w:ilvl="6" w:tplc="0C0C000F" w:tentative="1">
      <w:start w:val="1"/>
      <w:numFmt w:val="decimal"/>
      <w:lvlText w:val="%7."/>
      <w:lvlJc w:val="left"/>
      <w:pPr>
        <w:ind w:left="5040" w:hanging="360"/>
      </w:pPr>
    </w:lvl>
    <w:lvl w:ilvl="7" w:tplc="0C0C0019" w:tentative="1">
      <w:start w:val="1"/>
      <w:numFmt w:val="lowerLetter"/>
      <w:lvlText w:val="%8."/>
      <w:lvlJc w:val="left"/>
      <w:pPr>
        <w:ind w:left="5760" w:hanging="360"/>
      </w:pPr>
    </w:lvl>
    <w:lvl w:ilvl="8" w:tplc="0C0C001B" w:tentative="1">
      <w:start w:val="1"/>
      <w:numFmt w:val="lowerRoman"/>
      <w:lvlText w:val="%9."/>
      <w:lvlJc w:val="right"/>
      <w:pPr>
        <w:ind w:left="6480" w:hanging="180"/>
      </w:pPr>
    </w:lvl>
  </w:abstractNum>
  <w:abstractNum w:abstractNumId="15" w15:restartNumberingAfterBreak="0">
    <w:nsid w:val="3E673C50"/>
    <w:multiLevelType w:val="hybridMultilevel"/>
    <w:tmpl w:val="BFDC11A6"/>
    <w:lvl w:ilvl="0" w:tplc="A1A606DE">
      <w:start w:val="1"/>
      <w:numFmt w:val="decimal"/>
      <w:lvlText w:val="%1."/>
      <w:lvlJc w:val="left"/>
      <w:pPr>
        <w:ind w:left="1776" w:hanging="360"/>
      </w:pPr>
      <w:rPr>
        <w:rFonts w:hint="default"/>
      </w:rPr>
    </w:lvl>
    <w:lvl w:ilvl="1" w:tplc="0C0C0019" w:tentative="1">
      <w:start w:val="1"/>
      <w:numFmt w:val="lowerLetter"/>
      <w:lvlText w:val="%2."/>
      <w:lvlJc w:val="left"/>
      <w:pPr>
        <w:ind w:left="2148" w:hanging="360"/>
      </w:pPr>
    </w:lvl>
    <w:lvl w:ilvl="2" w:tplc="0C0C001B" w:tentative="1">
      <w:start w:val="1"/>
      <w:numFmt w:val="lowerRoman"/>
      <w:lvlText w:val="%3."/>
      <w:lvlJc w:val="right"/>
      <w:pPr>
        <w:ind w:left="2868" w:hanging="180"/>
      </w:pPr>
    </w:lvl>
    <w:lvl w:ilvl="3" w:tplc="0C0C000F" w:tentative="1">
      <w:start w:val="1"/>
      <w:numFmt w:val="decimal"/>
      <w:lvlText w:val="%4."/>
      <w:lvlJc w:val="left"/>
      <w:pPr>
        <w:ind w:left="3588" w:hanging="360"/>
      </w:pPr>
    </w:lvl>
    <w:lvl w:ilvl="4" w:tplc="0C0C0019" w:tentative="1">
      <w:start w:val="1"/>
      <w:numFmt w:val="lowerLetter"/>
      <w:lvlText w:val="%5."/>
      <w:lvlJc w:val="left"/>
      <w:pPr>
        <w:ind w:left="4308" w:hanging="360"/>
      </w:pPr>
    </w:lvl>
    <w:lvl w:ilvl="5" w:tplc="0C0C001B" w:tentative="1">
      <w:start w:val="1"/>
      <w:numFmt w:val="lowerRoman"/>
      <w:lvlText w:val="%6."/>
      <w:lvlJc w:val="right"/>
      <w:pPr>
        <w:ind w:left="5028" w:hanging="180"/>
      </w:pPr>
    </w:lvl>
    <w:lvl w:ilvl="6" w:tplc="0C0C000F" w:tentative="1">
      <w:start w:val="1"/>
      <w:numFmt w:val="decimal"/>
      <w:lvlText w:val="%7."/>
      <w:lvlJc w:val="left"/>
      <w:pPr>
        <w:ind w:left="5748" w:hanging="360"/>
      </w:pPr>
    </w:lvl>
    <w:lvl w:ilvl="7" w:tplc="0C0C0019" w:tentative="1">
      <w:start w:val="1"/>
      <w:numFmt w:val="lowerLetter"/>
      <w:lvlText w:val="%8."/>
      <w:lvlJc w:val="left"/>
      <w:pPr>
        <w:ind w:left="6468" w:hanging="360"/>
      </w:pPr>
    </w:lvl>
    <w:lvl w:ilvl="8" w:tplc="0C0C001B" w:tentative="1">
      <w:start w:val="1"/>
      <w:numFmt w:val="lowerRoman"/>
      <w:lvlText w:val="%9."/>
      <w:lvlJc w:val="right"/>
      <w:pPr>
        <w:ind w:left="7188" w:hanging="180"/>
      </w:pPr>
    </w:lvl>
  </w:abstractNum>
  <w:abstractNum w:abstractNumId="16" w15:restartNumberingAfterBreak="0">
    <w:nsid w:val="48082A31"/>
    <w:multiLevelType w:val="hybridMultilevel"/>
    <w:tmpl w:val="A98A7C6E"/>
    <w:lvl w:ilvl="0" w:tplc="0C0C000F">
      <w:start w:val="1"/>
      <w:numFmt w:val="decimal"/>
      <w:lvlText w:val="%1."/>
      <w:lvlJc w:val="left"/>
      <w:pPr>
        <w:ind w:left="720" w:hanging="360"/>
      </w:pPr>
    </w:lvl>
    <w:lvl w:ilvl="1" w:tplc="0C0C0019" w:tentative="1">
      <w:start w:val="1"/>
      <w:numFmt w:val="lowerLetter"/>
      <w:lvlText w:val="%2."/>
      <w:lvlJc w:val="left"/>
      <w:pPr>
        <w:ind w:left="1440" w:hanging="360"/>
      </w:pPr>
    </w:lvl>
    <w:lvl w:ilvl="2" w:tplc="0C0C001B" w:tentative="1">
      <w:start w:val="1"/>
      <w:numFmt w:val="lowerRoman"/>
      <w:lvlText w:val="%3."/>
      <w:lvlJc w:val="right"/>
      <w:pPr>
        <w:ind w:left="2160" w:hanging="180"/>
      </w:pPr>
    </w:lvl>
    <w:lvl w:ilvl="3" w:tplc="0C0C000F" w:tentative="1">
      <w:start w:val="1"/>
      <w:numFmt w:val="decimal"/>
      <w:lvlText w:val="%4."/>
      <w:lvlJc w:val="left"/>
      <w:pPr>
        <w:ind w:left="2880" w:hanging="360"/>
      </w:pPr>
    </w:lvl>
    <w:lvl w:ilvl="4" w:tplc="0C0C0019" w:tentative="1">
      <w:start w:val="1"/>
      <w:numFmt w:val="lowerLetter"/>
      <w:lvlText w:val="%5."/>
      <w:lvlJc w:val="left"/>
      <w:pPr>
        <w:ind w:left="3600" w:hanging="360"/>
      </w:pPr>
    </w:lvl>
    <w:lvl w:ilvl="5" w:tplc="0C0C001B" w:tentative="1">
      <w:start w:val="1"/>
      <w:numFmt w:val="lowerRoman"/>
      <w:lvlText w:val="%6."/>
      <w:lvlJc w:val="right"/>
      <w:pPr>
        <w:ind w:left="4320" w:hanging="180"/>
      </w:pPr>
    </w:lvl>
    <w:lvl w:ilvl="6" w:tplc="0C0C000F" w:tentative="1">
      <w:start w:val="1"/>
      <w:numFmt w:val="decimal"/>
      <w:lvlText w:val="%7."/>
      <w:lvlJc w:val="left"/>
      <w:pPr>
        <w:ind w:left="5040" w:hanging="360"/>
      </w:pPr>
    </w:lvl>
    <w:lvl w:ilvl="7" w:tplc="0C0C0019" w:tentative="1">
      <w:start w:val="1"/>
      <w:numFmt w:val="lowerLetter"/>
      <w:lvlText w:val="%8."/>
      <w:lvlJc w:val="left"/>
      <w:pPr>
        <w:ind w:left="5760" w:hanging="360"/>
      </w:pPr>
    </w:lvl>
    <w:lvl w:ilvl="8" w:tplc="0C0C001B" w:tentative="1">
      <w:start w:val="1"/>
      <w:numFmt w:val="lowerRoman"/>
      <w:lvlText w:val="%9."/>
      <w:lvlJc w:val="right"/>
      <w:pPr>
        <w:ind w:left="6480" w:hanging="180"/>
      </w:pPr>
    </w:lvl>
  </w:abstractNum>
  <w:abstractNum w:abstractNumId="17" w15:restartNumberingAfterBreak="0">
    <w:nsid w:val="521D7367"/>
    <w:multiLevelType w:val="multilevel"/>
    <w:tmpl w:val="0F02440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15:restartNumberingAfterBreak="0">
    <w:nsid w:val="5A844ABF"/>
    <w:multiLevelType w:val="hybridMultilevel"/>
    <w:tmpl w:val="1BA60A56"/>
    <w:lvl w:ilvl="0" w:tplc="90580DAE">
      <w:start w:val="1"/>
      <w:numFmt w:val="decimal"/>
      <w:lvlText w:val="%1."/>
      <w:lvlJc w:val="left"/>
      <w:pPr>
        <w:ind w:left="1068" w:hanging="360"/>
      </w:pPr>
      <w:rPr>
        <w:rFonts w:hint="default"/>
      </w:rPr>
    </w:lvl>
    <w:lvl w:ilvl="1" w:tplc="0C0C0019" w:tentative="1">
      <w:start w:val="1"/>
      <w:numFmt w:val="lowerLetter"/>
      <w:lvlText w:val="%2."/>
      <w:lvlJc w:val="left"/>
      <w:pPr>
        <w:ind w:left="1788" w:hanging="360"/>
      </w:pPr>
    </w:lvl>
    <w:lvl w:ilvl="2" w:tplc="0C0C001B" w:tentative="1">
      <w:start w:val="1"/>
      <w:numFmt w:val="lowerRoman"/>
      <w:lvlText w:val="%3."/>
      <w:lvlJc w:val="right"/>
      <w:pPr>
        <w:ind w:left="2508" w:hanging="180"/>
      </w:pPr>
    </w:lvl>
    <w:lvl w:ilvl="3" w:tplc="0C0C000F" w:tentative="1">
      <w:start w:val="1"/>
      <w:numFmt w:val="decimal"/>
      <w:lvlText w:val="%4."/>
      <w:lvlJc w:val="left"/>
      <w:pPr>
        <w:ind w:left="3228" w:hanging="360"/>
      </w:pPr>
    </w:lvl>
    <w:lvl w:ilvl="4" w:tplc="0C0C0019" w:tentative="1">
      <w:start w:val="1"/>
      <w:numFmt w:val="lowerLetter"/>
      <w:lvlText w:val="%5."/>
      <w:lvlJc w:val="left"/>
      <w:pPr>
        <w:ind w:left="3948" w:hanging="360"/>
      </w:pPr>
    </w:lvl>
    <w:lvl w:ilvl="5" w:tplc="0C0C001B" w:tentative="1">
      <w:start w:val="1"/>
      <w:numFmt w:val="lowerRoman"/>
      <w:lvlText w:val="%6."/>
      <w:lvlJc w:val="right"/>
      <w:pPr>
        <w:ind w:left="4668" w:hanging="180"/>
      </w:pPr>
    </w:lvl>
    <w:lvl w:ilvl="6" w:tplc="0C0C000F" w:tentative="1">
      <w:start w:val="1"/>
      <w:numFmt w:val="decimal"/>
      <w:lvlText w:val="%7."/>
      <w:lvlJc w:val="left"/>
      <w:pPr>
        <w:ind w:left="5388" w:hanging="360"/>
      </w:pPr>
    </w:lvl>
    <w:lvl w:ilvl="7" w:tplc="0C0C0019" w:tentative="1">
      <w:start w:val="1"/>
      <w:numFmt w:val="lowerLetter"/>
      <w:lvlText w:val="%8."/>
      <w:lvlJc w:val="left"/>
      <w:pPr>
        <w:ind w:left="6108" w:hanging="360"/>
      </w:pPr>
    </w:lvl>
    <w:lvl w:ilvl="8" w:tplc="0C0C001B" w:tentative="1">
      <w:start w:val="1"/>
      <w:numFmt w:val="lowerRoman"/>
      <w:lvlText w:val="%9."/>
      <w:lvlJc w:val="right"/>
      <w:pPr>
        <w:ind w:left="6828" w:hanging="180"/>
      </w:pPr>
    </w:lvl>
  </w:abstractNum>
  <w:abstractNum w:abstractNumId="19" w15:restartNumberingAfterBreak="0">
    <w:nsid w:val="5CC06DA2"/>
    <w:multiLevelType w:val="hybridMultilevel"/>
    <w:tmpl w:val="5D9CAF54"/>
    <w:lvl w:ilvl="0" w:tplc="0C0C000F">
      <w:start w:val="1"/>
      <w:numFmt w:val="decimal"/>
      <w:lvlText w:val="%1."/>
      <w:lvlJc w:val="left"/>
      <w:pPr>
        <w:ind w:left="1428" w:hanging="360"/>
      </w:pPr>
    </w:lvl>
    <w:lvl w:ilvl="1" w:tplc="0C0C0019" w:tentative="1">
      <w:start w:val="1"/>
      <w:numFmt w:val="lowerLetter"/>
      <w:lvlText w:val="%2."/>
      <w:lvlJc w:val="left"/>
      <w:pPr>
        <w:ind w:left="2148" w:hanging="360"/>
      </w:pPr>
    </w:lvl>
    <w:lvl w:ilvl="2" w:tplc="0C0C001B" w:tentative="1">
      <w:start w:val="1"/>
      <w:numFmt w:val="lowerRoman"/>
      <w:lvlText w:val="%3."/>
      <w:lvlJc w:val="right"/>
      <w:pPr>
        <w:ind w:left="2868" w:hanging="180"/>
      </w:pPr>
    </w:lvl>
    <w:lvl w:ilvl="3" w:tplc="0C0C000F" w:tentative="1">
      <w:start w:val="1"/>
      <w:numFmt w:val="decimal"/>
      <w:lvlText w:val="%4."/>
      <w:lvlJc w:val="left"/>
      <w:pPr>
        <w:ind w:left="3588" w:hanging="360"/>
      </w:pPr>
    </w:lvl>
    <w:lvl w:ilvl="4" w:tplc="0C0C0019" w:tentative="1">
      <w:start w:val="1"/>
      <w:numFmt w:val="lowerLetter"/>
      <w:lvlText w:val="%5."/>
      <w:lvlJc w:val="left"/>
      <w:pPr>
        <w:ind w:left="4308" w:hanging="360"/>
      </w:pPr>
    </w:lvl>
    <w:lvl w:ilvl="5" w:tplc="0C0C001B" w:tentative="1">
      <w:start w:val="1"/>
      <w:numFmt w:val="lowerRoman"/>
      <w:lvlText w:val="%6."/>
      <w:lvlJc w:val="right"/>
      <w:pPr>
        <w:ind w:left="5028" w:hanging="180"/>
      </w:pPr>
    </w:lvl>
    <w:lvl w:ilvl="6" w:tplc="0C0C000F" w:tentative="1">
      <w:start w:val="1"/>
      <w:numFmt w:val="decimal"/>
      <w:lvlText w:val="%7."/>
      <w:lvlJc w:val="left"/>
      <w:pPr>
        <w:ind w:left="5748" w:hanging="360"/>
      </w:pPr>
    </w:lvl>
    <w:lvl w:ilvl="7" w:tplc="0C0C0019" w:tentative="1">
      <w:start w:val="1"/>
      <w:numFmt w:val="lowerLetter"/>
      <w:lvlText w:val="%8."/>
      <w:lvlJc w:val="left"/>
      <w:pPr>
        <w:ind w:left="6468" w:hanging="360"/>
      </w:pPr>
    </w:lvl>
    <w:lvl w:ilvl="8" w:tplc="0C0C001B" w:tentative="1">
      <w:start w:val="1"/>
      <w:numFmt w:val="lowerRoman"/>
      <w:lvlText w:val="%9."/>
      <w:lvlJc w:val="right"/>
      <w:pPr>
        <w:ind w:left="7188" w:hanging="180"/>
      </w:pPr>
    </w:lvl>
  </w:abstractNum>
  <w:abstractNum w:abstractNumId="20" w15:restartNumberingAfterBreak="0">
    <w:nsid w:val="64F727E9"/>
    <w:multiLevelType w:val="hybridMultilevel"/>
    <w:tmpl w:val="96F6E488"/>
    <w:lvl w:ilvl="0" w:tplc="0C0C000F">
      <w:start w:val="1"/>
      <w:numFmt w:val="decimal"/>
      <w:lvlText w:val="%1."/>
      <w:lvlJc w:val="left"/>
      <w:pPr>
        <w:ind w:left="1428" w:hanging="360"/>
      </w:pPr>
    </w:lvl>
    <w:lvl w:ilvl="1" w:tplc="0C0C0019" w:tentative="1">
      <w:start w:val="1"/>
      <w:numFmt w:val="lowerLetter"/>
      <w:lvlText w:val="%2."/>
      <w:lvlJc w:val="left"/>
      <w:pPr>
        <w:ind w:left="2148" w:hanging="360"/>
      </w:pPr>
    </w:lvl>
    <w:lvl w:ilvl="2" w:tplc="0C0C001B" w:tentative="1">
      <w:start w:val="1"/>
      <w:numFmt w:val="lowerRoman"/>
      <w:lvlText w:val="%3."/>
      <w:lvlJc w:val="right"/>
      <w:pPr>
        <w:ind w:left="2868" w:hanging="180"/>
      </w:pPr>
    </w:lvl>
    <w:lvl w:ilvl="3" w:tplc="0C0C000F" w:tentative="1">
      <w:start w:val="1"/>
      <w:numFmt w:val="decimal"/>
      <w:lvlText w:val="%4."/>
      <w:lvlJc w:val="left"/>
      <w:pPr>
        <w:ind w:left="3588" w:hanging="360"/>
      </w:pPr>
    </w:lvl>
    <w:lvl w:ilvl="4" w:tplc="0C0C0019" w:tentative="1">
      <w:start w:val="1"/>
      <w:numFmt w:val="lowerLetter"/>
      <w:lvlText w:val="%5."/>
      <w:lvlJc w:val="left"/>
      <w:pPr>
        <w:ind w:left="4308" w:hanging="360"/>
      </w:pPr>
    </w:lvl>
    <w:lvl w:ilvl="5" w:tplc="0C0C001B" w:tentative="1">
      <w:start w:val="1"/>
      <w:numFmt w:val="lowerRoman"/>
      <w:lvlText w:val="%6."/>
      <w:lvlJc w:val="right"/>
      <w:pPr>
        <w:ind w:left="5028" w:hanging="180"/>
      </w:pPr>
    </w:lvl>
    <w:lvl w:ilvl="6" w:tplc="0C0C000F" w:tentative="1">
      <w:start w:val="1"/>
      <w:numFmt w:val="decimal"/>
      <w:lvlText w:val="%7."/>
      <w:lvlJc w:val="left"/>
      <w:pPr>
        <w:ind w:left="5748" w:hanging="360"/>
      </w:pPr>
    </w:lvl>
    <w:lvl w:ilvl="7" w:tplc="0C0C0019" w:tentative="1">
      <w:start w:val="1"/>
      <w:numFmt w:val="lowerLetter"/>
      <w:lvlText w:val="%8."/>
      <w:lvlJc w:val="left"/>
      <w:pPr>
        <w:ind w:left="6468" w:hanging="360"/>
      </w:pPr>
    </w:lvl>
    <w:lvl w:ilvl="8" w:tplc="0C0C001B" w:tentative="1">
      <w:start w:val="1"/>
      <w:numFmt w:val="lowerRoman"/>
      <w:lvlText w:val="%9."/>
      <w:lvlJc w:val="right"/>
      <w:pPr>
        <w:ind w:left="7188" w:hanging="180"/>
      </w:pPr>
    </w:lvl>
  </w:abstractNum>
  <w:abstractNum w:abstractNumId="21" w15:restartNumberingAfterBreak="0">
    <w:nsid w:val="70750DCA"/>
    <w:multiLevelType w:val="hybridMultilevel"/>
    <w:tmpl w:val="309C27B4"/>
    <w:lvl w:ilvl="0" w:tplc="0C0C000F">
      <w:start w:val="1"/>
      <w:numFmt w:val="decimal"/>
      <w:lvlText w:val="%1."/>
      <w:lvlJc w:val="left"/>
      <w:pPr>
        <w:ind w:left="1428" w:hanging="360"/>
      </w:pPr>
    </w:lvl>
    <w:lvl w:ilvl="1" w:tplc="0C0C0019">
      <w:start w:val="1"/>
      <w:numFmt w:val="lowerLetter"/>
      <w:lvlText w:val="%2."/>
      <w:lvlJc w:val="left"/>
      <w:pPr>
        <w:ind w:left="2148" w:hanging="360"/>
      </w:pPr>
    </w:lvl>
    <w:lvl w:ilvl="2" w:tplc="0C0C001B" w:tentative="1">
      <w:start w:val="1"/>
      <w:numFmt w:val="lowerRoman"/>
      <w:lvlText w:val="%3."/>
      <w:lvlJc w:val="right"/>
      <w:pPr>
        <w:ind w:left="2868" w:hanging="180"/>
      </w:pPr>
    </w:lvl>
    <w:lvl w:ilvl="3" w:tplc="0C0C000F" w:tentative="1">
      <w:start w:val="1"/>
      <w:numFmt w:val="decimal"/>
      <w:lvlText w:val="%4."/>
      <w:lvlJc w:val="left"/>
      <w:pPr>
        <w:ind w:left="3588" w:hanging="360"/>
      </w:pPr>
    </w:lvl>
    <w:lvl w:ilvl="4" w:tplc="0C0C0019" w:tentative="1">
      <w:start w:val="1"/>
      <w:numFmt w:val="lowerLetter"/>
      <w:lvlText w:val="%5."/>
      <w:lvlJc w:val="left"/>
      <w:pPr>
        <w:ind w:left="4308" w:hanging="360"/>
      </w:pPr>
    </w:lvl>
    <w:lvl w:ilvl="5" w:tplc="0C0C001B" w:tentative="1">
      <w:start w:val="1"/>
      <w:numFmt w:val="lowerRoman"/>
      <w:lvlText w:val="%6."/>
      <w:lvlJc w:val="right"/>
      <w:pPr>
        <w:ind w:left="5028" w:hanging="180"/>
      </w:pPr>
    </w:lvl>
    <w:lvl w:ilvl="6" w:tplc="0C0C000F" w:tentative="1">
      <w:start w:val="1"/>
      <w:numFmt w:val="decimal"/>
      <w:lvlText w:val="%7."/>
      <w:lvlJc w:val="left"/>
      <w:pPr>
        <w:ind w:left="5748" w:hanging="360"/>
      </w:pPr>
    </w:lvl>
    <w:lvl w:ilvl="7" w:tplc="0C0C0019" w:tentative="1">
      <w:start w:val="1"/>
      <w:numFmt w:val="lowerLetter"/>
      <w:lvlText w:val="%8."/>
      <w:lvlJc w:val="left"/>
      <w:pPr>
        <w:ind w:left="6468" w:hanging="360"/>
      </w:pPr>
    </w:lvl>
    <w:lvl w:ilvl="8" w:tplc="0C0C001B" w:tentative="1">
      <w:start w:val="1"/>
      <w:numFmt w:val="lowerRoman"/>
      <w:lvlText w:val="%9."/>
      <w:lvlJc w:val="right"/>
      <w:pPr>
        <w:ind w:left="7188" w:hanging="180"/>
      </w:pPr>
    </w:lvl>
  </w:abstractNum>
  <w:abstractNum w:abstractNumId="22" w15:restartNumberingAfterBreak="0">
    <w:nsid w:val="71F77049"/>
    <w:multiLevelType w:val="hybridMultilevel"/>
    <w:tmpl w:val="B9E2C1C4"/>
    <w:lvl w:ilvl="0" w:tplc="0C0C0019">
      <w:start w:val="1"/>
      <w:numFmt w:val="lowerLetter"/>
      <w:lvlText w:val="%1."/>
      <w:lvlJc w:val="left"/>
      <w:pPr>
        <w:ind w:left="1428" w:hanging="360"/>
      </w:pPr>
    </w:lvl>
    <w:lvl w:ilvl="1" w:tplc="0C0C0019" w:tentative="1">
      <w:start w:val="1"/>
      <w:numFmt w:val="lowerLetter"/>
      <w:lvlText w:val="%2."/>
      <w:lvlJc w:val="left"/>
      <w:pPr>
        <w:ind w:left="2148" w:hanging="360"/>
      </w:pPr>
    </w:lvl>
    <w:lvl w:ilvl="2" w:tplc="0C0C001B" w:tentative="1">
      <w:start w:val="1"/>
      <w:numFmt w:val="lowerRoman"/>
      <w:lvlText w:val="%3."/>
      <w:lvlJc w:val="right"/>
      <w:pPr>
        <w:ind w:left="2868" w:hanging="180"/>
      </w:pPr>
    </w:lvl>
    <w:lvl w:ilvl="3" w:tplc="0C0C000F" w:tentative="1">
      <w:start w:val="1"/>
      <w:numFmt w:val="decimal"/>
      <w:lvlText w:val="%4."/>
      <w:lvlJc w:val="left"/>
      <w:pPr>
        <w:ind w:left="3588" w:hanging="360"/>
      </w:pPr>
    </w:lvl>
    <w:lvl w:ilvl="4" w:tplc="0C0C0019" w:tentative="1">
      <w:start w:val="1"/>
      <w:numFmt w:val="lowerLetter"/>
      <w:lvlText w:val="%5."/>
      <w:lvlJc w:val="left"/>
      <w:pPr>
        <w:ind w:left="4308" w:hanging="360"/>
      </w:pPr>
    </w:lvl>
    <w:lvl w:ilvl="5" w:tplc="0C0C001B" w:tentative="1">
      <w:start w:val="1"/>
      <w:numFmt w:val="lowerRoman"/>
      <w:lvlText w:val="%6."/>
      <w:lvlJc w:val="right"/>
      <w:pPr>
        <w:ind w:left="5028" w:hanging="180"/>
      </w:pPr>
    </w:lvl>
    <w:lvl w:ilvl="6" w:tplc="0C0C000F" w:tentative="1">
      <w:start w:val="1"/>
      <w:numFmt w:val="decimal"/>
      <w:lvlText w:val="%7."/>
      <w:lvlJc w:val="left"/>
      <w:pPr>
        <w:ind w:left="5748" w:hanging="360"/>
      </w:pPr>
    </w:lvl>
    <w:lvl w:ilvl="7" w:tplc="0C0C0019" w:tentative="1">
      <w:start w:val="1"/>
      <w:numFmt w:val="lowerLetter"/>
      <w:lvlText w:val="%8."/>
      <w:lvlJc w:val="left"/>
      <w:pPr>
        <w:ind w:left="6468" w:hanging="360"/>
      </w:pPr>
    </w:lvl>
    <w:lvl w:ilvl="8" w:tplc="0C0C001B" w:tentative="1">
      <w:start w:val="1"/>
      <w:numFmt w:val="lowerRoman"/>
      <w:lvlText w:val="%9."/>
      <w:lvlJc w:val="right"/>
      <w:pPr>
        <w:ind w:left="7188" w:hanging="180"/>
      </w:pPr>
    </w:lvl>
  </w:abstractNum>
  <w:abstractNum w:abstractNumId="23" w15:restartNumberingAfterBreak="0">
    <w:nsid w:val="764037A6"/>
    <w:multiLevelType w:val="hybridMultilevel"/>
    <w:tmpl w:val="461E39B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79283A66"/>
    <w:multiLevelType w:val="multilevel"/>
    <w:tmpl w:val="2068B4B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 w15:restartNumberingAfterBreak="0">
    <w:nsid w:val="79883ADE"/>
    <w:multiLevelType w:val="hybridMultilevel"/>
    <w:tmpl w:val="CF14BFE2"/>
    <w:lvl w:ilvl="0" w:tplc="A1A606DE">
      <w:start w:val="1"/>
      <w:numFmt w:val="decimal"/>
      <w:lvlText w:val="%1."/>
      <w:lvlJc w:val="left"/>
      <w:pPr>
        <w:ind w:left="1068" w:hanging="360"/>
      </w:pPr>
      <w:rPr>
        <w:rFonts w:hint="default"/>
      </w:rPr>
    </w:lvl>
    <w:lvl w:ilvl="1" w:tplc="0C0C0019" w:tentative="1">
      <w:start w:val="1"/>
      <w:numFmt w:val="lowerLetter"/>
      <w:lvlText w:val="%2."/>
      <w:lvlJc w:val="left"/>
      <w:pPr>
        <w:ind w:left="1788" w:hanging="360"/>
      </w:pPr>
    </w:lvl>
    <w:lvl w:ilvl="2" w:tplc="0C0C001B" w:tentative="1">
      <w:start w:val="1"/>
      <w:numFmt w:val="lowerRoman"/>
      <w:lvlText w:val="%3."/>
      <w:lvlJc w:val="right"/>
      <w:pPr>
        <w:ind w:left="2508" w:hanging="180"/>
      </w:pPr>
    </w:lvl>
    <w:lvl w:ilvl="3" w:tplc="0C0C000F" w:tentative="1">
      <w:start w:val="1"/>
      <w:numFmt w:val="decimal"/>
      <w:lvlText w:val="%4."/>
      <w:lvlJc w:val="left"/>
      <w:pPr>
        <w:ind w:left="3228" w:hanging="360"/>
      </w:pPr>
    </w:lvl>
    <w:lvl w:ilvl="4" w:tplc="0C0C0019" w:tentative="1">
      <w:start w:val="1"/>
      <w:numFmt w:val="lowerLetter"/>
      <w:lvlText w:val="%5."/>
      <w:lvlJc w:val="left"/>
      <w:pPr>
        <w:ind w:left="3948" w:hanging="360"/>
      </w:pPr>
    </w:lvl>
    <w:lvl w:ilvl="5" w:tplc="0C0C001B" w:tentative="1">
      <w:start w:val="1"/>
      <w:numFmt w:val="lowerRoman"/>
      <w:lvlText w:val="%6."/>
      <w:lvlJc w:val="right"/>
      <w:pPr>
        <w:ind w:left="4668" w:hanging="180"/>
      </w:pPr>
    </w:lvl>
    <w:lvl w:ilvl="6" w:tplc="0C0C000F" w:tentative="1">
      <w:start w:val="1"/>
      <w:numFmt w:val="decimal"/>
      <w:lvlText w:val="%7."/>
      <w:lvlJc w:val="left"/>
      <w:pPr>
        <w:ind w:left="5388" w:hanging="360"/>
      </w:pPr>
    </w:lvl>
    <w:lvl w:ilvl="7" w:tplc="0C0C0019" w:tentative="1">
      <w:start w:val="1"/>
      <w:numFmt w:val="lowerLetter"/>
      <w:lvlText w:val="%8."/>
      <w:lvlJc w:val="left"/>
      <w:pPr>
        <w:ind w:left="6108" w:hanging="360"/>
      </w:pPr>
    </w:lvl>
    <w:lvl w:ilvl="8" w:tplc="0C0C001B" w:tentative="1">
      <w:start w:val="1"/>
      <w:numFmt w:val="lowerRoman"/>
      <w:lvlText w:val="%9."/>
      <w:lvlJc w:val="right"/>
      <w:pPr>
        <w:ind w:left="6828" w:hanging="180"/>
      </w:pPr>
    </w:lvl>
  </w:abstractNum>
  <w:abstractNum w:abstractNumId="26" w15:restartNumberingAfterBreak="0">
    <w:nsid w:val="7E0A2B38"/>
    <w:multiLevelType w:val="hybridMultilevel"/>
    <w:tmpl w:val="FB5449FA"/>
    <w:lvl w:ilvl="0" w:tplc="0C0C000F">
      <w:start w:val="1"/>
      <w:numFmt w:val="decimal"/>
      <w:lvlText w:val="%1."/>
      <w:lvlJc w:val="left"/>
      <w:pPr>
        <w:ind w:left="1080" w:hanging="360"/>
      </w:pPr>
    </w:lvl>
    <w:lvl w:ilvl="1" w:tplc="0C0C0019">
      <w:start w:val="1"/>
      <w:numFmt w:val="lowerLetter"/>
      <w:lvlText w:val="%2."/>
      <w:lvlJc w:val="left"/>
      <w:pPr>
        <w:ind w:left="1800" w:hanging="360"/>
      </w:pPr>
    </w:lvl>
    <w:lvl w:ilvl="2" w:tplc="0C0C001B" w:tentative="1">
      <w:start w:val="1"/>
      <w:numFmt w:val="lowerRoman"/>
      <w:lvlText w:val="%3."/>
      <w:lvlJc w:val="right"/>
      <w:pPr>
        <w:ind w:left="2520" w:hanging="180"/>
      </w:pPr>
    </w:lvl>
    <w:lvl w:ilvl="3" w:tplc="0C0C000F" w:tentative="1">
      <w:start w:val="1"/>
      <w:numFmt w:val="decimal"/>
      <w:lvlText w:val="%4."/>
      <w:lvlJc w:val="left"/>
      <w:pPr>
        <w:ind w:left="3240" w:hanging="360"/>
      </w:pPr>
    </w:lvl>
    <w:lvl w:ilvl="4" w:tplc="0C0C0019" w:tentative="1">
      <w:start w:val="1"/>
      <w:numFmt w:val="lowerLetter"/>
      <w:lvlText w:val="%5."/>
      <w:lvlJc w:val="left"/>
      <w:pPr>
        <w:ind w:left="3960" w:hanging="360"/>
      </w:pPr>
    </w:lvl>
    <w:lvl w:ilvl="5" w:tplc="0C0C001B" w:tentative="1">
      <w:start w:val="1"/>
      <w:numFmt w:val="lowerRoman"/>
      <w:lvlText w:val="%6."/>
      <w:lvlJc w:val="right"/>
      <w:pPr>
        <w:ind w:left="4680" w:hanging="180"/>
      </w:pPr>
    </w:lvl>
    <w:lvl w:ilvl="6" w:tplc="0C0C000F" w:tentative="1">
      <w:start w:val="1"/>
      <w:numFmt w:val="decimal"/>
      <w:lvlText w:val="%7."/>
      <w:lvlJc w:val="left"/>
      <w:pPr>
        <w:ind w:left="5400" w:hanging="360"/>
      </w:pPr>
    </w:lvl>
    <w:lvl w:ilvl="7" w:tplc="0C0C0019" w:tentative="1">
      <w:start w:val="1"/>
      <w:numFmt w:val="lowerLetter"/>
      <w:lvlText w:val="%8."/>
      <w:lvlJc w:val="left"/>
      <w:pPr>
        <w:ind w:left="6120" w:hanging="360"/>
      </w:pPr>
    </w:lvl>
    <w:lvl w:ilvl="8" w:tplc="0C0C001B" w:tentative="1">
      <w:start w:val="1"/>
      <w:numFmt w:val="lowerRoman"/>
      <w:lvlText w:val="%9."/>
      <w:lvlJc w:val="right"/>
      <w:pPr>
        <w:ind w:left="6840" w:hanging="180"/>
      </w:pPr>
    </w:lvl>
  </w:abstractNum>
  <w:num w:numId="1">
    <w:abstractNumId w:val="14"/>
  </w:num>
  <w:num w:numId="2">
    <w:abstractNumId w:val="13"/>
  </w:num>
  <w:num w:numId="3">
    <w:abstractNumId w:val="0"/>
  </w:num>
  <w:num w:numId="4">
    <w:abstractNumId w:val="26"/>
  </w:num>
  <w:num w:numId="5">
    <w:abstractNumId w:val="6"/>
  </w:num>
  <w:num w:numId="6">
    <w:abstractNumId w:val="12"/>
  </w:num>
  <w:num w:numId="7">
    <w:abstractNumId w:val="3"/>
  </w:num>
  <w:num w:numId="8">
    <w:abstractNumId w:val="9"/>
  </w:num>
  <w:num w:numId="9">
    <w:abstractNumId w:val="4"/>
  </w:num>
  <w:num w:numId="10">
    <w:abstractNumId w:val="8"/>
  </w:num>
  <w:num w:numId="11">
    <w:abstractNumId w:val="22"/>
  </w:num>
  <w:num w:numId="12">
    <w:abstractNumId w:val="11"/>
  </w:num>
  <w:num w:numId="13">
    <w:abstractNumId w:val="25"/>
  </w:num>
  <w:num w:numId="14">
    <w:abstractNumId w:val="15"/>
  </w:num>
  <w:num w:numId="15">
    <w:abstractNumId w:val="1"/>
  </w:num>
  <w:num w:numId="16">
    <w:abstractNumId w:val="10"/>
  </w:num>
  <w:num w:numId="17">
    <w:abstractNumId w:val="2"/>
  </w:num>
  <w:num w:numId="18">
    <w:abstractNumId w:val="21"/>
  </w:num>
  <w:num w:numId="19">
    <w:abstractNumId w:val="19"/>
  </w:num>
  <w:num w:numId="20">
    <w:abstractNumId w:val="20"/>
  </w:num>
  <w:num w:numId="21">
    <w:abstractNumId w:val="7"/>
  </w:num>
  <w:num w:numId="22">
    <w:abstractNumId w:val="18"/>
  </w:num>
  <w:num w:numId="23">
    <w:abstractNumId w:val="23"/>
  </w:num>
  <w:num w:numId="24">
    <w:abstractNumId w:val="17"/>
  </w:num>
  <w:num w:numId="25">
    <w:abstractNumId w:val="24"/>
  </w:num>
  <w:num w:numId="26">
    <w:abstractNumId w:val="16"/>
  </w:num>
  <w:num w:numId="27">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351CB"/>
    <w:rsid w:val="00000AAA"/>
    <w:rsid w:val="00003BC1"/>
    <w:rsid w:val="00005A0B"/>
    <w:rsid w:val="00006885"/>
    <w:rsid w:val="00011B4C"/>
    <w:rsid w:val="00012172"/>
    <w:rsid w:val="00015CF6"/>
    <w:rsid w:val="000175A1"/>
    <w:rsid w:val="00026235"/>
    <w:rsid w:val="000262DA"/>
    <w:rsid w:val="00037578"/>
    <w:rsid w:val="000455B6"/>
    <w:rsid w:val="000460C5"/>
    <w:rsid w:val="00047EF5"/>
    <w:rsid w:val="0005043D"/>
    <w:rsid w:val="00050F9B"/>
    <w:rsid w:val="00054579"/>
    <w:rsid w:val="0005474D"/>
    <w:rsid w:val="0006239F"/>
    <w:rsid w:val="00062CF6"/>
    <w:rsid w:val="000657B1"/>
    <w:rsid w:val="00070A2A"/>
    <w:rsid w:val="000742C4"/>
    <w:rsid w:val="00074D46"/>
    <w:rsid w:val="00075B1A"/>
    <w:rsid w:val="000767B5"/>
    <w:rsid w:val="00077FDF"/>
    <w:rsid w:val="000865EC"/>
    <w:rsid w:val="00093503"/>
    <w:rsid w:val="000962D6"/>
    <w:rsid w:val="000A4FA5"/>
    <w:rsid w:val="000A5E5F"/>
    <w:rsid w:val="000A6054"/>
    <w:rsid w:val="000A6EDD"/>
    <w:rsid w:val="000B15A8"/>
    <w:rsid w:val="000B2E5C"/>
    <w:rsid w:val="000B70A8"/>
    <w:rsid w:val="000B7C4D"/>
    <w:rsid w:val="000B7D6C"/>
    <w:rsid w:val="000C0C0C"/>
    <w:rsid w:val="000C6F66"/>
    <w:rsid w:val="000D41B2"/>
    <w:rsid w:val="000E3151"/>
    <w:rsid w:val="000E3BDF"/>
    <w:rsid w:val="000E6C77"/>
    <w:rsid w:val="000F6D19"/>
    <w:rsid w:val="001057C4"/>
    <w:rsid w:val="00106B5E"/>
    <w:rsid w:val="001102BC"/>
    <w:rsid w:val="00110A0C"/>
    <w:rsid w:val="00115B37"/>
    <w:rsid w:val="00116857"/>
    <w:rsid w:val="001170A3"/>
    <w:rsid w:val="001232B6"/>
    <w:rsid w:val="0013005A"/>
    <w:rsid w:val="001350CB"/>
    <w:rsid w:val="001372E8"/>
    <w:rsid w:val="00141BA9"/>
    <w:rsid w:val="00141F71"/>
    <w:rsid w:val="0014328D"/>
    <w:rsid w:val="00145045"/>
    <w:rsid w:val="00147121"/>
    <w:rsid w:val="00164D02"/>
    <w:rsid w:val="00166A09"/>
    <w:rsid w:val="00167020"/>
    <w:rsid w:val="00170E0C"/>
    <w:rsid w:val="00171618"/>
    <w:rsid w:val="00173827"/>
    <w:rsid w:val="00176341"/>
    <w:rsid w:val="00180792"/>
    <w:rsid w:val="001844A5"/>
    <w:rsid w:val="00184D01"/>
    <w:rsid w:val="001905B0"/>
    <w:rsid w:val="00193AC1"/>
    <w:rsid w:val="00194899"/>
    <w:rsid w:val="00195804"/>
    <w:rsid w:val="00196EAB"/>
    <w:rsid w:val="001A118A"/>
    <w:rsid w:val="001A1B22"/>
    <w:rsid w:val="001A29A4"/>
    <w:rsid w:val="001A39E1"/>
    <w:rsid w:val="001A3AD4"/>
    <w:rsid w:val="001A6A3F"/>
    <w:rsid w:val="001B0550"/>
    <w:rsid w:val="001B17FA"/>
    <w:rsid w:val="001B1A96"/>
    <w:rsid w:val="001B2638"/>
    <w:rsid w:val="001B2B75"/>
    <w:rsid w:val="001B3617"/>
    <w:rsid w:val="001B55D7"/>
    <w:rsid w:val="001C3438"/>
    <w:rsid w:val="001C404B"/>
    <w:rsid w:val="001C5EAF"/>
    <w:rsid w:val="001C60D3"/>
    <w:rsid w:val="001C7949"/>
    <w:rsid w:val="001D0846"/>
    <w:rsid w:val="001D12AB"/>
    <w:rsid w:val="001D1E83"/>
    <w:rsid w:val="001D2475"/>
    <w:rsid w:val="001D2CD1"/>
    <w:rsid w:val="001D3CA7"/>
    <w:rsid w:val="001D52C8"/>
    <w:rsid w:val="001D63DD"/>
    <w:rsid w:val="001E3BD5"/>
    <w:rsid w:val="001F00A6"/>
    <w:rsid w:val="001F213D"/>
    <w:rsid w:val="001F4057"/>
    <w:rsid w:val="001F4E8D"/>
    <w:rsid w:val="001F5A4E"/>
    <w:rsid w:val="002060E4"/>
    <w:rsid w:val="00206180"/>
    <w:rsid w:val="00206264"/>
    <w:rsid w:val="00210A36"/>
    <w:rsid w:val="00210BE2"/>
    <w:rsid w:val="00210F20"/>
    <w:rsid w:val="00213988"/>
    <w:rsid w:val="0021736D"/>
    <w:rsid w:val="00223088"/>
    <w:rsid w:val="00227606"/>
    <w:rsid w:val="00230ECD"/>
    <w:rsid w:val="002315D7"/>
    <w:rsid w:val="002325D9"/>
    <w:rsid w:val="002338BD"/>
    <w:rsid w:val="00236956"/>
    <w:rsid w:val="002377CD"/>
    <w:rsid w:val="00237F3B"/>
    <w:rsid w:val="002401D9"/>
    <w:rsid w:val="002403B3"/>
    <w:rsid w:val="00240C46"/>
    <w:rsid w:val="00242880"/>
    <w:rsid w:val="00245120"/>
    <w:rsid w:val="00254F85"/>
    <w:rsid w:val="002556FB"/>
    <w:rsid w:val="00256CEB"/>
    <w:rsid w:val="00257C55"/>
    <w:rsid w:val="00264D60"/>
    <w:rsid w:val="00265FDC"/>
    <w:rsid w:val="0026745F"/>
    <w:rsid w:val="00270846"/>
    <w:rsid w:val="0027487D"/>
    <w:rsid w:val="00275589"/>
    <w:rsid w:val="002808E2"/>
    <w:rsid w:val="00283A5A"/>
    <w:rsid w:val="002846DA"/>
    <w:rsid w:val="002851E3"/>
    <w:rsid w:val="00285DA9"/>
    <w:rsid w:val="00291CF8"/>
    <w:rsid w:val="00291E1D"/>
    <w:rsid w:val="00292516"/>
    <w:rsid w:val="002936E4"/>
    <w:rsid w:val="00294782"/>
    <w:rsid w:val="00294A2E"/>
    <w:rsid w:val="00296662"/>
    <w:rsid w:val="00296DB0"/>
    <w:rsid w:val="002973E8"/>
    <w:rsid w:val="002A19C0"/>
    <w:rsid w:val="002B0468"/>
    <w:rsid w:val="002B2E09"/>
    <w:rsid w:val="002B31E2"/>
    <w:rsid w:val="002B3D76"/>
    <w:rsid w:val="002B52FA"/>
    <w:rsid w:val="002B70F5"/>
    <w:rsid w:val="002B74D4"/>
    <w:rsid w:val="002C188F"/>
    <w:rsid w:val="002C2F1E"/>
    <w:rsid w:val="002D0F4B"/>
    <w:rsid w:val="002D1741"/>
    <w:rsid w:val="002D2ABD"/>
    <w:rsid w:val="002D43F8"/>
    <w:rsid w:val="002E4C8E"/>
    <w:rsid w:val="002F2304"/>
    <w:rsid w:val="003009D8"/>
    <w:rsid w:val="0030436E"/>
    <w:rsid w:val="00305AB3"/>
    <w:rsid w:val="00310E7E"/>
    <w:rsid w:val="00315F87"/>
    <w:rsid w:val="003248E6"/>
    <w:rsid w:val="003251D6"/>
    <w:rsid w:val="00325E39"/>
    <w:rsid w:val="003319D6"/>
    <w:rsid w:val="00332D87"/>
    <w:rsid w:val="00332F65"/>
    <w:rsid w:val="003409D8"/>
    <w:rsid w:val="0034187D"/>
    <w:rsid w:val="00343464"/>
    <w:rsid w:val="00346339"/>
    <w:rsid w:val="00347F8C"/>
    <w:rsid w:val="003550BF"/>
    <w:rsid w:val="00371FD9"/>
    <w:rsid w:val="0037202F"/>
    <w:rsid w:val="00374147"/>
    <w:rsid w:val="003744CE"/>
    <w:rsid w:val="003775BE"/>
    <w:rsid w:val="003840AA"/>
    <w:rsid w:val="00392F02"/>
    <w:rsid w:val="0039451A"/>
    <w:rsid w:val="0039761C"/>
    <w:rsid w:val="00397874"/>
    <w:rsid w:val="003978CF"/>
    <w:rsid w:val="003A1919"/>
    <w:rsid w:val="003A3FC6"/>
    <w:rsid w:val="003A6146"/>
    <w:rsid w:val="003A61D1"/>
    <w:rsid w:val="003A7A7E"/>
    <w:rsid w:val="003B73EB"/>
    <w:rsid w:val="003B7B05"/>
    <w:rsid w:val="003C1023"/>
    <w:rsid w:val="003D0F9D"/>
    <w:rsid w:val="003D492A"/>
    <w:rsid w:val="003E0D48"/>
    <w:rsid w:val="003E18D3"/>
    <w:rsid w:val="003E1E82"/>
    <w:rsid w:val="003E21B2"/>
    <w:rsid w:val="003E5283"/>
    <w:rsid w:val="003E71E8"/>
    <w:rsid w:val="003F0FEF"/>
    <w:rsid w:val="003F5D03"/>
    <w:rsid w:val="003F7032"/>
    <w:rsid w:val="003F72A3"/>
    <w:rsid w:val="00400E2B"/>
    <w:rsid w:val="00401FFE"/>
    <w:rsid w:val="004021FA"/>
    <w:rsid w:val="00403A14"/>
    <w:rsid w:val="00404914"/>
    <w:rsid w:val="00405FE3"/>
    <w:rsid w:val="0040770A"/>
    <w:rsid w:val="00413789"/>
    <w:rsid w:val="0041496D"/>
    <w:rsid w:val="00414EAB"/>
    <w:rsid w:val="0042199D"/>
    <w:rsid w:val="00424849"/>
    <w:rsid w:val="004268BF"/>
    <w:rsid w:val="00433440"/>
    <w:rsid w:val="00434DAC"/>
    <w:rsid w:val="0044026D"/>
    <w:rsid w:val="00440751"/>
    <w:rsid w:val="00442150"/>
    <w:rsid w:val="00444ECB"/>
    <w:rsid w:val="00451EAB"/>
    <w:rsid w:val="0045352C"/>
    <w:rsid w:val="0045353F"/>
    <w:rsid w:val="004543E2"/>
    <w:rsid w:val="004550A6"/>
    <w:rsid w:val="00462A8D"/>
    <w:rsid w:val="00463ACA"/>
    <w:rsid w:val="00465147"/>
    <w:rsid w:val="004664B6"/>
    <w:rsid w:val="0046798E"/>
    <w:rsid w:val="00470E88"/>
    <w:rsid w:val="00471EC4"/>
    <w:rsid w:val="00473962"/>
    <w:rsid w:val="00473E57"/>
    <w:rsid w:val="00474AC1"/>
    <w:rsid w:val="00477F5F"/>
    <w:rsid w:val="00480333"/>
    <w:rsid w:val="00480686"/>
    <w:rsid w:val="00481461"/>
    <w:rsid w:val="004837FD"/>
    <w:rsid w:val="00486B1D"/>
    <w:rsid w:val="00495E85"/>
    <w:rsid w:val="00496459"/>
    <w:rsid w:val="00496BC6"/>
    <w:rsid w:val="00497B36"/>
    <w:rsid w:val="004A07AB"/>
    <w:rsid w:val="004A5268"/>
    <w:rsid w:val="004A54EE"/>
    <w:rsid w:val="004B3F11"/>
    <w:rsid w:val="004B4503"/>
    <w:rsid w:val="004C2BA6"/>
    <w:rsid w:val="004C2C9D"/>
    <w:rsid w:val="004C5CEF"/>
    <w:rsid w:val="004D219C"/>
    <w:rsid w:val="004F0B22"/>
    <w:rsid w:val="004F10B6"/>
    <w:rsid w:val="004F40FC"/>
    <w:rsid w:val="004F4E2E"/>
    <w:rsid w:val="004F5A82"/>
    <w:rsid w:val="00500242"/>
    <w:rsid w:val="00501581"/>
    <w:rsid w:val="005032B7"/>
    <w:rsid w:val="005041CF"/>
    <w:rsid w:val="00511D78"/>
    <w:rsid w:val="00513155"/>
    <w:rsid w:val="00513947"/>
    <w:rsid w:val="0051543D"/>
    <w:rsid w:val="00515AE6"/>
    <w:rsid w:val="00517476"/>
    <w:rsid w:val="00521CF3"/>
    <w:rsid w:val="00525646"/>
    <w:rsid w:val="005274C7"/>
    <w:rsid w:val="00534BD3"/>
    <w:rsid w:val="005359E5"/>
    <w:rsid w:val="00537F96"/>
    <w:rsid w:val="0054012A"/>
    <w:rsid w:val="00543271"/>
    <w:rsid w:val="0054521F"/>
    <w:rsid w:val="005467D6"/>
    <w:rsid w:val="00546BEB"/>
    <w:rsid w:val="0055034F"/>
    <w:rsid w:val="00550CC5"/>
    <w:rsid w:val="00552AA4"/>
    <w:rsid w:val="00554D81"/>
    <w:rsid w:val="005566BD"/>
    <w:rsid w:val="005645D0"/>
    <w:rsid w:val="00571DD9"/>
    <w:rsid w:val="00571FD3"/>
    <w:rsid w:val="00573406"/>
    <w:rsid w:val="005745F5"/>
    <w:rsid w:val="00577B35"/>
    <w:rsid w:val="00580EFD"/>
    <w:rsid w:val="00582282"/>
    <w:rsid w:val="00583A3E"/>
    <w:rsid w:val="00584707"/>
    <w:rsid w:val="0058544E"/>
    <w:rsid w:val="005875C7"/>
    <w:rsid w:val="0058795C"/>
    <w:rsid w:val="005902B1"/>
    <w:rsid w:val="005920AC"/>
    <w:rsid w:val="00596662"/>
    <w:rsid w:val="005A19F4"/>
    <w:rsid w:val="005A3889"/>
    <w:rsid w:val="005A454E"/>
    <w:rsid w:val="005B0D11"/>
    <w:rsid w:val="005B2662"/>
    <w:rsid w:val="005B327E"/>
    <w:rsid w:val="005C5492"/>
    <w:rsid w:val="005C72E5"/>
    <w:rsid w:val="005D257E"/>
    <w:rsid w:val="005D72FE"/>
    <w:rsid w:val="005D7C21"/>
    <w:rsid w:val="005E1B5B"/>
    <w:rsid w:val="005E38DD"/>
    <w:rsid w:val="005E68C5"/>
    <w:rsid w:val="005F020F"/>
    <w:rsid w:val="005F2CDF"/>
    <w:rsid w:val="0060111F"/>
    <w:rsid w:val="00605453"/>
    <w:rsid w:val="00613283"/>
    <w:rsid w:val="00613688"/>
    <w:rsid w:val="0061692D"/>
    <w:rsid w:val="00622290"/>
    <w:rsid w:val="006238EB"/>
    <w:rsid w:val="00624295"/>
    <w:rsid w:val="00624973"/>
    <w:rsid w:val="00630FDA"/>
    <w:rsid w:val="0064019E"/>
    <w:rsid w:val="00644D1B"/>
    <w:rsid w:val="00646229"/>
    <w:rsid w:val="00646E29"/>
    <w:rsid w:val="00650D53"/>
    <w:rsid w:val="006511E1"/>
    <w:rsid w:val="00651554"/>
    <w:rsid w:val="00657525"/>
    <w:rsid w:val="00657E07"/>
    <w:rsid w:val="00664922"/>
    <w:rsid w:val="00664D35"/>
    <w:rsid w:val="00670D65"/>
    <w:rsid w:val="00672C8E"/>
    <w:rsid w:val="0067546B"/>
    <w:rsid w:val="00681479"/>
    <w:rsid w:val="00686B70"/>
    <w:rsid w:val="00686D98"/>
    <w:rsid w:val="00690EEA"/>
    <w:rsid w:val="00691328"/>
    <w:rsid w:val="00692ECD"/>
    <w:rsid w:val="0069444D"/>
    <w:rsid w:val="006A22CC"/>
    <w:rsid w:val="006A7EB5"/>
    <w:rsid w:val="006B00D7"/>
    <w:rsid w:val="006B389D"/>
    <w:rsid w:val="006B5E4C"/>
    <w:rsid w:val="006C3AF2"/>
    <w:rsid w:val="006C530A"/>
    <w:rsid w:val="006C5470"/>
    <w:rsid w:val="006D5CD4"/>
    <w:rsid w:val="006D6D01"/>
    <w:rsid w:val="006D7E3D"/>
    <w:rsid w:val="006E1058"/>
    <w:rsid w:val="006E231E"/>
    <w:rsid w:val="006E4CEB"/>
    <w:rsid w:val="006F0691"/>
    <w:rsid w:val="006F28E3"/>
    <w:rsid w:val="006F2EAF"/>
    <w:rsid w:val="006F5888"/>
    <w:rsid w:val="006F681E"/>
    <w:rsid w:val="00704319"/>
    <w:rsid w:val="0070591A"/>
    <w:rsid w:val="00710336"/>
    <w:rsid w:val="00710FAD"/>
    <w:rsid w:val="007124E2"/>
    <w:rsid w:val="00712D4E"/>
    <w:rsid w:val="00716437"/>
    <w:rsid w:val="00724031"/>
    <w:rsid w:val="00731192"/>
    <w:rsid w:val="00731436"/>
    <w:rsid w:val="0073239A"/>
    <w:rsid w:val="00741933"/>
    <w:rsid w:val="00742281"/>
    <w:rsid w:val="00743542"/>
    <w:rsid w:val="00744E67"/>
    <w:rsid w:val="007469C2"/>
    <w:rsid w:val="007525C3"/>
    <w:rsid w:val="00763507"/>
    <w:rsid w:val="00766FA2"/>
    <w:rsid w:val="00767546"/>
    <w:rsid w:val="007721EF"/>
    <w:rsid w:val="007725DB"/>
    <w:rsid w:val="00775A9F"/>
    <w:rsid w:val="007800C6"/>
    <w:rsid w:val="0078066C"/>
    <w:rsid w:val="00780A7B"/>
    <w:rsid w:val="00781547"/>
    <w:rsid w:val="00781874"/>
    <w:rsid w:val="007840D8"/>
    <w:rsid w:val="007843E7"/>
    <w:rsid w:val="00784494"/>
    <w:rsid w:val="00787DB9"/>
    <w:rsid w:val="007A43E2"/>
    <w:rsid w:val="007B4EC5"/>
    <w:rsid w:val="007C1DF4"/>
    <w:rsid w:val="007C30E1"/>
    <w:rsid w:val="007C3893"/>
    <w:rsid w:val="007C6EF5"/>
    <w:rsid w:val="007C7B57"/>
    <w:rsid w:val="007D0800"/>
    <w:rsid w:val="007D142E"/>
    <w:rsid w:val="007D2E8B"/>
    <w:rsid w:val="007D3C95"/>
    <w:rsid w:val="007D4430"/>
    <w:rsid w:val="007D61F4"/>
    <w:rsid w:val="007E115D"/>
    <w:rsid w:val="007E330D"/>
    <w:rsid w:val="007E42A7"/>
    <w:rsid w:val="007E69BD"/>
    <w:rsid w:val="007F522D"/>
    <w:rsid w:val="008001B2"/>
    <w:rsid w:val="00801B34"/>
    <w:rsid w:val="00805AE9"/>
    <w:rsid w:val="00806757"/>
    <w:rsid w:val="008079CB"/>
    <w:rsid w:val="00807D34"/>
    <w:rsid w:val="00812B69"/>
    <w:rsid w:val="0081476C"/>
    <w:rsid w:val="00820B7D"/>
    <w:rsid w:val="008254B2"/>
    <w:rsid w:val="00825FEE"/>
    <w:rsid w:val="00836684"/>
    <w:rsid w:val="0083738E"/>
    <w:rsid w:val="0084099D"/>
    <w:rsid w:val="00843AA7"/>
    <w:rsid w:val="00843C69"/>
    <w:rsid w:val="00844BDF"/>
    <w:rsid w:val="00845D59"/>
    <w:rsid w:val="00850197"/>
    <w:rsid w:val="00853934"/>
    <w:rsid w:val="00860DEB"/>
    <w:rsid w:val="00865BE1"/>
    <w:rsid w:val="00873261"/>
    <w:rsid w:val="008747C8"/>
    <w:rsid w:val="00875A1F"/>
    <w:rsid w:val="008764C7"/>
    <w:rsid w:val="0087792E"/>
    <w:rsid w:val="008779CC"/>
    <w:rsid w:val="00883803"/>
    <w:rsid w:val="008865F9"/>
    <w:rsid w:val="008866EE"/>
    <w:rsid w:val="00886895"/>
    <w:rsid w:val="008924C8"/>
    <w:rsid w:val="008930EA"/>
    <w:rsid w:val="00894D48"/>
    <w:rsid w:val="00897E63"/>
    <w:rsid w:val="008B0C4F"/>
    <w:rsid w:val="008B31CA"/>
    <w:rsid w:val="008B3234"/>
    <w:rsid w:val="008C28C0"/>
    <w:rsid w:val="008C3F0C"/>
    <w:rsid w:val="008C5DAA"/>
    <w:rsid w:val="008C6398"/>
    <w:rsid w:val="008C6CEC"/>
    <w:rsid w:val="008D01FF"/>
    <w:rsid w:val="008D44FF"/>
    <w:rsid w:val="008D5EF0"/>
    <w:rsid w:val="008D5FE8"/>
    <w:rsid w:val="008E0E36"/>
    <w:rsid w:val="008E32AB"/>
    <w:rsid w:val="008E3CD0"/>
    <w:rsid w:val="008E5751"/>
    <w:rsid w:val="008F76DE"/>
    <w:rsid w:val="008F7FC3"/>
    <w:rsid w:val="00900EC3"/>
    <w:rsid w:val="0090225A"/>
    <w:rsid w:val="00903B04"/>
    <w:rsid w:val="00904C97"/>
    <w:rsid w:val="00906B4B"/>
    <w:rsid w:val="00906C42"/>
    <w:rsid w:val="00907876"/>
    <w:rsid w:val="009105A0"/>
    <w:rsid w:val="00915576"/>
    <w:rsid w:val="00917B07"/>
    <w:rsid w:val="00920622"/>
    <w:rsid w:val="00922DAD"/>
    <w:rsid w:val="00926322"/>
    <w:rsid w:val="00927D90"/>
    <w:rsid w:val="009314B6"/>
    <w:rsid w:val="00931619"/>
    <w:rsid w:val="00933D43"/>
    <w:rsid w:val="009361E2"/>
    <w:rsid w:val="00940C36"/>
    <w:rsid w:val="00952316"/>
    <w:rsid w:val="00952722"/>
    <w:rsid w:val="00952D97"/>
    <w:rsid w:val="00956CB8"/>
    <w:rsid w:val="00957CF3"/>
    <w:rsid w:val="00966801"/>
    <w:rsid w:val="00967063"/>
    <w:rsid w:val="009837AE"/>
    <w:rsid w:val="00984C1E"/>
    <w:rsid w:val="00986D2B"/>
    <w:rsid w:val="0099181D"/>
    <w:rsid w:val="00994CCC"/>
    <w:rsid w:val="00997BF7"/>
    <w:rsid w:val="009A14EA"/>
    <w:rsid w:val="009A1844"/>
    <w:rsid w:val="009A5613"/>
    <w:rsid w:val="009C3AF3"/>
    <w:rsid w:val="009C7D81"/>
    <w:rsid w:val="009D4A60"/>
    <w:rsid w:val="009D656F"/>
    <w:rsid w:val="009E4EDD"/>
    <w:rsid w:val="009E5D52"/>
    <w:rsid w:val="009E7EB9"/>
    <w:rsid w:val="009F529A"/>
    <w:rsid w:val="009F76D8"/>
    <w:rsid w:val="00A0048A"/>
    <w:rsid w:val="00A01679"/>
    <w:rsid w:val="00A02A97"/>
    <w:rsid w:val="00A02A99"/>
    <w:rsid w:val="00A07207"/>
    <w:rsid w:val="00A104FF"/>
    <w:rsid w:val="00A128D4"/>
    <w:rsid w:val="00A12BB8"/>
    <w:rsid w:val="00A141DB"/>
    <w:rsid w:val="00A15D33"/>
    <w:rsid w:val="00A16379"/>
    <w:rsid w:val="00A1663E"/>
    <w:rsid w:val="00A203EF"/>
    <w:rsid w:val="00A31E84"/>
    <w:rsid w:val="00A35B43"/>
    <w:rsid w:val="00A5089F"/>
    <w:rsid w:val="00A54E9B"/>
    <w:rsid w:val="00A60D29"/>
    <w:rsid w:val="00A61DAB"/>
    <w:rsid w:val="00A62E70"/>
    <w:rsid w:val="00A63802"/>
    <w:rsid w:val="00A652D2"/>
    <w:rsid w:val="00A660E6"/>
    <w:rsid w:val="00A73F5B"/>
    <w:rsid w:val="00A75F93"/>
    <w:rsid w:val="00A77FAB"/>
    <w:rsid w:val="00A87127"/>
    <w:rsid w:val="00A96944"/>
    <w:rsid w:val="00AA165D"/>
    <w:rsid w:val="00AA392D"/>
    <w:rsid w:val="00AA4DF6"/>
    <w:rsid w:val="00AA5712"/>
    <w:rsid w:val="00AA5B08"/>
    <w:rsid w:val="00AA612A"/>
    <w:rsid w:val="00AB2255"/>
    <w:rsid w:val="00AB371E"/>
    <w:rsid w:val="00AB3A3C"/>
    <w:rsid w:val="00AB5D02"/>
    <w:rsid w:val="00AB7AD1"/>
    <w:rsid w:val="00AC1772"/>
    <w:rsid w:val="00AC500A"/>
    <w:rsid w:val="00AC5AC4"/>
    <w:rsid w:val="00AC6EB3"/>
    <w:rsid w:val="00AC7EA9"/>
    <w:rsid w:val="00AD2AB3"/>
    <w:rsid w:val="00AD37C4"/>
    <w:rsid w:val="00AD5B90"/>
    <w:rsid w:val="00AD665F"/>
    <w:rsid w:val="00AF4C5E"/>
    <w:rsid w:val="00AF4FD4"/>
    <w:rsid w:val="00B02A24"/>
    <w:rsid w:val="00B02F7A"/>
    <w:rsid w:val="00B12DA1"/>
    <w:rsid w:val="00B130A4"/>
    <w:rsid w:val="00B14C24"/>
    <w:rsid w:val="00B20EB8"/>
    <w:rsid w:val="00B23C9B"/>
    <w:rsid w:val="00B24438"/>
    <w:rsid w:val="00B24597"/>
    <w:rsid w:val="00B259C7"/>
    <w:rsid w:val="00B30D46"/>
    <w:rsid w:val="00B31A0E"/>
    <w:rsid w:val="00B33FDF"/>
    <w:rsid w:val="00B34D81"/>
    <w:rsid w:val="00B425AA"/>
    <w:rsid w:val="00B427E7"/>
    <w:rsid w:val="00B433BE"/>
    <w:rsid w:val="00B451C3"/>
    <w:rsid w:val="00B512DA"/>
    <w:rsid w:val="00B53886"/>
    <w:rsid w:val="00B56141"/>
    <w:rsid w:val="00B636DD"/>
    <w:rsid w:val="00B702F9"/>
    <w:rsid w:val="00B70976"/>
    <w:rsid w:val="00B715B7"/>
    <w:rsid w:val="00B71C59"/>
    <w:rsid w:val="00B71CF9"/>
    <w:rsid w:val="00B725B5"/>
    <w:rsid w:val="00B725C0"/>
    <w:rsid w:val="00B76C34"/>
    <w:rsid w:val="00B82386"/>
    <w:rsid w:val="00B84553"/>
    <w:rsid w:val="00B90670"/>
    <w:rsid w:val="00B96C4A"/>
    <w:rsid w:val="00B970B0"/>
    <w:rsid w:val="00B97B05"/>
    <w:rsid w:val="00BA1231"/>
    <w:rsid w:val="00BA15BD"/>
    <w:rsid w:val="00BA7920"/>
    <w:rsid w:val="00BB3808"/>
    <w:rsid w:val="00BB4CC5"/>
    <w:rsid w:val="00BC0746"/>
    <w:rsid w:val="00BC1111"/>
    <w:rsid w:val="00BC1BC3"/>
    <w:rsid w:val="00BC2205"/>
    <w:rsid w:val="00BC35B1"/>
    <w:rsid w:val="00BC5269"/>
    <w:rsid w:val="00BD10CB"/>
    <w:rsid w:val="00BD450B"/>
    <w:rsid w:val="00BD5DA6"/>
    <w:rsid w:val="00BD621C"/>
    <w:rsid w:val="00BD628B"/>
    <w:rsid w:val="00BD6524"/>
    <w:rsid w:val="00BE0CAA"/>
    <w:rsid w:val="00BE27DD"/>
    <w:rsid w:val="00BE42EA"/>
    <w:rsid w:val="00BE77EB"/>
    <w:rsid w:val="00C018EE"/>
    <w:rsid w:val="00C02206"/>
    <w:rsid w:val="00C02607"/>
    <w:rsid w:val="00C07063"/>
    <w:rsid w:val="00C07445"/>
    <w:rsid w:val="00C0774E"/>
    <w:rsid w:val="00C1032A"/>
    <w:rsid w:val="00C113E4"/>
    <w:rsid w:val="00C22829"/>
    <w:rsid w:val="00C25E6F"/>
    <w:rsid w:val="00C26D9C"/>
    <w:rsid w:val="00C278CC"/>
    <w:rsid w:val="00C310D0"/>
    <w:rsid w:val="00C3343E"/>
    <w:rsid w:val="00C356B2"/>
    <w:rsid w:val="00C3591E"/>
    <w:rsid w:val="00C36950"/>
    <w:rsid w:val="00C43036"/>
    <w:rsid w:val="00C45F93"/>
    <w:rsid w:val="00C46403"/>
    <w:rsid w:val="00C514FF"/>
    <w:rsid w:val="00C60E79"/>
    <w:rsid w:val="00C61EC0"/>
    <w:rsid w:val="00C63F8D"/>
    <w:rsid w:val="00C65673"/>
    <w:rsid w:val="00C6616B"/>
    <w:rsid w:val="00C67A52"/>
    <w:rsid w:val="00C77D77"/>
    <w:rsid w:val="00C8252C"/>
    <w:rsid w:val="00C83A8A"/>
    <w:rsid w:val="00C925EB"/>
    <w:rsid w:val="00C96C40"/>
    <w:rsid w:val="00CA4631"/>
    <w:rsid w:val="00CA4BC0"/>
    <w:rsid w:val="00CB1FE1"/>
    <w:rsid w:val="00CB29CC"/>
    <w:rsid w:val="00CD4F8E"/>
    <w:rsid w:val="00CD6D87"/>
    <w:rsid w:val="00CE061E"/>
    <w:rsid w:val="00CE1595"/>
    <w:rsid w:val="00CE23E2"/>
    <w:rsid w:val="00CE2493"/>
    <w:rsid w:val="00CE4136"/>
    <w:rsid w:val="00CF0328"/>
    <w:rsid w:val="00CF0E27"/>
    <w:rsid w:val="00CF1CE4"/>
    <w:rsid w:val="00CF49C5"/>
    <w:rsid w:val="00CF7D5A"/>
    <w:rsid w:val="00D030BF"/>
    <w:rsid w:val="00D055B6"/>
    <w:rsid w:val="00D140D8"/>
    <w:rsid w:val="00D157E4"/>
    <w:rsid w:val="00D264BE"/>
    <w:rsid w:val="00D3108A"/>
    <w:rsid w:val="00D4125F"/>
    <w:rsid w:val="00D45DFD"/>
    <w:rsid w:val="00D557C0"/>
    <w:rsid w:val="00D5763F"/>
    <w:rsid w:val="00D6244C"/>
    <w:rsid w:val="00D62EA4"/>
    <w:rsid w:val="00D64E26"/>
    <w:rsid w:val="00D657EB"/>
    <w:rsid w:val="00D71811"/>
    <w:rsid w:val="00D72B3F"/>
    <w:rsid w:val="00D748FF"/>
    <w:rsid w:val="00D82390"/>
    <w:rsid w:val="00D82661"/>
    <w:rsid w:val="00D832F8"/>
    <w:rsid w:val="00D83A2B"/>
    <w:rsid w:val="00D83B0C"/>
    <w:rsid w:val="00D84992"/>
    <w:rsid w:val="00D907E1"/>
    <w:rsid w:val="00D90A22"/>
    <w:rsid w:val="00D91136"/>
    <w:rsid w:val="00DA2237"/>
    <w:rsid w:val="00DA3F76"/>
    <w:rsid w:val="00DA6D46"/>
    <w:rsid w:val="00DB00B3"/>
    <w:rsid w:val="00DB4765"/>
    <w:rsid w:val="00DC226A"/>
    <w:rsid w:val="00DC6F5A"/>
    <w:rsid w:val="00DD2B86"/>
    <w:rsid w:val="00DD2C19"/>
    <w:rsid w:val="00DD587D"/>
    <w:rsid w:val="00DD5F84"/>
    <w:rsid w:val="00DD675E"/>
    <w:rsid w:val="00DD7229"/>
    <w:rsid w:val="00DE3850"/>
    <w:rsid w:val="00DE5230"/>
    <w:rsid w:val="00DE6E57"/>
    <w:rsid w:val="00DF392F"/>
    <w:rsid w:val="00DF3F3E"/>
    <w:rsid w:val="00E03D6B"/>
    <w:rsid w:val="00E0539E"/>
    <w:rsid w:val="00E0717F"/>
    <w:rsid w:val="00E1185A"/>
    <w:rsid w:val="00E12DAF"/>
    <w:rsid w:val="00E15598"/>
    <w:rsid w:val="00E1597A"/>
    <w:rsid w:val="00E16CB6"/>
    <w:rsid w:val="00E2032E"/>
    <w:rsid w:val="00E20E41"/>
    <w:rsid w:val="00E212D8"/>
    <w:rsid w:val="00E22A6E"/>
    <w:rsid w:val="00E2659F"/>
    <w:rsid w:val="00E26B30"/>
    <w:rsid w:val="00E26FCB"/>
    <w:rsid w:val="00E32BEC"/>
    <w:rsid w:val="00E40A57"/>
    <w:rsid w:val="00E441C7"/>
    <w:rsid w:val="00E47672"/>
    <w:rsid w:val="00E50C99"/>
    <w:rsid w:val="00E54E4B"/>
    <w:rsid w:val="00E55FFE"/>
    <w:rsid w:val="00E560D7"/>
    <w:rsid w:val="00E60744"/>
    <w:rsid w:val="00E7325A"/>
    <w:rsid w:val="00E7529E"/>
    <w:rsid w:val="00E779E9"/>
    <w:rsid w:val="00E85820"/>
    <w:rsid w:val="00E92B3D"/>
    <w:rsid w:val="00E93300"/>
    <w:rsid w:val="00E94B52"/>
    <w:rsid w:val="00E96F27"/>
    <w:rsid w:val="00EA0F42"/>
    <w:rsid w:val="00EA3402"/>
    <w:rsid w:val="00EA54BB"/>
    <w:rsid w:val="00EB40DF"/>
    <w:rsid w:val="00EB4226"/>
    <w:rsid w:val="00EC2AEF"/>
    <w:rsid w:val="00EC2FCE"/>
    <w:rsid w:val="00EC31F8"/>
    <w:rsid w:val="00EC3B8A"/>
    <w:rsid w:val="00ED28A0"/>
    <w:rsid w:val="00EE3B11"/>
    <w:rsid w:val="00EE3C50"/>
    <w:rsid w:val="00EE64C5"/>
    <w:rsid w:val="00EE7F9C"/>
    <w:rsid w:val="00EF0112"/>
    <w:rsid w:val="00EF58A6"/>
    <w:rsid w:val="00EF671F"/>
    <w:rsid w:val="00F02818"/>
    <w:rsid w:val="00F0419D"/>
    <w:rsid w:val="00F0506B"/>
    <w:rsid w:val="00F052BB"/>
    <w:rsid w:val="00F054C9"/>
    <w:rsid w:val="00F11511"/>
    <w:rsid w:val="00F11791"/>
    <w:rsid w:val="00F11951"/>
    <w:rsid w:val="00F24F50"/>
    <w:rsid w:val="00F27D99"/>
    <w:rsid w:val="00F351CB"/>
    <w:rsid w:val="00F360FF"/>
    <w:rsid w:val="00F3750F"/>
    <w:rsid w:val="00F45808"/>
    <w:rsid w:val="00F51364"/>
    <w:rsid w:val="00F51F3B"/>
    <w:rsid w:val="00F52267"/>
    <w:rsid w:val="00F5667C"/>
    <w:rsid w:val="00F608EB"/>
    <w:rsid w:val="00F62281"/>
    <w:rsid w:val="00F6626F"/>
    <w:rsid w:val="00F67041"/>
    <w:rsid w:val="00F70D32"/>
    <w:rsid w:val="00F716B1"/>
    <w:rsid w:val="00F75CE0"/>
    <w:rsid w:val="00F802DB"/>
    <w:rsid w:val="00F80F12"/>
    <w:rsid w:val="00F82EC5"/>
    <w:rsid w:val="00F86F79"/>
    <w:rsid w:val="00F901A8"/>
    <w:rsid w:val="00F92884"/>
    <w:rsid w:val="00F94654"/>
    <w:rsid w:val="00F94C84"/>
    <w:rsid w:val="00FA02EF"/>
    <w:rsid w:val="00FA0504"/>
    <w:rsid w:val="00FA2D2E"/>
    <w:rsid w:val="00FB2556"/>
    <w:rsid w:val="00FB306F"/>
    <w:rsid w:val="00FB59A1"/>
    <w:rsid w:val="00FC168F"/>
    <w:rsid w:val="00FC1E3B"/>
    <w:rsid w:val="00FC2093"/>
    <w:rsid w:val="00FC2905"/>
    <w:rsid w:val="00FC3DA0"/>
    <w:rsid w:val="00FC4BDD"/>
    <w:rsid w:val="00FD0C31"/>
    <w:rsid w:val="00FD3D27"/>
    <w:rsid w:val="00FD45E8"/>
    <w:rsid w:val="00FD71B5"/>
    <w:rsid w:val="00FD744D"/>
    <w:rsid w:val="00FD7A19"/>
    <w:rsid w:val="00FE1DD7"/>
    <w:rsid w:val="00FE1E3E"/>
    <w:rsid w:val="00FE568A"/>
    <w:rsid w:val="00FE73E9"/>
    <w:rsid w:val="00FE7F74"/>
    <w:rsid w:val="00FF00E4"/>
  </w:rsids>
  <m:mathPr>
    <m:mathFont m:val="Cambria Math"/>
    <m:brkBin m:val="before"/>
    <m:brkBinSub m:val="--"/>
    <m:smallFrac m:val="0"/>
    <m:dispDef/>
    <m:lMargin m:val="0"/>
    <m:rMargin m:val="0"/>
    <m:defJc m:val="centerGroup"/>
    <m:wrapIndent m:val="1440"/>
    <m:intLim m:val="subSup"/>
    <m:naryLim m:val="undOvr"/>
  </m:mathPr>
  <w:themeFontLang w:val="fr-CA"/>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56CF0445"/>
  <w15:docId w15:val="{26834C8E-5468-44C3-82BD-340BCE210A3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fr-CA"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351CB"/>
  </w:style>
  <w:style w:type="paragraph" w:styleId="Heading1">
    <w:name w:val="heading 1"/>
    <w:basedOn w:val="Normal"/>
    <w:link w:val="Heading1Char"/>
    <w:uiPriority w:val="9"/>
    <w:qFormat/>
    <w:rsid w:val="00F351CB"/>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fr-CA"/>
    </w:rPr>
  </w:style>
  <w:style w:type="paragraph" w:styleId="Heading2">
    <w:name w:val="heading 2"/>
    <w:basedOn w:val="Normal"/>
    <w:next w:val="Normal"/>
    <w:link w:val="Heading2Char"/>
    <w:uiPriority w:val="9"/>
    <w:unhideWhenUsed/>
    <w:qFormat/>
    <w:rsid w:val="00CE4136"/>
    <w:pPr>
      <w:keepNext/>
      <w:keepLines/>
      <w:spacing w:before="200" w:after="0"/>
      <w:outlineLvl w:val="1"/>
    </w:pPr>
    <w:rPr>
      <w:rFonts w:asciiTheme="majorHAnsi" w:eastAsiaTheme="majorEastAsia" w:hAnsiTheme="majorHAnsi" w:cstheme="majorBidi"/>
      <w:b/>
      <w:bCs/>
      <w:color w:val="4472C4" w:themeColor="accent1"/>
      <w:sz w:val="26"/>
      <w:szCs w:val="26"/>
    </w:rPr>
  </w:style>
  <w:style w:type="paragraph" w:styleId="Heading3">
    <w:name w:val="heading 3"/>
    <w:basedOn w:val="Normal"/>
    <w:next w:val="Normal"/>
    <w:link w:val="Heading3Char"/>
    <w:uiPriority w:val="9"/>
    <w:unhideWhenUsed/>
    <w:qFormat/>
    <w:rsid w:val="00CE4136"/>
    <w:pPr>
      <w:keepNext/>
      <w:keepLines/>
      <w:spacing w:before="200" w:after="0"/>
      <w:outlineLvl w:val="2"/>
    </w:pPr>
    <w:rPr>
      <w:rFonts w:asciiTheme="majorHAnsi" w:eastAsiaTheme="majorEastAsia" w:hAnsiTheme="majorHAnsi" w:cstheme="majorBidi"/>
      <w:b/>
      <w:bCs/>
      <w:color w:val="4472C4"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F351CB"/>
    <w:rPr>
      <w:rFonts w:ascii="Times New Roman" w:eastAsia="Times New Roman" w:hAnsi="Times New Roman" w:cs="Times New Roman"/>
      <w:b/>
      <w:bCs/>
      <w:kern w:val="36"/>
      <w:sz w:val="48"/>
      <w:szCs w:val="48"/>
      <w:lang w:eastAsia="fr-CA"/>
    </w:rPr>
  </w:style>
  <w:style w:type="paragraph" w:styleId="ListParagraph">
    <w:name w:val="List Paragraph"/>
    <w:basedOn w:val="Normal"/>
    <w:uiPriority w:val="34"/>
    <w:qFormat/>
    <w:rsid w:val="00F351CB"/>
    <w:pPr>
      <w:ind w:left="720"/>
      <w:contextualSpacing/>
    </w:pPr>
  </w:style>
  <w:style w:type="paragraph" w:styleId="FootnoteText">
    <w:name w:val="footnote text"/>
    <w:aliases w:val="Voetnoottekst Char"/>
    <w:basedOn w:val="Normal"/>
    <w:link w:val="FootnoteTextChar"/>
    <w:uiPriority w:val="99"/>
    <w:unhideWhenUsed/>
    <w:rsid w:val="00F351CB"/>
    <w:pPr>
      <w:spacing w:after="0" w:line="240" w:lineRule="auto"/>
    </w:pPr>
    <w:rPr>
      <w:sz w:val="20"/>
      <w:szCs w:val="20"/>
    </w:rPr>
  </w:style>
  <w:style w:type="character" w:customStyle="1" w:styleId="FootnoteTextChar">
    <w:name w:val="Footnote Text Char"/>
    <w:aliases w:val="Voetnoottekst Char Char"/>
    <w:basedOn w:val="DefaultParagraphFont"/>
    <w:link w:val="FootnoteText"/>
    <w:uiPriority w:val="99"/>
    <w:rsid w:val="00F351CB"/>
    <w:rPr>
      <w:sz w:val="20"/>
      <w:szCs w:val="20"/>
    </w:rPr>
  </w:style>
  <w:style w:type="character" w:styleId="FootnoteReference">
    <w:name w:val="footnote reference"/>
    <w:aliases w:val="Voetnoottekst Char Char Char"/>
    <w:basedOn w:val="DefaultParagraphFont"/>
    <w:uiPriority w:val="99"/>
    <w:semiHidden/>
    <w:unhideWhenUsed/>
    <w:rsid w:val="00F351CB"/>
    <w:rPr>
      <w:vertAlign w:val="superscript"/>
    </w:rPr>
  </w:style>
  <w:style w:type="paragraph" w:customStyle="1" w:styleId="Default">
    <w:name w:val="Default"/>
    <w:rsid w:val="00F351CB"/>
    <w:pPr>
      <w:autoSpaceDE w:val="0"/>
      <w:autoSpaceDN w:val="0"/>
      <w:adjustRightInd w:val="0"/>
      <w:spacing w:after="0" w:line="240" w:lineRule="auto"/>
    </w:pPr>
    <w:rPr>
      <w:rFonts w:ascii="JKPHF K+ Utopia" w:hAnsi="JKPHF K+ Utopia" w:cs="JKPHF K+ Utopia"/>
      <w:color w:val="000000"/>
      <w:sz w:val="24"/>
      <w:szCs w:val="24"/>
    </w:rPr>
  </w:style>
  <w:style w:type="paragraph" w:styleId="NormalWeb">
    <w:name w:val="Normal (Web)"/>
    <w:basedOn w:val="Normal"/>
    <w:uiPriority w:val="99"/>
    <w:semiHidden/>
    <w:unhideWhenUsed/>
    <w:rsid w:val="00F351CB"/>
    <w:pPr>
      <w:spacing w:before="100" w:beforeAutospacing="1" w:after="100" w:afterAutospacing="1" w:line="240" w:lineRule="auto"/>
    </w:pPr>
    <w:rPr>
      <w:rFonts w:ascii="Times New Roman" w:eastAsia="Times New Roman" w:hAnsi="Times New Roman" w:cs="Times New Roman"/>
      <w:sz w:val="24"/>
      <w:szCs w:val="24"/>
      <w:lang w:eastAsia="fr-CA"/>
    </w:rPr>
  </w:style>
  <w:style w:type="character" w:styleId="Strong">
    <w:name w:val="Strong"/>
    <w:basedOn w:val="DefaultParagraphFont"/>
    <w:uiPriority w:val="22"/>
    <w:qFormat/>
    <w:rsid w:val="00F351CB"/>
    <w:rPr>
      <w:b/>
      <w:bCs/>
    </w:rPr>
  </w:style>
  <w:style w:type="character" w:styleId="Hyperlink">
    <w:name w:val="Hyperlink"/>
    <w:basedOn w:val="DefaultParagraphFont"/>
    <w:uiPriority w:val="99"/>
    <w:unhideWhenUsed/>
    <w:rsid w:val="00F351CB"/>
    <w:rPr>
      <w:color w:val="0000FF"/>
      <w:u w:val="single"/>
    </w:rPr>
  </w:style>
  <w:style w:type="character" w:styleId="Emphasis">
    <w:name w:val="Emphasis"/>
    <w:basedOn w:val="DefaultParagraphFont"/>
    <w:uiPriority w:val="20"/>
    <w:qFormat/>
    <w:rsid w:val="00F351CB"/>
    <w:rPr>
      <w:i/>
      <w:iCs/>
    </w:rPr>
  </w:style>
  <w:style w:type="paragraph" w:styleId="Bibliography">
    <w:name w:val="Bibliography"/>
    <w:basedOn w:val="Normal"/>
    <w:next w:val="Normal"/>
    <w:uiPriority w:val="37"/>
    <w:unhideWhenUsed/>
    <w:rsid w:val="00F351CB"/>
    <w:pPr>
      <w:spacing w:after="0" w:line="240" w:lineRule="auto"/>
      <w:ind w:left="720" w:hanging="720"/>
    </w:pPr>
  </w:style>
  <w:style w:type="table" w:styleId="TableGrid">
    <w:name w:val="Table Grid"/>
    <w:basedOn w:val="TableNormal"/>
    <w:uiPriority w:val="39"/>
    <w:rsid w:val="00F351C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letrinebleue">
    <w:name w:val="letrinebleue"/>
    <w:basedOn w:val="DefaultParagraphFont"/>
    <w:rsid w:val="00F351CB"/>
  </w:style>
  <w:style w:type="character" w:customStyle="1" w:styleId="Date1">
    <w:name w:val="Date1"/>
    <w:basedOn w:val="DefaultParagraphFont"/>
    <w:rsid w:val="00F351CB"/>
  </w:style>
  <w:style w:type="character" w:styleId="EndnoteReference">
    <w:name w:val="endnote reference"/>
    <w:basedOn w:val="DefaultParagraphFont"/>
    <w:uiPriority w:val="99"/>
    <w:semiHidden/>
    <w:unhideWhenUsed/>
    <w:rsid w:val="00CD4F8E"/>
    <w:rPr>
      <w:vertAlign w:val="superscript"/>
    </w:rPr>
  </w:style>
  <w:style w:type="paragraph" w:styleId="TOCHeading">
    <w:name w:val="TOC Heading"/>
    <w:basedOn w:val="Heading1"/>
    <w:next w:val="Normal"/>
    <w:uiPriority w:val="39"/>
    <w:unhideWhenUsed/>
    <w:qFormat/>
    <w:rsid w:val="00CE4136"/>
    <w:pPr>
      <w:keepNext/>
      <w:keepLines/>
      <w:spacing w:before="480" w:beforeAutospacing="0" w:after="0" w:afterAutospacing="0" w:line="276" w:lineRule="auto"/>
      <w:outlineLvl w:val="9"/>
    </w:pPr>
    <w:rPr>
      <w:rFonts w:asciiTheme="majorHAnsi" w:eastAsiaTheme="majorEastAsia" w:hAnsiTheme="majorHAnsi" w:cstheme="majorBidi"/>
      <w:color w:val="2F5496" w:themeColor="accent1" w:themeShade="BF"/>
      <w:kern w:val="0"/>
      <w:sz w:val="28"/>
      <w:szCs w:val="28"/>
      <w:lang w:val="en-US" w:eastAsia="ja-JP"/>
    </w:rPr>
  </w:style>
  <w:style w:type="paragraph" w:styleId="BalloonText">
    <w:name w:val="Balloon Text"/>
    <w:basedOn w:val="Normal"/>
    <w:link w:val="BalloonTextChar"/>
    <w:uiPriority w:val="99"/>
    <w:semiHidden/>
    <w:unhideWhenUsed/>
    <w:rsid w:val="00CE4136"/>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CE4136"/>
    <w:rPr>
      <w:rFonts w:ascii="Tahoma" w:hAnsi="Tahoma" w:cs="Tahoma"/>
      <w:sz w:val="16"/>
      <w:szCs w:val="16"/>
    </w:rPr>
  </w:style>
  <w:style w:type="character" w:customStyle="1" w:styleId="Heading2Char">
    <w:name w:val="Heading 2 Char"/>
    <w:basedOn w:val="DefaultParagraphFont"/>
    <w:link w:val="Heading2"/>
    <w:uiPriority w:val="9"/>
    <w:rsid w:val="00CE4136"/>
    <w:rPr>
      <w:rFonts w:asciiTheme="majorHAnsi" w:eastAsiaTheme="majorEastAsia" w:hAnsiTheme="majorHAnsi" w:cstheme="majorBidi"/>
      <w:b/>
      <w:bCs/>
      <w:color w:val="4472C4" w:themeColor="accent1"/>
      <w:sz w:val="26"/>
      <w:szCs w:val="26"/>
    </w:rPr>
  </w:style>
  <w:style w:type="character" w:customStyle="1" w:styleId="Heading3Char">
    <w:name w:val="Heading 3 Char"/>
    <w:basedOn w:val="DefaultParagraphFont"/>
    <w:link w:val="Heading3"/>
    <w:uiPriority w:val="9"/>
    <w:rsid w:val="00CE4136"/>
    <w:rPr>
      <w:rFonts w:asciiTheme="majorHAnsi" w:eastAsiaTheme="majorEastAsia" w:hAnsiTheme="majorHAnsi" w:cstheme="majorBidi"/>
      <w:b/>
      <w:bCs/>
      <w:color w:val="4472C4" w:themeColor="accent1"/>
    </w:rPr>
  </w:style>
  <w:style w:type="paragraph" w:styleId="Header">
    <w:name w:val="header"/>
    <w:basedOn w:val="Normal"/>
    <w:link w:val="HeaderChar"/>
    <w:uiPriority w:val="99"/>
    <w:unhideWhenUsed/>
    <w:rsid w:val="00CE4136"/>
    <w:pPr>
      <w:tabs>
        <w:tab w:val="center" w:pos="4680"/>
        <w:tab w:val="right" w:pos="9360"/>
      </w:tabs>
      <w:spacing w:after="0" w:line="240" w:lineRule="auto"/>
    </w:pPr>
  </w:style>
  <w:style w:type="character" w:customStyle="1" w:styleId="HeaderChar">
    <w:name w:val="Header Char"/>
    <w:basedOn w:val="DefaultParagraphFont"/>
    <w:link w:val="Header"/>
    <w:uiPriority w:val="99"/>
    <w:rsid w:val="00CE4136"/>
  </w:style>
  <w:style w:type="paragraph" w:styleId="Footer">
    <w:name w:val="footer"/>
    <w:basedOn w:val="Normal"/>
    <w:link w:val="FooterChar"/>
    <w:uiPriority w:val="99"/>
    <w:unhideWhenUsed/>
    <w:rsid w:val="00CE4136"/>
    <w:pPr>
      <w:tabs>
        <w:tab w:val="center" w:pos="4680"/>
        <w:tab w:val="right" w:pos="9360"/>
      </w:tabs>
      <w:spacing w:after="0" w:line="240" w:lineRule="auto"/>
    </w:pPr>
  </w:style>
  <w:style w:type="character" w:customStyle="1" w:styleId="FooterChar">
    <w:name w:val="Footer Char"/>
    <w:basedOn w:val="DefaultParagraphFont"/>
    <w:link w:val="Footer"/>
    <w:uiPriority w:val="99"/>
    <w:rsid w:val="00CE4136"/>
  </w:style>
  <w:style w:type="paragraph" w:styleId="TOC1">
    <w:name w:val="toc 1"/>
    <w:basedOn w:val="Normal"/>
    <w:next w:val="Normal"/>
    <w:autoRedefine/>
    <w:uiPriority w:val="39"/>
    <w:unhideWhenUsed/>
    <w:rsid w:val="00465147"/>
    <w:pPr>
      <w:tabs>
        <w:tab w:val="right" w:leader="dot" w:pos="8630"/>
      </w:tabs>
      <w:spacing w:after="100"/>
    </w:pPr>
  </w:style>
  <w:style w:type="paragraph" w:styleId="TOC2">
    <w:name w:val="toc 2"/>
    <w:basedOn w:val="Normal"/>
    <w:next w:val="Normal"/>
    <w:autoRedefine/>
    <w:uiPriority w:val="39"/>
    <w:unhideWhenUsed/>
    <w:rsid w:val="00CE4136"/>
    <w:pPr>
      <w:spacing w:after="100"/>
      <w:ind w:left="220"/>
    </w:pPr>
  </w:style>
  <w:style w:type="paragraph" w:styleId="TOC3">
    <w:name w:val="toc 3"/>
    <w:basedOn w:val="Normal"/>
    <w:next w:val="Normal"/>
    <w:autoRedefine/>
    <w:uiPriority w:val="39"/>
    <w:unhideWhenUsed/>
    <w:rsid w:val="00CE4136"/>
    <w:pPr>
      <w:spacing w:after="100"/>
      <w:ind w:left="440"/>
    </w:pPr>
  </w:style>
  <w:style w:type="character" w:styleId="CommentReference">
    <w:name w:val="annotation reference"/>
    <w:basedOn w:val="DefaultParagraphFont"/>
    <w:uiPriority w:val="99"/>
    <w:semiHidden/>
    <w:unhideWhenUsed/>
    <w:rsid w:val="00BC2205"/>
    <w:rPr>
      <w:sz w:val="16"/>
      <w:szCs w:val="16"/>
    </w:rPr>
  </w:style>
  <w:style w:type="paragraph" w:styleId="CommentText">
    <w:name w:val="annotation text"/>
    <w:basedOn w:val="Normal"/>
    <w:link w:val="CommentTextChar"/>
    <w:uiPriority w:val="99"/>
    <w:semiHidden/>
    <w:unhideWhenUsed/>
    <w:rsid w:val="00BC2205"/>
    <w:pPr>
      <w:spacing w:line="240" w:lineRule="auto"/>
    </w:pPr>
    <w:rPr>
      <w:sz w:val="20"/>
      <w:szCs w:val="20"/>
    </w:rPr>
  </w:style>
  <w:style w:type="character" w:customStyle="1" w:styleId="CommentTextChar">
    <w:name w:val="Comment Text Char"/>
    <w:basedOn w:val="DefaultParagraphFont"/>
    <w:link w:val="CommentText"/>
    <w:uiPriority w:val="99"/>
    <w:semiHidden/>
    <w:rsid w:val="00BC2205"/>
    <w:rPr>
      <w:sz w:val="20"/>
      <w:szCs w:val="20"/>
    </w:rPr>
  </w:style>
  <w:style w:type="paragraph" w:styleId="CommentSubject">
    <w:name w:val="annotation subject"/>
    <w:basedOn w:val="CommentText"/>
    <w:next w:val="CommentText"/>
    <w:link w:val="CommentSubjectChar"/>
    <w:uiPriority w:val="99"/>
    <w:semiHidden/>
    <w:unhideWhenUsed/>
    <w:rsid w:val="00BC2205"/>
    <w:rPr>
      <w:b/>
      <w:bCs/>
    </w:rPr>
  </w:style>
  <w:style w:type="character" w:customStyle="1" w:styleId="CommentSubjectChar">
    <w:name w:val="Comment Subject Char"/>
    <w:basedOn w:val="CommentTextChar"/>
    <w:link w:val="CommentSubject"/>
    <w:uiPriority w:val="99"/>
    <w:semiHidden/>
    <w:rsid w:val="00BC2205"/>
    <w:rPr>
      <w:b/>
      <w:bCs/>
      <w:sz w:val="20"/>
      <w:szCs w:val="20"/>
    </w:rPr>
  </w:style>
  <w:style w:type="paragraph" w:styleId="NoSpacing">
    <w:name w:val="No Spacing"/>
    <w:uiPriority w:val="1"/>
    <w:qFormat/>
    <w:rsid w:val="00DC6F5A"/>
    <w:pPr>
      <w:spacing w:after="0" w:line="240" w:lineRule="auto"/>
    </w:pPr>
  </w:style>
  <w:style w:type="paragraph" w:customStyle="1" w:styleId="para">
    <w:name w:val="para"/>
    <w:basedOn w:val="Normal"/>
    <w:rsid w:val="00DC6F5A"/>
    <w:pPr>
      <w:spacing w:before="100" w:beforeAutospacing="1" w:after="100" w:afterAutospacing="1" w:line="240" w:lineRule="auto"/>
    </w:pPr>
    <w:rPr>
      <w:rFonts w:ascii="Times New Roman" w:eastAsia="Times New Roman" w:hAnsi="Times New Roman" w:cs="Times New Roman"/>
      <w:sz w:val="24"/>
      <w:szCs w:val="24"/>
      <w:lang w:eastAsia="fr-CA"/>
    </w:rPr>
  </w:style>
  <w:style w:type="character" w:customStyle="1" w:styleId="no">
    <w:name w:val="no"/>
    <w:basedOn w:val="DefaultParagraphFont"/>
    <w:rsid w:val="00DC6F5A"/>
  </w:style>
  <w:style w:type="paragraph" w:styleId="Revision">
    <w:name w:val="Revision"/>
    <w:hidden/>
    <w:uiPriority w:val="99"/>
    <w:semiHidden/>
    <w:rsid w:val="00223088"/>
    <w:pPr>
      <w:spacing w:after="0" w:line="240" w:lineRule="auto"/>
    </w:pPr>
  </w:style>
  <w:style w:type="character" w:customStyle="1" w:styleId="name">
    <w:name w:val="name"/>
    <w:basedOn w:val="DefaultParagraphFont"/>
    <w:rsid w:val="000175A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3947543">
      <w:bodyDiv w:val="1"/>
      <w:marLeft w:val="0"/>
      <w:marRight w:val="0"/>
      <w:marTop w:val="0"/>
      <w:marBottom w:val="0"/>
      <w:divBdr>
        <w:top w:val="none" w:sz="0" w:space="0" w:color="auto"/>
        <w:left w:val="none" w:sz="0" w:space="0" w:color="auto"/>
        <w:bottom w:val="none" w:sz="0" w:space="0" w:color="auto"/>
        <w:right w:val="none" w:sz="0" w:space="0" w:color="auto"/>
      </w:divBdr>
      <w:divsChild>
        <w:div w:id="243495434">
          <w:marLeft w:val="0"/>
          <w:marRight w:val="0"/>
          <w:marTop w:val="0"/>
          <w:marBottom w:val="0"/>
          <w:divBdr>
            <w:top w:val="none" w:sz="0" w:space="0" w:color="auto"/>
            <w:left w:val="none" w:sz="0" w:space="0" w:color="auto"/>
            <w:bottom w:val="none" w:sz="0" w:space="0" w:color="auto"/>
            <w:right w:val="none" w:sz="0" w:space="0" w:color="auto"/>
          </w:divBdr>
        </w:div>
        <w:div w:id="182523814">
          <w:marLeft w:val="0"/>
          <w:marRight w:val="0"/>
          <w:marTop w:val="0"/>
          <w:marBottom w:val="0"/>
          <w:divBdr>
            <w:top w:val="none" w:sz="0" w:space="0" w:color="auto"/>
            <w:left w:val="none" w:sz="0" w:space="0" w:color="auto"/>
            <w:bottom w:val="none" w:sz="0" w:space="0" w:color="auto"/>
            <w:right w:val="none" w:sz="0" w:space="0" w:color="auto"/>
          </w:divBdr>
        </w:div>
        <w:div w:id="1362702820">
          <w:marLeft w:val="0"/>
          <w:marRight w:val="0"/>
          <w:marTop w:val="0"/>
          <w:marBottom w:val="0"/>
          <w:divBdr>
            <w:top w:val="none" w:sz="0" w:space="0" w:color="auto"/>
            <w:left w:val="none" w:sz="0" w:space="0" w:color="auto"/>
            <w:bottom w:val="none" w:sz="0" w:space="0" w:color="auto"/>
            <w:right w:val="none" w:sz="0" w:space="0" w:color="auto"/>
          </w:divBdr>
        </w:div>
      </w:divsChild>
    </w:div>
    <w:div w:id="341736307">
      <w:bodyDiv w:val="1"/>
      <w:marLeft w:val="0"/>
      <w:marRight w:val="0"/>
      <w:marTop w:val="0"/>
      <w:marBottom w:val="0"/>
      <w:divBdr>
        <w:top w:val="none" w:sz="0" w:space="0" w:color="auto"/>
        <w:left w:val="none" w:sz="0" w:space="0" w:color="auto"/>
        <w:bottom w:val="none" w:sz="0" w:space="0" w:color="auto"/>
        <w:right w:val="none" w:sz="0" w:space="0" w:color="auto"/>
      </w:divBdr>
      <w:divsChild>
        <w:div w:id="593246672">
          <w:marLeft w:val="0"/>
          <w:marRight w:val="0"/>
          <w:marTop w:val="0"/>
          <w:marBottom w:val="0"/>
          <w:divBdr>
            <w:top w:val="none" w:sz="0" w:space="0" w:color="auto"/>
            <w:left w:val="none" w:sz="0" w:space="0" w:color="auto"/>
            <w:bottom w:val="none" w:sz="0" w:space="0" w:color="auto"/>
            <w:right w:val="none" w:sz="0" w:space="0" w:color="auto"/>
          </w:divBdr>
        </w:div>
        <w:div w:id="1957298313">
          <w:marLeft w:val="0"/>
          <w:marRight w:val="0"/>
          <w:marTop w:val="0"/>
          <w:marBottom w:val="0"/>
          <w:divBdr>
            <w:top w:val="none" w:sz="0" w:space="0" w:color="auto"/>
            <w:left w:val="none" w:sz="0" w:space="0" w:color="auto"/>
            <w:bottom w:val="none" w:sz="0" w:space="0" w:color="auto"/>
            <w:right w:val="none" w:sz="0" w:space="0" w:color="auto"/>
          </w:divBdr>
        </w:div>
        <w:div w:id="137919947">
          <w:marLeft w:val="0"/>
          <w:marRight w:val="0"/>
          <w:marTop w:val="0"/>
          <w:marBottom w:val="0"/>
          <w:divBdr>
            <w:top w:val="none" w:sz="0" w:space="0" w:color="auto"/>
            <w:left w:val="none" w:sz="0" w:space="0" w:color="auto"/>
            <w:bottom w:val="none" w:sz="0" w:space="0" w:color="auto"/>
            <w:right w:val="none" w:sz="0" w:space="0" w:color="auto"/>
          </w:divBdr>
        </w:div>
        <w:div w:id="135683024">
          <w:marLeft w:val="0"/>
          <w:marRight w:val="0"/>
          <w:marTop w:val="0"/>
          <w:marBottom w:val="0"/>
          <w:divBdr>
            <w:top w:val="none" w:sz="0" w:space="0" w:color="auto"/>
            <w:left w:val="none" w:sz="0" w:space="0" w:color="auto"/>
            <w:bottom w:val="none" w:sz="0" w:space="0" w:color="auto"/>
            <w:right w:val="none" w:sz="0" w:space="0" w:color="auto"/>
          </w:divBdr>
        </w:div>
        <w:div w:id="1347754658">
          <w:marLeft w:val="0"/>
          <w:marRight w:val="0"/>
          <w:marTop w:val="0"/>
          <w:marBottom w:val="0"/>
          <w:divBdr>
            <w:top w:val="none" w:sz="0" w:space="0" w:color="auto"/>
            <w:left w:val="none" w:sz="0" w:space="0" w:color="auto"/>
            <w:bottom w:val="none" w:sz="0" w:space="0" w:color="auto"/>
            <w:right w:val="none" w:sz="0" w:space="0" w:color="auto"/>
          </w:divBdr>
        </w:div>
        <w:div w:id="926500480">
          <w:marLeft w:val="0"/>
          <w:marRight w:val="0"/>
          <w:marTop w:val="0"/>
          <w:marBottom w:val="0"/>
          <w:divBdr>
            <w:top w:val="none" w:sz="0" w:space="0" w:color="auto"/>
            <w:left w:val="none" w:sz="0" w:space="0" w:color="auto"/>
            <w:bottom w:val="none" w:sz="0" w:space="0" w:color="auto"/>
            <w:right w:val="none" w:sz="0" w:space="0" w:color="auto"/>
          </w:divBdr>
        </w:div>
        <w:div w:id="1123379734">
          <w:marLeft w:val="0"/>
          <w:marRight w:val="0"/>
          <w:marTop w:val="0"/>
          <w:marBottom w:val="0"/>
          <w:divBdr>
            <w:top w:val="none" w:sz="0" w:space="0" w:color="auto"/>
            <w:left w:val="none" w:sz="0" w:space="0" w:color="auto"/>
            <w:bottom w:val="none" w:sz="0" w:space="0" w:color="auto"/>
            <w:right w:val="none" w:sz="0" w:space="0" w:color="auto"/>
          </w:divBdr>
        </w:div>
        <w:div w:id="1910537489">
          <w:marLeft w:val="0"/>
          <w:marRight w:val="0"/>
          <w:marTop w:val="0"/>
          <w:marBottom w:val="0"/>
          <w:divBdr>
            <w:top w:val="none" w:sz="0" w:space="0" w:color="auto"/>
            <w:left w:val="none" w:sz="0" w:space="0" w:color="auto"/>
            <w:bottom w:val="none" w:sz="0" w:space="0" w:color="auto"/>
            <w:right w:val="none" w:sz="0" w:space="0" w:color="auto"/>
          </w:divBdr>
        </w:div>
        <w:div w:id="735052751">
          <w:marLeft w:val="0"/>
          <w:marRight w:val="0"/>
          <w:marTop w:val="0"/>
          <w:marBottom w:val="0"/>
          <w:divBdr>
            <w:top w:val="none" w:sz="0" w:space="0" w:color="auto"/>
            <w:left w:val="none" w:sz="0" w:space="0" w:color="auto"/>
            <w:bottom w:val="none" w:sz="0" w:space="0" w:color="auto"/>
            <w:right w:val="none" w:sz="0" w:space="0" w:color="auto"/>
          </w:divBdr>
        </w:div>
        <w:div w:id="621696156">
          <w:marLeft w:val="0"/>
          <w:marRight w:val="0"/>
          <w:marTop w:val="0"/>
          <w:marBottom w:val="0"/>
          <w:divBdr>
            <w:top w:val="none" w:sz="0" w:space="0" w:color="auto"/>
            <w:left w:val="none" w:sz="0" w:space="0" w:color="auto"/>
            <w:bottom w:val="none" w:sz="0" w:space="0" w:color="auto"/>
            <w:right w:val="none" w:sz="0" w:space="0" w:color="auto"/>
          </w:divBdr>
        </w:div>
      </w:divsChild>
    </w:div>
    <w:div w:id="625619907">
      <w:bodyDiv w:val="1"/>
      <w:marLeft w:val="0"/>
      <w:marRight w:val="0"/>
      <w:marTop w:val="0"/>
      <w:marBottom w:val="0"/>
      <w:divBdr>
        <w:top w:val="none" w:sz="0" w:space="0" w:color="auto"/>
        <w:left w:val="none" w:sz="0" w:space="0" w:color="auto"/>
        <w:bottom w:val="none" w:sz="0" w:space="0" w:color="auto"/>
        <w:right w:val="none" w:sz="0" w:space="0" w:color="auto"/>
      </w:divBdr>
      <w:divsChild>
        <w:div w:id="1752040204">
          <w:marLeft w:val="0"/>
          <w:marRight w:val="0"/>
          <w:marTop w:val="0"/>
          <w:marBottom w:val="0"/>
          <w:divBdr>
            <w:top w:val="none" w:sz="0" w:space="0" w:color="auto"/>
            <w:left w:val="none" w:sz="0" w:space="0" w:color="auto"/>
            <w:bottom w:val="none" w:sz="0" w:space="0" w:color="auto"/>
            <w:right w:val="none" w:sz="0" w:space="0" w:color="auto"/>
          </w:divBdr>
        </w:div>
        <w:div w:id="1834838467">
          <w:marLeft w:val="0"/>
          <w:marRight w:val="0"/>
          <w:marTop w:val="0"/>
          <w:marBottom w:val="0"/>
          <w:divBdr>
            <w:top w:val="none" w:sz="0" w:space="0" w:color="auto"/>
            <w:left w:val="none" w:sz="0" w:space="0" w:color="auto"/>
            <w:bottom w:val="none" w:sz="0" w:space="0" w:color="auto"/>
            <w:right w:val="none" w:sz="0" w:space="0" w:color="auto"/>
          </w:divBdr>
        </w:div>
        <w:div w:id="2083133742">
          <w:marLeft w:val="0"/>
          <w:marRight w:val="0"/>
          <w:marTop w:val="0"/>
          <w:marBottom w:val="0"/>
          <w:divBdr>
            <w:top w:val="none" w:sz="0" w:space="0" w:color="auto"/>
            <w:left w:val="none" w:sz="0" w:space="0" w:color="auto"/>
            <w:bottom w:val="none" w:sz="0" w:space="0" w:color="auto"/>
            <w:right w:val="none" w:sz="0" w:space="0" w:color="auto"/>
          </w:divBdr>
        </w:div>
        <w:div w:id="2000225464">
          <w:marLeft w:val="0"/>
          <w:marRight w:val="0"/>
          <w:marTop w:val="0"/>
          <w:marBottom w:val="0"/>
          <w:divBdr>
            <w:top w:val="none" w:sz="0" w:space="0" w:color="auto"/>
            <w:left w:val="none" w:sz="0" w:space="0" w:color="auto"/>
            <w:bottom w:val="none" w:sz="0" w:space="0" w:color="auto"/>
            <w:right w:val="none" w:sz="0" w:space="0" w:color="auto"/>
          </w:divBdr>
        </w:div>
        <w:div w:id="228610931">
          <w:marLeft w:val="0"/>
          <w:marRight w:val="0"/>
          <w:marTop w:val="0"/>
          <w:marBottom w:val="0"/>
          <w:divBdr>
            <w:top w:val="none" w:sz="0" w:space="0" w:color="auto"/>
            <w:left w:val="none" w:sz="0" w:space="0" w:color="auto"/>
            <w:bottom w:val="none" w:sz="0" w:space="0" w:color="auto"/>
            <w:right w:val="none" w:sz="0" w:space="0" w:color="auto"/>
          </w:divBdr>
        </w:div>
        <w:div w:id="327363100">
          <w:marLeft w:val="0"/>
          <w:marRight w:val="0"/>
          <w:marTop w:val="0"/>
          <w:marBottom w:val="0"/>
          <w:divBdr>
            <w:top w:val="none" w:sz="0" w:space="0" w:color="auto"/>
            <w:left w:val="none" w:sz="0" w:space="0" w:color="auto"/>
            <w:bottom w:val="none" w:sz="0" w:space="0" w:color="auto"/>
            <w:right w:val="none" w:sz="0" w:space="0" w:color="auto"/>
          </w:divBdr>
        </w:div>
        <w:div w:id="301618813">
          <w:marLeft w:val="0"/>
          <w:marRight w:val="0"/>
          <w:marTop w:val="0"/>
          <w:marBottom w:val="0"/>
          <w:divBdr>
            <w:top w:val="none" w:sz="0" w:space="0" w:color="auto"/>
            <w:left w:val="none" w:sz="0" w:space="0" w:color="auto"/>
            <w:bottom w:val="none" w:sz="0" w:space="0" w:color="auto"/>
            <w:right w:val="none" w:sz="0" w:space="0" w:color="auto"/>
          </w:divBdr>
        </w:div>
        <w:div w:id="487138069">
          <w:marLeft w:val="0"/>
          <w:marRight w:val="0"/>
          <w:marTop w:val="0"/>
          <w:marBottom w:val="0"/>
          <w:divBdr>
            <w:top w:val="none" w:sz="0" w:space="0" w:color="auto"/>
            <w:left w:val="none" w:sz="0" w:space="0" w:color="auto"/>
            <w:bottom w:val="none" w:sz="0" w:space="0" w:color="auto"/>
            <w:right w:val="none" w:sz="0" w:space="0" w:color="auto"/>
          </w:divBdr>
        </w:div>
        <w:div w:id="1753157775">
          <w:marLeft w:val="0"/>
          <w:marRight w:val="0"/>
          <w:marTop w:val="0"/>
          <w:marBottom w:val="0"/>
          <w:divBdr>
            <w:top w:val="none" w:sz="0" w:space="0" w:color="auto"/>
            <w:left w:val="none" w:sz="0" w:space="0" w:color="auto"/>
            <w:bottom w:val="none" w:sz="0" w:space="0" w:color="auto"/>
            <w:right w:val="none" w:sz="0" w:space="0" w:color="auto"/>
          </w:divBdr>
        </w:div>
        <w:div w:id="1412922845">
          <w:marLeft w:val="0"/>
          <w:marRight w:val="0"/>
          <w:marTop w:val="0"/>
          <w:marBottom w:val="0"/>
          <w:divBdr>
            <w:top w:val="none" w:sz="0" w:space="0" w:color="auto"/>
            <w:left w:val="none" w:sz="0" w:space="0" w:color="auto"/>
            <w:bottom w:val="none" w:sz="0" w:space="0" w:color="auto"/>
            <w:right w:val="none" w:sz="0" w:space="0" w:color="auto"/>
          </w:divBdr>
        </w:div>
        <w:div w:id="724062109">
          <w:marLeft w:val="0"/>
          <w:marRight w:val="0"/>
          <w:marTop w:val="0"/>
          <w:marBottom w:val="0"/>
          <w:divBdr>
            <w:top w:val="none" w:sz="0" w:space="0" w:color="auto"/>
            <w:left w:val="none" w:sz="0" w:space="0" w:color="auto"/>
            <w:bottom w:val="none" w:sz="0" w:space="0" w:color="auto"/>
            <w:right w:val="none" w:sz="0" w:space="0" w:color="auto"/>
          </w:divBdr>
        </w:div>
        <w:div w:id="1285581741">
          <w:marLeft w:val="0"/>
          <w:marRight w:val="0"/>
          <w:marTop w:val="0"/>
          <w:marBottom w:val="0"/>
          <w:divBdr>
            <w:top w:val="none" w:sz="0" w:space="0" w:color="auto"/>
            <w:left w:val="none" w:sz="0" w:space="0" w:color="auto"/>
            <w:bottom w:val="none" w:sz="0" w:space="0" w:color="auto"/>
            <w:right w:val="none" w:sz="0" w:space="0" w:color="auto"/>
          </w:divBdr>
        </w:div>
        <w:div w:id="1798184603">
          <w:marLeft w:val="0"/>
          <w:marRight w:val="0"/>
          <w:marTop w:val="0"/>
          <w:marBottom w:val="0"/>
          <w:divBdr>
            <w:top w:val="none" w:sz="0" w:space="0" w:color="auto"/>
            <w:left w:val="none" w:sz="0" w:space="0" w:color="auto"/>
            <w:bottom w:val="none" w:sz="0" w:space="0" w:color="auto"/>
            <w:right w:val="none" w:sz="0" w:space="0" w:color="auto"/>
          </w:divBdr>
        </w:div>
      </w:divsChild>
    </w:div>
    <w:div w:id="1084649605">
      <w:bodyDiv w:val="1"/>
      <w:marLeft w:val="0"/>
      <w:marRight w:val="0"/>
      <w:marTop w:val="0"/>
      <w:marBottom w:val="0"/>
      <w:divBdr>
        <w:top w:val="none" w:sz="0" w:space="0" w:color="auto"/>
        <w:left w:val="none" w:sz="0" w:space="0" w:color="auto"/>
        <w:bottom w:val="none" w:sz="0" w:space="0" w:color="auto"/>
        <w:right w:val="none" w:sz="0" w:space="0" w:color="auto"/>
      </w:divBdr>
    </w:div>
    <w:div w:id="1244686683">
      <w:bodyDiv w:val="1"/>
      <w:marLeft w:val="0"/>
      <w:marRight w:val="0"/>
      <w:marTop w:val="0"/>
      <w:marBottom w:val="0"/>
      <w:divBdr>
        <w:top w:val="none" w:sz="0" w:space="0" w:color="auto"/>
        <w:left w:val="none" w:sz="0" w:space="0" w:color="auto"/>
        <w:bottom w:val="none" w:sz="0" w:space="0" w:color="auto"/>
        <w:right w:val="none" w:sz="0" w:space="0" w:color="auto"/>
      </w:divBdr>
      <w:divsChild>
        <w:div w:id="1332564946">
          <w:marLeft w:val="0"/>
          <w:marRight w:val="0"/>
          <w:marTop w:val="0"/>
          <w:marBottom w:val="0"/>
          <w:divBdr>
            <w:top w:val="none" w:sz="0" w:space="0" w:color="auto"/>
            <w:left w:val="none" w:sz="0" w:space="0" w:color="auto"/>
            <w:bottom w:val="none" w:sz="0" w:space="0" w:color="auto"/>
            <w:right w:val="none" w:sz="0" w:space="0" w:color="auto"/>
          </w:divBdr>
        </w:div>
        <w:div w:id="1019115832">
          <w:marLeft w:val="0"/>
          <w:marRight w:val="0"/>
          <w:marTop w:val="0"/>
          <w:marBottom w:val="0"/>
          <w:divBdr>
            <w:top w:val="none" w:sz="0" w:space="0" w:color="auto"/>
            <w:left w:val="none" w:sz="0" w:space="0" w:color="auto"/>
            <w:bottom w:val="none" w:sz="0" w:space="0" w:color="auto"/>
            <w:right w:val="none" w:sz="0" w:space="0" w:color="auto"/>
          </w:divBdr>
        </w:div>
        <w:div w:id="2110007710">
          <w:marLeft w:val="0"/>
          <w:marRight w:val="0"/>
          <w:marTop w:val="0"/>
          <w:marBottom w:val="0"/>
          <w:divBdr>
            <w:top w:val="none" w:sz="0" w:space="0" w:color="auto"/>
            <w:left w:val="none" w:sz="0" w:space="0" w:color="auto"/>
            <w:bottom w:val="none" w:sz="0" w:space="0" w:color="auto"/>
            <w:right w:val="none" w:sz="0" w:space="0" w:color="auto"/>
          </w:divBdr>
        </w:div>
        <w:div w:id="623929569">
          <w:marLeft w:val="0"/>
          <w:marRight w:val="0"/>
          <w:marTop w:val="0"/>
          <w:marBottom w:val="0"/>
          <w:divBdr>
            <w:top w:val="none" w:sz="0" w:space="0" w:color="auto"/>
            <w:left w:val="none" w:sz="0" w:space="0" w:color="auto"/>
            <w:bottom w:val="none" w:sz="0" w:space="0" w:color="auto"/>
            <w:right w:val="none" w:sz="0" w:space="0" w:color="auto"/>
          </w:divBdr>
        </w:div>
        <w:div w:id="540017920">
          <w:marLeft w:val="0"/>
          <w:marRight w:val="0"/>
          <w:marTop w:val="0"/>
          <w:marBottom w:val="0"/>
          <w:divBdr>
            <w:top w:val="none" w:sz="0" w:space="0" w:color="auto"/>
            <w:left w:val="none" w:sz="0" w:space="0" w:color="auto"/>
            <w:bottom w:val="none" w:sz="0" w:space="0" w:color="auto"/>
            <w:right w:val="none" w:sz="0" w:space="0" w:color="auto"/>
          </w:divBdr>
        </w:div>
        <w:div w:id="1770586268">
          <w:marLeft w:val="0"/>
          <w:marRight w:val="0"/>
          <w:marTop w:val="0"/>
          <w:marBottom w:val="0"/>
          <w:divBdr>
            <w:top w:val="none" w:sz="0" w:space="0" w:color="auto"/>
            <w:left w:val="none" w:sz="0" w:space="0" w:color="auto"/>
            <w:bottom w:val="none" w:sz="0" w:space="0" w:color="auto"/>
            <w:right w:val="none" w:sz="0" w:space="0" w:color="auto"/>
          </w:divBdr>
        </w:div>
        <w:div w:id="1495796797">
          <w:marLeft w:val="0"/>
          <w:marRight w:val="0"/>
          <w:marTop w:val="0"/>
          <w:marBottom w:val="0"/>
          <w:divBdr>
            <w:top w:val="none" w:sz="0" w:space="0" w:color="auto"/>
            <w:left w:val="none" w:sz="0" w:space="0" w:color="auto"/>
            <w:bottom w:val="none" w:sz="0" w:space="0" w:color="auto"/>
            <w:right w:val="none" w:sz="0" w:space="0" w:color="auto"/>
          </w:divBdr>
        </w:div>
        <w:div w:id="367149343">
          <w:marLeft w:val="0"/>
          <w:marRight w:val="0"/>
          <w:marTop w:val="0"/>
          <w:marBottom w:val="0"/>
          <w:divBdr>
            <w:top w:val="none" w:sz="0" w:space="0" w:color="auto"/>
            <w:left w:val="none" w:sz="0" w:space="0" w:color="auto"/>
            <w:bottom w:val="none" w:sz="0" w:space="0" w:color="auto"/>
            <w:right w:val="none" w:sz="0" w:space="0" w:color="auto"/>
          </w:divBdr>
        </w:div>
        <w:div w:id="1560478010">
          <w:marLeft w:val="0"/>
          <w:marRight w:val="0"/>
          <w:marTop w:val="0"/>
          <w:marBottom w:val="0"/>
          <w:divBdr>
            <w:top w:val="none" w:sz="0" w:space="0" w:color="auto"/>
            <w:left w:val="none" w:sz="0" w:space="0" w:color="auto"/>
            <w:bottom w:val="none" w:sz="0" w:space="0" w:color="auto"/>
            <w:right w:val="none" w:sz="0" w:space="0" w:color="auto"/>
          </w:divBdr>
        </w:div>
        <w:div w:id="204683751">
          <w:marLeft w:val="0"/>
          <w:marRight w:val="0"/>
          <w:marTop w:val="0"/>
          <w:marBottom w:val="0"/>
          <w:divBdr>
            <w:top w:val="none" w:sz="0" w:space="0" w:color="auto"/>
            <w:left w:val="none" w:sz="0" w:space="0" w:color="auto"/>
            <w:bottom w:val="none" w:sz="0" w:space="0" w:color="auto"/>
            <w:right w:val="none" w:sz="0" w:space="0" w:color="auto"/>
          </w:divBdr>
        </w:div>
        <w:div w:id="1775978724">
          <w:marLeft w:val="0"/>
          <w:marRight w:val="0"/>
          <w:marTop w:val="0"/>
          <w:marBottom w:val="0"/>
          <w:divBdr>
            <w:top w:val="none" w:sz="0" w:space="0" w:color="auto"/>
            <w:left w:val="none" w:sz="0" w:space="0" w:color="auto"/>
            <w:bottom w:val="none" w:sz="0" w:space="0" w:color="auto"/>
            <w:right w:val="none" w:sz="0" w:space="0" w:color="auto"/>
          </w:divBdr>
        </w:div>
        <w:div w:id="1866671134">
          <w:marLeft w:val="0"/>
          <w:marRight w:val="0"/>
          <w:marTop w:val="0"/>
          <w:marBottom w:val="0"/>
          <w:divBdr>
            <w:top w:val="none" w:sz="0" w:space="0" w:color="auto"/>
            <w:left w:val="none" w:sz="0" w:space="0" w:color="auto"/>
            <w:bottom w:val="none" w:sz="0" w:space="0" w:color="auto"/>
            <w:right w:val="none" w:sz="0" w:space="0" w:color="auto"/>
          </w:divBdr>
        </w:div>
        <w:div w:id="541290023">
          <w:marLeft w:val="0"/>
          <w:marRight w:val="0"/>
          <w:marTop w:val="0"/>
          <w:marBottom w:val="0"/>
          <w:divBdr>
            <w:top w:val="none" w:sz="0" w:space="0" w:color="auto"/>
            <w:left w:val="none" w:sz="0" w:space="0" w:color="auto"/>
            <w:bottom w:val="none" w:sz="0" w:space="0" w:color="auto"/>
            <w:right w:val="none" w:sz="0" w:space="0" w:color="auto"/>
          </w:divBdr>
        </w:div>
        <w:div w:id="1872380622">
          <w:marLeft w:val="0"/>
          <w:marRight w:val="0"/>
          <w:marTop w:val="0"/>
          <w:marBottom w:val="0"/>
          <w:divBdr>
            <w:top w:val="none" w:sz="0" w:space="0" w:color="auto"/>
            <w:left w:val="none" w:sz="0" w:space="0" w:color="auto"/>
            <w:bottom w:val="none" w:sz="0" w:space="0" w:color="auto"/>
            <w:right w:val="none" w:sz="0" w:space="0" w:color="auto"/>
          </w:divBdr>
        </w:div>
        <w:div w:id="1732532970">
          <w:marLeft w:val="0"/>
          <w:marRight w:val="0"/>
          <w:marTop w:val="0"/>
          <w:marBottom w:val="0"/>
          <w:divBdr>
            <w:top w:val="none" w:sz="0" w:space="0" w:color="auto"/>
            <w:left w:val="none" w:sz="0" w:space="0" w:color="auto"/>
            <w:bottom w:val="none" w:sz="0" w:space="0" w:color="auto"/>
            <w:right w:val="none" w:sz="0" w:space="0" w:color="auto"/>
          </w:divBdr>
        </w:div>
        <w:div w:id="1530948238">
          <w:marLeft w:val="0"/>
          <w:marRight w:val="0"/>
          <w:marTop w:val="0"/>
          <w:marBottom w:val="0"/>
          <w:divBdr>
            <w:top w:val="none" w:sz="0" w:space="0" w:color="auto"/>
            <w:left w:val="none" w:sz="0" w:space="0" w:color="auto"/>
            <w:bottom w:val="none" w:sz="0" w:space="0" w:color="auto"/>
            <w:right w:val="none" w:sz="0" w:space="0" w:color="auto"/>
          </w:divBdr>
        </w:div>
        <w:div w:id="21906350">
          <w:marLeft w:val="0"/>
          <w:marRight w:val="0"/>
          <w:marTop w:val="0"/>
          <w:marBottom w:val="0"/>
          <w:divBdr>
            <w:top w:val="none" w:sz="0" w:space="0" w:color="auto"/>
            <w:left w:val="none" w:sz="0" w:space="0" w:color="auto"/>
            <w:bottom w:val="none" w:sz="0" w:space="0" w:color="auto"/>
            <w:right w:val="none" w:sz="0" w:space="0" w:color="auto"/>
          </w:divBdr>
        </w:div>
        <w:div w:id="123888533">
          <w:marLeft w:val="0"/>
          <w:marRight w:val="0"/>
          <w:marTop w:val="0"/>
          <w:marBottom w:val="0"/>
          <w:divBdr>
            <w:top w:val="none" w:sz="0" w:space="0" w:color="auto"/>
            <w:left w:val="none" w:sz="0" w:space="0" w:color="auto"/>
            <w:bottom w:val="none" w:sz="0" w:space="0" w:color="auto"/>
            <w:right w:val="none" w:sz="0" w:space="0" w:color="auto"/>
          </w:divBdr>
        </w:div>
        <w:div w:id="1917277618">
          <w:marLeft w:val="0"/>
          <w:marRight w:val="0"/>
          <w:marTop w:val="0"/>
          <w:marBottom w:val="0"/>
          <w:divBdr>
            <w:top w:val="none" w:sz="0" w:space="0" w:color="auto"/>
            <w:left w:val="none" w:sz="0" w:space="0" w:color="auto"/>
            <w:bottom w:val="none" w:sz="0" w:space="0" w:color="auto"/>
            <w:right w:val="none" w:sz="0" w:space="0" w:color="auto"/>
          </w:divBdr>
        </w:div>
        <w:div w:id="562373987">
          <w:marLeft w:val="0"/>
          <w:marRight w:val="0"/>
          <w:marTop w:val="0"/>
          <w:marBottom w:val="0"/>
          <w:divBdr>
            <w:top w:val="none" w:sz="0" w:space="0" w:color="auto"/>
            <w:left w:val="none" w:sz="0" w:space="0" w:color="auto"/>
            <w:bottom w:val="none" w:sz="0" w:space="0" w:color="auto"/>
            <w:right w:val="none" w:sz="0" w:space="0" w:color="auto"/>
          </w:divBdr>
        </w:div>
        <w:div w:id="1483959580">
          <w:marLeft w:val="0"/>
          <w:marRight w:val="0"/>
          <w:marTop w:val="0"/>
          <w:marBottom w:val="0"/>
          <w:divBdr>
            <w:top w:val="none" w:sz="0" w:space="0" w:color="auto"/>
            <w:left w:val="none" w:sz="0" w:space="0" w:color="auto"/>
            <w:bottom w:val="none" w:sz="0" w:space="0" w:color="auto"/>
            <w:right w:val="none" w:sz="0" w:space="0" w:color="auto"/>
          </w:divBdr>
        </w:div>
        <w:div w:id="1852060160">
          <w:marLeft w:val="0"/>
          <w:marRight w:val="0"/>
          <w:marTop w:val="0"/>
          <w:marBottom w:val="0"/>
          <w:divBdr>
            <w:top w:val="none" w:sz="0" w:space="0" w:color="auto"/>
            <w:left w:val="none" w:sz="0" w:space="0" w:color="auto"/>
            <w:bottom w:val="none" w:sz="0" w:space="0" w:color="auto"/>
            <w:right w:val="none" w:sz="0" w:space="0" w:color="auto"/>
          </w:divBdr>
        </w:div>
        <w:div w:id="939221758">
          <w:marLeft w:val="0"/>
          <w:marRight w:val="0"/>
          <w:marTop w:val="0"/>
          <w:marBottom w:val="0"/>
          <w:divBdr>
            <w:top w:val="none" w:sz="0" w:space="0" w:color="auto"/>
            <w:left w:val="none" w:sz="0" w:space="0" w:color="auto"/>
            <w:bottom w:val="none" w:sz="0" w:space="0" w:color="auto"/>
            <w:right w:val="none" w:sz="0" w:space="0" w:color="auto"/>
          </w:divBdr>
        </w:div>
        <w:div w:id="1416901277">
          <w:marLeft w:val="0"/>
          <w:marRight w:val="0"/>
          <w:marTop w:val="0"/>
          <w:marBottom w:val="0"/>
          <w:divBdr>
            <w:top w:val="none" w:sz="0" w:space="0" w:color="auto"/>
            <w:left w:val="none" w:sz="0" w:space="0" w:color="auto"/>
            <w:bottom w:val="none" w:sz="0" w:space="0" w:color="auto"/>
            <w:right w:val="none" w:sz="0" w:space="0" w:color="auto"/>
          </w:divBdr>
        </w:div>
        <w:div w:id="1346905446">
          <w:marLeft w:val="0"/>
          <w:marRight w:val="0"/>
          <w:marTop w:val="0"/>
          <w:marBottom w:val="0"/>
          <w:divBdr>
            <w:top w:val="none" w:sz="0" w:space="0" w:color="auto"/>
            <w:left w:val="none" w:sz="0" w:space="0" w:color="auto"/>
            <w:bottom w:val="none" w:sz="0" w:space="0" w:color="auto"/>
            <w:right w:val="none" w:sz="0" w:space="0" w:color="auto"/>
          </w:divBdr>
        </w:div>
        <w:div w:id="1412192906">
          <w:marLeft w:val="0"/>
          <w:marRight w:val="0"/>
          <w:marTop w:val="0"/>
          <w:marBottom w:val="0"/>
          <w:divBdr>
            <w:top w:val="none" w:sz="0" w:space="0" w:color="auto"/>
            <w:left w:val="none" w:sz="0" w:space="0" w:color="auto"/>
            <w:bottom w:val="none" w:sz="0" w:space="0" w:color="auto"/>
            <w:right w:val="none" w:sz="0" w:space="0" w:color="auto"/>
          </w:divBdr>
        </w:div>
        <w:div w:id="259221190">
          <w:marLeft w:val="0"/>
          <w:marRight w:val="0"/>
          <w:marTop w:val="0"/>
          <w:marBottom w:val="0"/>
          <w:divBdr>
            <w:top w:val="none" w:sz="0" w:space="0" w:color="auto"/>
            <w:left w:val="none" w:sz="0" w:space="0" w:color="auto"/>
            <w:bottom w:val="none" w:sz="0" w:space="0" w:color="auto"/>
            <w:right w:val="none" w:sz="0" w:space="0" w:color="auto"/>
          </w:divBdr>
        </w:div>
        <w:div w:id="1809782831">
          <w:marLeft w:val="0"/>
          <w:marRight w:val="0"/>
          <w:marTop w:val="0"/>
          <w:marBottom w:val="0"/>
          <w:divBdr>
            <w:top w:val="none" w:sz="0" w:space="0" w:color="auto"/>
            <w:left w:val="none" w:sz="0" w:space="0" w:color="auto"/>
            <w:bottom w:val="none" w:sz="0" w:space="0" w:color="auto"/>
            <w:right w:val="none" w:sz="0" w:space="0" w:color="auto"/>
          </w:divBdr>
        </w:div>
      </w:divsChild>
    </w:div>
    <w:div w:id="1367676976">
      <w:bodyDiv w:val="1"/>
      <w:marLeft w:val="0"/>
      <w:marRight w:val="0"/>
      <w:marTop w:val="0"/>
      <w:marBottom w:val="0"/>
      <w:divBdr>
        <w:top w:val="none" w:sz="0" w:space="0" w:color="auto"/>
        <w:left w:val="none" w:sz="0" w:space="0" w:color="auto"/>
        <w:bottom w:val="none" w:sz="0" w:space="0" w:color="auto"/>
        <w:right w:val="none" w:sz="0" w:space="0" w:color="auto"/>
      </w:divBdr>
      <w:divsChild>
        <w:div w:id="830752028">
          <w:marLeft w:val="0"/>
          <w:marRight w:val="0"/>
          <w:marTop w:val="0"/>
          <w:marBottom w:val="0"/>
          <w:divBdr>
            <w:top w:val="none" w:sz="0" w:space="0" w:color="auto"/>
            <w:left w:val="none" w:sz="0" w:space="0" w:color="auto"/>
            <w:bottom w:val="none" w:sz="0" w:space="0" w:color="auto"/>
            <w:right w:val="none" w:sz="0" w:space="0" w:color="auto"/>
          </w:divBdr>
        </w:div>
      </w:divsChild>
    </w:div>
    <w:div w:id="1850678135">
      <w:bodyDiv w:val="1"/>
      <w:marLeft w:val="0"/>
      <w:marRight w:val="0"/>
      <w:marTop w:val="0"/>
      <w:marBottom w:val="0"/>
      <w:divBdr>
        <w:top w:val="none" w:sz="0" w:space="0" w:color="auto"/>
        <w:left w:val="none" w:sz="0" w:space="0" w:color="auto"/>
        <w:bottom w:val="none" w:sz="0" w:space="0" w:color="auto"/>
        <w:right w:val="none" w:sz="0" w:space="0" w:color="auto"/>
      </w:divBdr>
    </w:div>
    <w:div w:id="208143692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4.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3.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fontTable" Target="fontTable.xml"/></Relationships>
</file>

<file path=word/_rels/footnotes.xml.rels><?xml version="1.0" encoding="UTF-8" standalone="yes"?>
<Relationships xmlns="http://schemas.openxmlformats.org/package/2006/relationships"><Relationship Id="rId3" Type="http://schemas.openxmlformats.org/officeDocument/2006/relationships/hyperlink" Target="https://www.uantwerpen.be/images/uantwerpen/container49546/files/Burundi/JT/230518.pdf" TargetMode="External"/><Relationship Id="rId2" Type="http://schemas.openxmlformats.org/officeDocument/2006/relationships/hyperlink" Target="https://www.uantwerpen.be/images/uantwerpen/container49546/files/Burundi/JT/CVR/101018.pdf" TargetMode="External"/><Relationship Id="rId1" Type="http://schemas.openxmlformats.org/officeDocument/2006/relationships/hyperlink" Target="https://www.uantwerpen.be/images/uantwerpen/container49546/files/Burundi/JT/CVR/101018.pdf" TargetMode="External"/><Relationship Id="rId4" Type="http://schemas.openxmlformats.org/officeDocument/2006/relationships/hyperlink" Target="https://www.uantwerpen.be/images/uantwerpen/container49546/files/Burundi/JT/230518.pdf" TargetMode="Externa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0097A54-9743-4FFA-9223-094F59471E6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57</Pages>
  <Words>13272</Words>
  <Characters>75657</Characters>
  <Application>Microsoft Office Word</Application>
  <DocSecurity>4</DocSecurity>
  <Lines>630</Lines>
  <Paragraphs>177</Paragraphs>
  <ScaleCrop>false</ScaleCrop>
  <HeadingPairs>
    <vt:vector size="4" baseType="variant">
      <vt:variant>
        <vt:lpstr>Title</vt:lpstr>
      </vt:variant>
      <vt:variant>
        <vt:i4>1</vt:i4>
      </vt:variant>
      <vt:variant>
        <vt:lpstr>Titre</vt:lpstr>
      </vt:variant>
      <vt:variant>
        <vt:i4>1</vt:i4>
      </vt:variant>
    </vt:vector>
  </HeadingPairs>
  <TitlesOfParts>
    <vt:vector size="2" baseType="lpstr">
      <vt:lpstr/>
      <vt:lpstr/>
    </vt:vector>
  </TitlesOfParts>
  <Company/>
  <LinksUpToDate>false</LinksUpToDate>
  <CharactersWithSpaces>88752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emmanuel</dc:creator>
  <cp:lastModifiedBy>Francine Quesnel</cp:lastModifiedBy>
  <cp:revision>2</cp:revision>
  <dcterms:created xsi:type="dcterms:W3CDTF">2019-10-17T12:36:00Z</dcterms:created>
  <dcterms:modified xsi:type="dcterms:W3CDTF">2019-10-17T12:36:00Z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zotero-version="5.0.65"&gt;&lt;session id="rYVSImTO"/&gt;&lt;style id="http://www.zotero.org/styles/chicago-fullnote-bibliography" locale="fr-CA" hasBibliography="1" bibliographyStyleHasBeenSet="1"/&gt;&lt;prefs&gt;&lt;pref name="fieldType" value="Field"/&gt;</vt:lpwstr>
  </property>
  <property fmtid="{D5CDD505-2E9C-101B-9397-08002B2CF9AE}" pid="3" name="ZOTERO_PREF_2">
    <vt:lpwstr>&lt;pref name="automaticJournalAbbreviations" value="true"/&gt;&lt;pref name="noteType" value="1"/&gt;&lt;/prefs&gt;&lt;/data&gt;</vt:lpwstr>
  </property>
</Properties>
</file>