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5790" w:rsidRPr="00871FA6" w:rsidRDefault="00C35822" w:rsidP="007C14B8">
      <w:pPr>
        <w:jc w:val="center"/>
        <w:rPr>
          <w:sz w:val="28"/>
        </w:rPr>
      </w:pPr>
      <w:r w:rsidRPr="00871FA6">
        <w:rPr>
          <w:sz w:val="28"/>
        </w:rPr>
        <w:t xml:space="preserve">ABSC 2019 </w:t>
      </w:r>
      <w:r w:rsidR="00D75790" w:rsidRPr="00871FA6">
        <w:rPr>
          <w:sz w:val="28"/>
        </w:rPr>
        <w:t>–</w:t>
      </w:r>
      <w:r w:rsidRPr="00871FA6">
        <w:rPr>
          <w:sz w:val="28"/>
        </w:rPr>
        <w:t xml:space="preserve"> </w:t>
      </w:r>
      <w:r w:rsidR="00D75790" w:rsidRPr="00871FA6">
        <w:rPr>
          <w:sz w:val="28"/>
        </w:rPr>
        <w:t>Formation continue</w:t>
      </w:r>
    </w:p>
    <w:p w:rsidR="00D75790" w:rsidRDefault="00D75790" w:rsidP="007C14B8">
      <w:pPr>
        <w:jc w:val="center"/>
        <w:rPr>
          <w:sz w:val="28"/>
        </w:rPr>
      </w:pPr>
      <w:r w:rsidRPr="00D75790">
        <w:rPr>
          <w:sz w:val="28"/>
        </w:rPr>
        <w:t>CEAM01 – Copyright Aware: What You Need to Know</w:t>
      </w:r>
    </w:p>
    <w:p w:rsidR="00E72202" w:rsidRDefault="00E72202" w:rsidP="007C14B8">
      <w:pPr>
        <w:jc w:val="center"/>
        <w:rPr>
          <w:sz w:val="28"/>
        </w:rPr>
      </w:pPr>
    </w:p>
    <w:p w:rsidR="00E72202" w:rsidRPr="00871FA6" w:rsidRDefault="00E72202" w:rsidP="007C14B8">
      <w:pPr>
        <w:jc w:val="center"/>
        <w:rPr>
          <w:sz w:val="24"/>
          <w:lang w:val="fr-CA"/>
        </w:rPr>
      </w:pPr>
      <w:r w:rsidRPr="00871FA6">
        <w:rPr>
          <w:sz w:val="24"/>
          <w:lang w:val="fr-CA"/>
        </w:rPr>
        <w:t xml:space="preserve">Mélanie Brunet et </w:t>
      </w:r>
      <w:proofErr w:type="spellStart"/>
      <w:r w:rsidRPr="00871FA6">
        <w:rPr>
          <w:sz w:val="24"/>
          <w:lang w:val="fr-CA"/>
        </w:rPr>
        <w:t>Obianuju</w:t>
      </w:r>
      <w:proofErr w:type="spellEnd"/>
      <w:r w:rsidRPr="00871FA6">
        <w:rPr>
          <w:sz w:val="24"/>
          <w:lang w:val="fr-CA"/>
        </w:rPr>
        <w:t xml:space="preserve"> </w:t>
      </w:r>
      <w:proofErr w:type="spellStart"/>
      <w:r w:rsidRPr="00871FA6">
        <w:rPr>
          <w:sz w:val="24"/>
          <w:lang w:val="fr-CA"/>
        </w:rPr>
        <w:t>Mollel</w:t>
      </w:r>
      <w:proofErr w:type="spellEnd"/>
    </w:p>
    <w:p w:rsidR="00E72202" w:rsidRPr="00871FA6" w:rsidRDefault="00E72202" w:rsidP="007C14B8">
      <w:pPr>
        <w:jc w:val="center"/>
        <w:rPr>
          <w:b/>
          <w:sz w:val="28"/>
          <w:lang w:val="fr-CA"/>
        </w:rPr>
      </w:pPr>
    </w:p>
    <w:p w:rsidR="00AF27AC" w:rsidRDefault="00486B43" w:rsidP="007C14B8">
      <w:pPr>
        <w:jc w:val="center"/>
        <w:rPr>
          <w:b/>
          <w:sz w:val="28"/>
          <w:lang w:val="fr-CA"/>
        </w:rPr>
      </w:pPr>
      <w:r>
        <w:rPr>
          <w:b/>
          <w:sz w:val="28"/>
          <w:lang w:val="fr-CA"/>
        </w:rPr>
        <w:t xml:space="preserve">Auto-évaluation – </w:t>
      </w:r>
      <w:r w:rsidR="007C14B8" w:rsidRPr="00083BA2">
        <w:rPr>
          <w:b/>
          <w:sz w:val="28"/>
          <w:lang w:val="fr-CA"/>
        </w:rPr>
        <w:t>Quiz</w:t>
      </w:r>
      <w:r w:rsidR="00D75790">
        <w:rPr>
          <w:b/>
          <w:sz w:val="28"/>
          <w:lang w:val="fr-CA"/>
        </w:rPr>
        <w:t xml:space="preserve"> du droit d’auteur</w:t>
      </w:r>
    </w:p>
    <w:p w:rsidR="00486B43" w:rsidRDefault="00486B43" w:rsidP="007C14B8">
      <w:pPr>
        <w:jc w:val="center"/>
        <w:rPr>
          <w:sz w:val="28"/>
          <w:u w:val="single"/>
          <w:lang w:val="fr-CA"/>
        </w:rPr>
      </w:pPr>
    </w:p>
    <w:p w:rsidR="00C67203" w:rsidRPr="00C67203" w:rsidRDefault="00D75790" w:rsidP="007B45FB">
      <w:pPr>
        <w:jc w:val="center"/>
        <w:rPr>
          <w:sz w:val="24"/>
          <w:lang w:val="fr-CA"/>
        </w:rPr>
      </w:pPr>
      <w:r>
        <w:rPr>
          <w:sz w:val="24"/>
          <w:lang w:val="fr-CA"/>
        </w:rPr>
        <w:t xml:space="preserve">Complétez le quiz avant l’atelier. </w:t>
      </w:r>
      <w:r w:rsidR="00C67203" w:rsidRPr="00C67203">
        <w:rPr>
          <w:sz w:val="24"/>
          <w:lang w:val="fr-CA"/>
        </w:rPr>
        <w:t>Refaites</w:t>
      </w:r>
      <w:r>
        <w:rPr>
          <w:sz w:val="24"/>
          <w:lang w:val="fr-CA"/>
        </w:rPr>
        <w:t>-</w:t>
      </w:r>
      <w:r w:rsidR="00C67203" w:rsidRPr="00C67203">
        <w:rPr>
          <w:sz w:val="24"/>
          <w:lang w:val="fr-CA"/>
        </w:rPr>
        <w:t xml:space="preserve">le quiz après </w:t>
      </w:r>
      <w:r>
        <w:rPr>
          <w:sz w:val="24"/>
          <w:lang w:val="fr-CA"/>
        </w:rPr>
        <w:t xml:space="preserve">pour </w:t>
      </w:r>
      <w:r w:rsidR="00C67203" w:rsidRPr="00C67203">
        <w:rPr>
          <w:sz w:val="24"/>
          <w:lang w:val="fr-CA"/>
        </w:rPr>
        <w:t xml:space="preserve">évaluer </w:t>
      </w:r>
      <w:r w:rsidR="00E97634">
        <w:rPr>
          <w:sz w:val="24"/>
          <w:lang w:val="fr-CA"/>
        </w:rPr>
        <w:t>vos</w:t>
      </w:r>
      <w:r>
        <w:rPr>
          <w:sz w:val="24"/>
          <w:lang w:val="fr-CA"/>
        </w:rPr>
        <w:t xml:space="preserve"> nouvelles</w:t>
      </w:r>
      <w:r w:rsidR="00E97634">
        <w:rPr>
          <w:sz w:val="24"/>
          <w:lang w:val="fr-CA"/>
        </w:rPr>
        <w:t xml:space="preserve"> connaissances</w:t>
      </w:r>
      <w:r w:rsidR="00871FA6">
        <w:rPr>
          <w:sz w:val="24"/>
          <w:lang w:val="fr-CA"/>
        </w:rPr>
        <w:t xml:space="preserve"> </w:t>
      </w:r>
      <w:r>
        <w:rPr>
          <w:sz w:val="24"/>
          <w:lang w:val="fr-CA"/>
        </w:rPr>
        <w:t>!</w:t>
      </w:r>
      <w:r w:rsidR="007B45FB">
        <w:rPr>
          <w:sz w:val="24"/>
          <w:lang w:val="fr-CA"/>
        </w:rPr>
        <w:t xml:space="preserve"> </w:t>
      </w:r>
      <w:r w:rsidR="00C67203" w:rsidRPr="00C67203">
        <w:rPr>
          <w:sz w:val="24"/>
          <w:lang w:val="fr-CA"/>
        </w:rPr>
        <w:t>Vous n’avez pas à partager ces résultats avec qui que ce soit.</w:t>
      </w:r>
    </w:p>
    <w:p w:rsidR="00C67203" w:rsidRDefault="00C67203" w:rsidP="007C14B8">
      <w:pPr>
        <w:jc w:val="center"/>
        <w:rPr>
          <w:sz w:val="28"/>
          <w:u w:val="single"/>
          <w:lang w:val="fr-CA"/>
        </w:rPr>
      </w:pPr>
    </w:p>
    <w:p w:rsidR="007C14B8" w:rsidRPr="00083BA2" w:rsidRDefault="00083BA2" w:rsidP="007C14B8">
      <w:pPr>
        <w:jc w:val="center"/>
        <w:rPr>
          <w:sz w:val="28"/>
          <w:u w:val="single"/>
          <w:lang w:val="fr-CA"/>
        </w:rPr>
      </w:pPr>
      <w:r w:rsidRPr="00083BA2">
        <w:rPr>
          <w:sz w:val="28"/>
          <w:u w:val="single"/>
          <w:lang w:val="fr-CA"/>
        </w:rPr>
        <w:t>Vrai ou faux</w:t>
      </w:r>
      <w:r>
        <w:rPr>
          <w:sz w:val="28"/>
          <w:u w:val="single"/>
          <w:lang w:val="fr-CA"/>
        </w:rPr>
        <w:t xml:space="preserve"> </w:t>
      </w:r>
      <w:r w:rsidR="007C14B8" w:rsidRPr="00083BA2">
        <w:rPr>
          <w:sz w:val="28"/>
          <w:u w:val="single"/>
          <w:lang w:val="fr-CA"/>
        </w:rPr>
        <w:t>?</w:t>
      </w:r>
    </w:p>
    <w:p w:rsidR="007C14B8" w:rsidRDefault="007C14B8" w:rsidP="007C14B8">
      <w:pPr>
        <w:jc w:val="center"/>
        <w:rPr>
          <w:sz w:val="28"/>
          <w:u w:val="single"/>
          <w:lang w:val="fr-CA"/>
        </w:rPr>
      </w:pPr>
    </w:p>
    <w:tbl>
      <w:tblPr>
        <w:tblStyle w:val="TableGrid"/>
        <w:tblW w:w="9918" w:type="dxa"/>
        <w:tblLayout w:type="fixed"/>
        <w:tblLook w:val="04A0" w:firstRow="1" w:lastRow="0" w:firstColumn="1" w:lastColumn="0" w:noHBand="0" w:noVBand="1"/>
      </w:tblPr>
      <w:tblGrid>
        <w:gridCol w:w="7083"/>
        <w:gridCol w:w="1417"/>
        <w:gridCol w:w="1418"/>
      </w:tblGrid>
      <w:tr w:rsidR="00C67203" w:rsidRPr="00194235" w:rsidTr="00E72202">
        <w:tc>
          <w:tcPr>
            <w:tcW w:w="7083" w:type="dxa"/>
          </w:tcPr>
          <w:p w:rsidR="00C67203" w:rsidRPr="00C67203" w:rsidRDefault="00C67203" w:rsidP="00C67203">
            <w:pPr>
              <w:rPr>
                <w:sz w:val="28"/>
                <w:lang w:val="fr-CA"/>
              </w:rPr>
            </w:pPr>
          </w:p>
        </w:tc>
        <w:tc>
          <w:tcPr>
            <w:tcW w:w="1417" w:type="dxa"/>
          </w:tcPr>
          <w:p w:rsidR="00C67203" w:rsidRPr="00C67203" w:rsidRDefault="00C67203" w:rsidP="00E72202">
            <w:pPr>
              <w:jc w:val="center"/>
              <w:rPr>
                <w:b/>
                <w:sz w:val="28"/>
                <w:lang w:val="fr-CA"/>
              </w:rPr>
            </w:pPr>
            <w:r w:rsidRPr="00C67203">
              <w:rPr>
                <w:b/>
                <w:sz w:val="28"/>
                <w:lang w:val="fr-CA"/>
              </w:rPr>
              <w:t>Avant</w:t>
            </w:r>
          </w:p>
        </w:tc>
        <w:tc>
          <w:tcPr>
            <w:tcW w:w="1418" w:type="dxa"/>
          </w:tcPr>
          <w:p w:rsidR="00C67203" w:rsidRPr="00C67203" w:rsidRDefault="00C67203" w:rsidP="00E72202">
            <w:pPr>
              <w:jc w:val="center"/>
              <w:rPr>
                <w:b/>
                <w:sz w:val="28"/>
                <w:lang w:val="fr-CA"/>
              </w:rPr>
            </w:pPr>
            <w:r w:rsidRPr="00C67203">
              <w:rPr>
                <w:b/>
                <w:sz w:val="28"/>
                <w:lang w:val="fr-CA"/>
              </w:rPr>
              <w:t>Après</w:t>
            </w:r>
          </w:p>
        </w:tc>
      </w:tr>
      <w:tr w:rsidR="00C67203" w:rsidRPr="00F33B38" w:rsidTr="00E72202">
        <w:tc>
          <w:tcPr>
            <w:tcW w:w="7083" w:type="dxa"/>
          </w:tcPr>
          <w:p w:rsidR="00C67203" w:rsidRPr="00083BA2" w:rsidRDefault="00C67203" w:rsidP="00473A53">
            <w:pPr>
              <w:pStyle w:val="ListParagraph"/>
              <w:numPr>
                <w:ilvl w:val="0"/>
                <w:numId w:val="2"/>
              </w:numPr>
              <w:rPr>
                <w:sz w:val="28"/>
                <w:lang w:val="fr-CA"/>
              </w:rPr>
            </w:pPr>
            <w:r w:rsidRPr="00083BA2">
              <w:rPr>
                <w:sz w:val="28"/>
                <w:lang w:val="fr-CA"/>
              </w:rPr>
              <w:t>Les hyperliens constituent une atteinte au droit</w:t>
            </w:r>
            <w:r>
              <w:rPr>
                <w:sz w:val="28"/>
                <w:lang w:val="fr-CA"/>
              </w:rPr>
              <w:t xml:space="preserve"> d’auteur</w:t>
            </w:r>
            <w:r w:rsidRPr="00083BA2">
              <w:rPr>
                <w:sz w:val="28"/>
                <w:lang w:val="fr-CA"/>
              </w:rPr>
              <w:t>.</w:t>
            </w:r>
          </w:p>
        </w:tc>
        <w:tc>
          <w:tcPr>
            <w:tcW w:w="1417" w:type="dxa"/>
          </w:tcPr>
          <w:p w:rsidR="00C67203" w:rsidRPr="00083BA2" w:rsidRDefault="00C67203" w:rsidP="007C14B8">
            <w:pPr>
              <w:rPr>
                <w:sz w:val="28"/>
                <w:lang w:val="fr-CA"/>
              </w:rPr>
            </w:pPr>
          </w:p>
        </w:tc>
        <w:tc>
          <w:tcPr>
            <w:tcW w:w="1418" w:type="dxa"/>
          </w:tcPr>
          <w:p w:rsidR="00C67203" w:rsidRPr="00083BA2" w:rsidRDefault="00C67203" w:rsidP="007C14B8">
            <w:pPr>
              <w:rPr>
                <w:sz w:val="28"/>
                <w:lang w:val="fr-CA"/>
              </w:rPr>
            </w:pPr>
          </w:p>
        </w:tc>
      </w:tr>
      <w:tr w:rsidR="00C67203" w:rsidRPr="00F33B38" w:rsidTr="00E72202">
        <w:tc>
          <w:tcPr>
            <w:tcW w:w="7083" w:type="dxa"/>
          </w:tcPr>
          <w:p w:rsidR="00C67203" w:rsidRPr="003267AE" w:rsidRDefault="00322A1B" w:rsidP="00322A1B">
            <w:pPr>
              <w:pStyle w:val="ListParagraph"/>
              <w:numPr>
                <w:ilvl w:val="0"/>
                <w:numId w:val="2"/>
              </w:numPr>
              <w:rPr>
                <w:sz w:val="28"/>
                <w:lang w:val="fr-CA"/>
              </w:rPr>
            </w:pPr>
            <w:r>
              <w:rPr>
                <w:sz w:val="28"/>
                <w:lang w:val="fr-CA"/>
              </w:rPr>
              <w:t>A</w:t>
            </w:r>
            <w:r w:rsidR="00C67203" w:rsidRPr="003267AE">
              <w:rPr>
                <w:sz w:val="28"/>
                <w:lang w:val="fr-CA"/>
              </w:rPr>
              <w:t>ucun profit n’a ét</w:t>
            </w:r>
            <w:r>
              <w:rPr>
                <w:sz w:val="28"/>
                <w:lang w:val="fr-CA"/>
              </w:rPr>
              <w:t xml:space="preserve">é empoché avec la reproduction, donc il ne s’agit pas d’une </w:t>
            </w:r>
            <w:r w:rsidR="00C67203" w:rsidRPr="003267AE">
              <w:rPr>
                <w:sz w:val="28"/>
                <w:lang w:val="fr-CA"/>
              </w:rPr>
              <w:t>atteinte au droit d’auteur.</w:t>
            </w:r>
          </w:p>
        </w:tc>
        <w:tc>
          <w:tcPr>
            <w:tcW w:w="1417" w:type="dxa"/>
          </w:tcPr>
          <w:p w:rsidR="00C67203" w:rsidRPr="003267AE" w:rsidRDefault="00C67203" w:rsidP="007C14B8">
            <w:pPr>
              <w:rPr>
                <w:sz w:val="28"/>
                <w:lang w:val="fr-CA"/>
              </w:rPr>
            </w:pPr>
          </w:p>
        </w:tc>
        <w:tc>
          <w:tcPr>
            <w:tcW w:w="1418" w:type="dxa"/>
          </w:tcPr>
          <w:p w:rsidR="00C67203" w:rsidRPr="003267AE" w:rsidRDefault="00C67203" w:rsidP="007C14B8">
            <w:pPr>
              <w:rPr>
                <w:sz w:val="28"/>
                <w:lang w:val="fr-CA"/>
              </w:rPr>
            </w:pPr>
          </w:p>
        </w:tc>
      </w:tr>
      <w:tr w:rsidR="00C67203" w:rsidRPr="00F33B38" w:rsidTr="00E72202">
        <w:tc>
          <w:tcPr>
            <w:tcW w:w="7083" w:type="dxa"/>
          </w:tcPr>
          <w:p w:rsidR="00C67203" w:rsidRPr="00AF27AC" w:rsidRDefault="00C67203" w:rsidP="00322A1B">
            <w:pPr>
              <w:pStyle w:val="ListParagraph"/>
              <w:numPr>
                <w:ilvl w:val="0"/>
                <w:numId w:val="2"/>
              </w:numPr>
              <w:rPr>
                <w:sz w:val="28"/>
                <w:lang w:val="fr-CA"/>
              </w:rPr>
            </w:pPr>
            <w:r w:rsidRPr="00AF27AC">
              <w:rPr>
                <w:sz w:val="28"/>
                <w:lang w:val="fr-CA"/>
              </w:rPr>
              <w:t xml:space="preserve">Même si quelque chose est disponible </w:t>
            </w:r>
            <w:r w:rsidR="00322A1B">
              <w:rPr>
                <w:sz w:val="28"/>
                <w:lang w:val="fr-CA"/>
              </w:rPr>
              <w:t>gratuitement</w:t>
            </w:r>
            <w:r w:rsidRPr="00AF27AC">
              <w:rPr>
                <w:sz w:val="28"/>
                <w:lang w:val="fr-CA"/>
              </w:rPr>
              <w:t xml:space="preserve"> sur Internet, il est possible que ce soit protégé par le droit d’auteur et</w:t>
            </w:r>
            <w:r>
              <w:rPr>
                <w:sz w:val="28"/>
                <w:lang w:val="fr-CA"/>
              </w:rPr>
              <w:t xml:space="preserve"> qu’une permission soit requise. </w:t>
            </w:r>
          </w:p>
        </w:tc>
        <w:tc>
          <w:tcPr>
            <w:tcW w:w="1417" w:type="dxa"/>
          </w:tcPr>
          <w:p w:rsidR="00C67203" w:rsidRPr="00AF27AC" w:rsidRDefault="00C67203" w:rsidP="007C14B8">
            <w:pPr>
              <w:rPr>
                <w:sz w:val="28"/>
                <w:lang w:val="fr-CA"/>
              </w:rPr>
            </w:pPr>
          </w:p>
        </w:tc>
        <w:tc>
          <w:tcPr>
            <w:tcW w:w="1418" w:type="dxa"/>
          </w:tcPr>
          <w:p w:rsidR="00C67203" w:rsidRPr="00AF27AC" w:rsidRDefault="00C67203" w:rsidP="007C14B8">
            <w:pPr>
              <w:rPr>
                <w:sz w:val="28"/>
                <w:lang w:val="fr-CA"/>
              </w:rPr>
            </w:pPr>
          </w:p>
        </w:tc>
      </w:tr>
      <w:tr w:rsidR="00C67203" w:rsidRPr="00F33B38" w:rsidTr="00E72202">
        <w:tc>
          <w:tcPr>
            <w:tcW w:w="7083" w:type="dxa"/>
          </w:tcPr>
          <w:p w:rsidR="00C67203" w:rsidRPr="00AF27AC" w:rsidRDefault="00C67203" w:rsidP="00473A53">
            <w:pPr>
              <w:pStyle w:val="ListParagraph"/>
              <w:numPr>
                <w:ilvl w:val="0"/>
                <w:numId w:val="2"/>
              </w:numPr>
              <w:rPr>
                <w:sz w:val="28"/>
                <w:lang w:val="fr-CA"/>
              </w:rPr>
            </w:pPr>
            <w:r w:rsidRPr="00AF27AC">
              <w:rPr>
                <w:sz w:val="28"/>
                <w:lang w:val="fr-CA"/>
              </w:rPr>
              <w:t>Si la reproduction est</w:t>
            </w:r>
            <w:r>
              <w:rPr>
                <w:sz w:val="28"/>
                <w:lang w:val="fr-CA"/>
              </w:rPr>
              <w:t xml:space="preserve"> à</w:t>
            </w:r>
            <w:r w:rsidRPr="00AF27AC">
              <w:rPr>
                <w:sz w:val="28"/>
                <w:lang w:val="fr-CA"/>
              </w:rPr>
              <w:t xml:space="preserve"> des fins pédagogiques, aucune permission n’</w:t>
            </w:r>
            <w:r>
              <w:rPr>
                <w:sz w:val="28"/>
                <w:lang w:val="fr-CA"/>
              </w:rPr>
              <w:t>est nécessaire.</w:t>
            </w:r>
          </w:p>
        </w:tc>
        <w:tc>
          <w:tcPr>
            <w:tcW w:w="1417" w:type="dxa"/>
          </w:tcPr>
          <w:p w:rsidR="00C67203" w:rsidRPr="00AF27AC" w:rsidRDefault="00C67203" w:rsidP="007C14B8">
            <w:pPr>
              <w:rPr>
                <w:sz w:val="28"/>
                <w:lang w:val="fr-CA"/>
              </w:rPr>
            </w:pPr>
          </w:p>
        </w:tc>
        <w:tc>
          <w:tcPr>
            <w:tcW w:w="1418" w:type="dxa"/>
          </w:tcPr>
          <w:p w:rsidR="00C67203" w:rsidRPr="00AF27AC" w:rsidRDefault="00C67203" w:rsidP="007C14B8">
            <w:pPr>
              <w:rPr>
                <w:sz w:val="28"/>
                <w:lang w:val="fr-CA"/>
              </w:rPr>
            </w:pPr>
          </w:p>
        </w:tc>
      </w:tr>
      <w:tr w:rsidR="00C67203" w:rsidRPr="00F33B38" w:rsidTr="00E72202">
        <w:tc>
          <w:tcPr>
            <w:tcW w:w="7083" w:type="dxa"/>
          </w:tcPr>
          <w:p w:rsidR="00C67203" w:rsidRPr="00AF27AC" w:rsidRDefault="00C67203" w:rsidP="00473A53">
            <w:pPr>
              <w:pStyle w:val="ListParagraph"/>
              <w:numPr>
                <w:ilvl w:val="0"/>
                <w:numId w:val="2"/>
              </w:numPr>
              <w:rPr>
                <w:sz w:val="28"/>
                <w:lang w:val="fr-CA"/>
              </w:rPr>
            </w:pPr>
            <w:r>
              <w:rPr>
                <w:sz w:val="28"/>
                <w:lang w:val="fr-CA"/>
              </w:rPr>
              <w:t xml:space="preserve">Vous avez indiqué la source sur la copie, donc vous n’avez pas besoin d’obtenir la permission.  </w:t>
            </w:r>
          </w:p>
        </w:tc>
        <w:tc>
          <w:tcPr>
            <w:tcW w:w="1417" w:type="dxa"/>
          </w:tcPr>
          <w:p w:rsidR="00C67203" w:rsidRPr="00AF27AC" w:rsidRDefault="00C67203" w:rsidP="007C14B8">
            <w:pPr>
              <w:rPr>
                <w:sz w:val="28"/>
                <w:lang w:val="fr-CA"/>
              </w:rPr>
            </w:pPr>
          </w:p>
        </w:tc>
        <w:tc>
          <w:tcPr>
            <w:tcW w:w="1418" w:type="dxa"/>
          </w:tcPr>
          <w:p w:rsidR="00C67203" w:rsidRPr="00AF27AC" w:rsidRDefault="00C67203" w:rsidP="007C14B8">
            <w:pPr>
              <w:rPr>
                <w:sz w:val="28"/>
                <w:lang w:val="fr-CA"/>
              </w:rPr>
            </w:pPr>
          </w:p>
        </w:tc>
      </w:tr>
      <w:tr w:rsidR="00C67203" w:rsidRPr="00F33B38" w:rsidTr="00E72202">
        <w:tc>
          <w:tcPr>
            <w:tcW w:w="7083" w:type="dxa"/>
          </w:tcPr>
          <w:p w:rsidR="00C67203" w:rsidRPr="00B37298" w:rsidRDefault="00455576" w:rsidP="00E72202">
            <w:pPr>
              <w:pStyle w:val="ListParagraph"/>
              <w:numPr>
                <w:ilvl w:val="0"/>
                <w:numId w:val="2"/>
              </w:numPr>
              <w:rPr>
                <w:sz w:val="28"/>
                <w:lang w:val="fr-CA"/>
              </w:rPr>
            </w:pPr>
            <w:r>
              <w:rPr>
                <w:sz w:val="28"/>
                <w:lang w:val="fr-CA"/>
              </w:rPr>
              <w:t xml:space="preserve">Utiliser son abonnement personnel </w:t>
            </w:r>
            <w:r w:rsidR="00F33B38">
              <w:rPr>
                <w:sz w:val="28"/>
                <w:lang w:val="fr-CA"/>
              </w:rPr>
              <w:t>à une ressource pour partager son</w:t>
            </w:r>
            <w:r>
              <w:rPr>
                <w:sz w:val="28"/>
                <w:lang w:val="fr-CA"/>
              </w:rPr>
              <w:t xml:space="preserve"> contenu avec des étudiants ou des clients ne constitue pas une violation du droit d’auteur.</w:t>
            </w:r>
          </w:p>
        </w:tc>
        <w:tc>
          <w:tcPr>
            <w:tcW w:w="1417" w:type="dxa"/>
          </w:tcPr>
          <w:p w:rsidR="00C67203" w:rsidRPr="00B37298" w:rsidRDefault="00C67203" w:rsidP="007C14B8">
            <w:pPr>
              <w:rPr>
                <w:sz w:val="28"/>
                <w:lang w:val="fr-CA"/>
              </w:rPr>
            </w:pPr>
          </w:p>
        </w:tc>
        <w:tc>
          <w:tcPr>
            <w:tcW w:w="1418" w:type="dxa"/>
          </w:tcPr>
          <w:p w:rsidR="00C67203" w:rsidRPr="00B37298" w:rsidRDefault="00C67203" w:rsidP="007C14B8">
            <w:pPr>
              <w:rPr>
                <w:sz w:val="28"/>
                <w:lang w:val="fr-CA"/>
              </w:rPr>
            </w:pPr>
          </w:p>
        </w:tc>
      </w:tr>
      <w:tr w:rsidR="00C67203" w:rsidRPr="00F33B38" w:rsidTr="00E72202">
        <w:tc>
          <w:tcPr>
            <w:tcW w:w="7083" w:type="dxa"/>
          </w:tcPr>
          <w:p w:rsidR="00C67203" w:rsidRPr="006B44CD" w:rsidRDefault="00C67203" w:rsidP="006F10DE">
            <w:pPr>
              <w:pStyle w:val="ListParagraph"/>
              <w:numPr>
                <w:ilvl w:val="0"/>
                <w:numId w:val="2"/>
              </w:numPr>
              <w:rPr>
                <w:sz w:val="28"/>
                <w:lang w:val="fr-CA"/>
              </w:rPr>
            </w:pPr>
            <w:r w:rsidRPr="006B44CD">
              <w:rPr>
                <w:sz w:val="28"/>
                <w:lang w:val="fr-CA"/>
              </w:rPr>
              <w:t>Le droit d’</w:t>
            </w:r>
            <w:r>
              <w:rPr>
                <w:sz w:val="28"/>
                <w:lang w:val="fr-CA"/>
              </w:rPr>
              <w:t xml:space="preserve">auteur existe même lorsque le </w:t>
            </w:r>
            <w:r w:rsidRPr="006B44CD">
              <w:rPr>
                <w:sz w:val="28"/>
                <w:lang w:val="fr-CA"/>
              </w:rPr>
              <w:t>symbole du droit d’auteur ©</w:t>
            </w:r>
            <w:r>
              <w:rPr>
                <w:sz w:val="28"/>
                <w:lang w:val="fr-CA"/>
              </w:rPr>
              <w:t xml:space="preserve"> est absent.</w:t>
            </w:r>
          </w:p>
        </w:tc>
        <w:tc>
          <w:tcPr>
            <w:tcW w:w="1417" w:type="dxa"/>
          </w:tcPr>
          <w:p w:rsidR="00C67203" w:rsidRPr="006B44CD" w:rsidRDefault="00C67203" w:rsidP="007C14B8">
            <w:pPr>
              <w:rPr>
                <w:sz w:val="28"/>
                <w:lang w:val="fr-CA"/>
              </w:rPr>
            </w:pPr>
          </w:p>
        </w:tc>
        <w:tc>
          <w:tcPr>
            <w:tcW w:w="1418" w:type="dxa"/>
          </w:tcPr>
          <w:p w:rsidR="00C67203" w:rsidRPr="006B44CD" w:rsidRDefault="00C67203" w:rsidP="007C14B8">
            <w:pPr>
              <w:rPr>
                <w:sz w:val="28"/>
                <w:lang w:val="fr-CA"/>
              </w:rPr>
            </w:pPr>
          </w:p>
        </w:tc>
      </w:tr>
      <w:tr w:rsidR="00C67203" w:rsidRPr="00F33B38" w:rsidTr="00E72202">
        <w:tc>
          <w:tcPr>
            <w:tcW w:w="7083" w:type="dxa"/>
          </w:tcPr>
          <w:p w:rsidR="00C67203" w:rsidRPr="00AF27AC" w:rsidRDefault="00C67203" w:rsidP="00473A53">
            <w:pPr>
              <w:pStyle w:val="ListParagraph"/>
              <w:numPr>
                <w:ilvl w:val="0"/>
                <w:numId w:val="2"/>
              </w:numPr>
              <w:rPr>
                <w:sz w:val="28"/>
                <w:lang w:val="fr-CA"/>
              </w:rPr>
            </w:pPr>
            <w:r w:rsidRPr="006B44CD">
              <w:rPr>
                <w:sz w:val="28"/>
                <w:lang w:val="fr-CA"/>
              </w:rPr>
              <w:t>Le droit d’</w:t>
            </w:r>
            <w:r>
              <w:rPr>
                <w:sz w:val="28"/>
                <w:lang w:val="fr-CA"/>
              </w:rPr>
              <w:t xml:space="preserve">auteur prend fin à </w:t>
            </w:r>
            <w:r w:rsidRPr="006B44CD">
              <w:rPr>
                <w:sz w:val="28"/>
                <w:lang w:val="fr-CA"/>
              </w:rPr>
              <w:t>la mort de l’</w:t>
            </w:r>
            <w:r>
              <w:rPr>
                <w:sz w:val="28"/>
                <w:lang w:val="fr-CA"/>
              </w:rPr>
              <w:t xml:space="preserve">auteur. </w:t>
            </w:r>
          </w:p>
        </w:tc>
        <w:tc>
          <w:tcPr>
            <w:tcW w:w="1417" w:type="dxa"/>
          </w:tcPr>
          <w:p w:rsidR="00C67203" w:rsidRPr="00AF27AC" w:rsidRDefault="00C67203" w:rsidP="007C14B8">
            <w:pPr>
              <w:rPr>
                <w:sz w:val="28"/>
                <w:lang w:val="fr-CA"/>
              </w:rPr>
            </w:pPr>
          </w:p>
        </w:tc>
        <w:tc>
          <w:tcPr>
            <w:tcW w:w="1418" w:type="dxa"/>
          </w:tcPr>
          <w:p w:rsidR="00C67203" w:rsidRPr="00AF27AC" w:rsidRDefault="00C67203" w:rsidP="007C14B8">
            <w:pPr>
              <w:rPr>
                <w:sz w:val="28"/>
                <w:lang w:val="fr-CA"/>
              </w:rPr>
            </w:pPr>
          </w:p>
        </w:tc>
      </w:tr>
      <w:tr w:rsidR="00C67203" w:rsidRPr="00F33B38" w:rsidTr="00E72202">
        <w:tc>
          <w:tcPr>
            <w:tcW w:w="7083" w:type="dxa"/>
          </w:tcPr>
          <w:p w:rsidR="00C67203" w:rsidRPr="006B44CD" w:rsidRDefault="00E72202" w:rsidP="00E72202">
            <w:pPr>
              <w:pStyle w:val="ListParagraph"/>
              <w:numPr>
                <w:ilvl w:val="0"/>
                <w:numId w:val="2"/>
              </w:numPr>
              <w:rPr>
                <w:sz w:val="28"/>
                <w:lang w:val="fr-CA"/>
              </w:rPr>
            </w:pPr>
            <w:r>
              <w:rPr>
                <w:sz w:val="28"/>
                <w:lang w:val="fr-CA"/>
              </w:rPr>
              <w:t xml:space="preserve">Lorsqu’une œuvre est disponible sous une </w:t>
            </w:r>
            <w:r w:rsidR="00C67203" w:rsidRPr="006B44CD">
              <w:rPr>
                <w:sz w:val="28"/>
                <w:lang w:val="fr-CA"/>
              </w:rPr>
              <w:t xml:space="preserve">licence </w:t>
            </w:r>
            <w:proofErr w:type="spellStart"/>
            <w:r w:rsidR="00C67203" w:rsidRPr="006B44CD">
              <w:rPr>
                <w:sz w:val="28"/>
                <w:lang w:val="fr-CA"/>
              </w:rPr>
              <w:t>Creative</w:t>
            </w:r>
            <w:proofErr w:type="spellEnd"/>
            <w:r w:rsidR="00C67203" w:rsidRPr="006B44CD">
              <w:rPr>
                <w:sz w:val="28"/>
                <w:lang w:val="fr-CA"/>
              </w:rPr>
              <w:t xml:space="preserve"> Commons</w:t>
            </w:r>
            <w:r>
              <w:rPr>
                <w:sz w:val="28"/>
                <w:lang w:val="fr-CA"/>
              </w:rPr>
              <w:t>, cela</w:t>
            </w:r>
            <w:r w:rsidR="00C67203" w:rsidRPr="006B44CD">
              <w:rPr>
                <w:sz w:val="28"/>
                <w:lang w:val="fr-CA"/>
              </w:rPr>
              <w:t xml:space="preserve"> signifie </w:t>
            </w:r>
            <w:r>
              <w:rPr>
                <w:sz w:val="28"/>
                <w:lang w:val="fr-CA"/>
              </w:rPr>
              <w:t xml:space="preserve">qu’elle </w:t>
            </w:r>
            <w:r w:rsidR="00C67203" w:rsidRPr="006B44CD">
              <w:rPr>
                <w:sz w:val="28"/>
                <w:lang w:val="fr-CA"/>
              </w:rPr>
              <w:t>peut être utilisé</w:t>
            </w:r>
            <w:r w:rsidR="00C67203">
              <w:rPr>
                <w:sz w:val="28"/>
                <w:lang w:val="fr-CA"/>
              </w:rPr>
              <w:t>e</w:t>
            </w:r>
            <w:r w:rsidR="00C67203" w:rsidRPr="006B44CD">
              <w:rPr>
                <w:sz w:val="28"/>
                <w:lang w:val="fr-CA"/>
              </w:rPr>
              <w:t xml:space="preserve"> </w:t>
            </w:r>
            <w:r>
              <w:rPr>
                <w:sz w:val="28"/>
                <w:lang w:val="fr-CA"/>
              </w:rPr>
              <w:t xml:space="preserve">gratuitement </w:t>
            </w:r>
            <w:r w:rsidR="00C67203">
              <w:rPr>
                <w:sz w:val="28"/>
                <w:lang w:val="fr-CA"/>
              </w:rPr>
              <w:t>en respectant certaines conditions.</w:t>
            </w:r>
          </w:p>
        </w:tc>
        <w:tc>
          <w:tcPr>
            <w:tcW w:w="1417" w:type="dxa"/>
          </w:tcPr>
          <w:p w:rsidR="00C67203" w:rsidRPr="006B44CD" w:rsidRDefault="00C67203" w:rsidP="007C14B8">
            <w:pPr>
              <w:rPr>
                <w:sz w:val="28"/>
                <w:lang w:val="fr-CA"/>
              </w:rPr>
            </w:pPr>
          </w:p>
        </w:tc>
        <w:tc>
          <w:tcPr>
            <w:tcW w:w="1418" w:type="dxa"/>
          </w:tcPr>
          <w:p w:rsidR="00C67203" w:rsidRPr="006B44CD" w:rsidRDefault="00C67203" w:rsidP="007C14B8">
            <w:pPr>
              <w:rPr>
                <w:sz w:val="28"/>
                <w:lang w:val="fr-CA"/>
              </w:rPr>
            </w:pPr>
          </w:p>
        </w:tc>
      </w:tr>
      <w:tr w:rsidR="00C67203" w:rsidRPr="00F33B38" w:rsidTr="00E72202">
        <w:tc>
          <w:tcPr>
            <w:tcW w:w="7083" w:type="dxa"/>
          </w:tcPr>
          <w:p w:rsidR="00C67203" w:rsidRPr="006B44CD" w:rsidRDefault="00C67203" w:rsidP="00C67203">
            <w:pPr>
              <w:pStyle w:val="ListParagraph"/>
              <w:numPr>
                <w:ilvl w:val="0"/>
                <w:numId w:val="2"/>
              </w:numPr>
              <w:rPr>
                <w:sz w:val="28"/>
                <w:lang w:val="fr-CA"/>
              </w:rPr>
            </w:pPr>
            <w:r w:rsidRPr="006B44CD">
              <w:rPr>
                <w:sz w:val="28"/>
                <w:lang w:val="fr-CA"/>
              </w:rPr>
              <w:t xml:space="preserve">Lorsqu’une </w:t>
            </w:r>
            <w:r>
              <w:rPr>
                <w:sz w:val="28"/>
                <w:lang w:val="fr-CA"/>
              </w:rPr>
              <w:t xml:space="preserve">œuvre </w:t>
            </w:r>
            <w:r w:rsidRPr="006B44CD">
              <w:rPr>
                <w:sz w:val="28"/>
                <w:lang w:val="fr-CA"/>
              </w:rPr>
              <w:t>est créée dans le contex</w:t>
            </w:r>
            <w:r>
              <w:rPr>
                <w:sz w:val="28"/>
                <w:lang w:val="fr-CA"/>
              </w:rPr>
              <w:t>te</w:t>
            </w:r>
            <w:r w:rsidRPr="006B44CD">
              <w:rPr>
                <w:sz w:val="28"/>
                <w:lang w:val="fr-CA"/>
              </w:rPr>
              <w:t xml:space="preserve"> d’un </w:t>
            </w:r>
            <w:r>
              <w:rPr>
                <w:sz w:val="28"/>
                <w:lang w:val="fr-CA"/>
              </w:rPr>
              <w:t>emploi</w:t>
            </w:r>
            <w:r w:rsidRPr="006B44CD">
              <w:rPr>
                <w:sz w:val="28"/>
                <w:lang w:val="fr-CA"/>
              </w:rPr>
              <w:t xml:space="preserve">, le droit d’auteur appartient à l’employeur. </w:t>
            </w:r>
          </w:p>
        </w:tc>
        <w:tc>
          <w:tcPr>
            <w:tcW w:w="1417" w:type="dxa"/>
          </w:tcPr>
          <w:p w:rsidR="00C67203" w:rsidRPr="006B44CD" w:rsidRDefault="00C67203" w:rsidP="007C14B8">
            <w:pPr>
              <w:rPr>
                <w:sz w:val="28"/>
                <w:lang w:val="fr-CA"/>
              </w:rPr>
            </w:pPr>
          </w:p>
        </w:tc>
        <w:tc>
          <w:tcPr>
            <w:tcW w:w="1418" w:type="dxa"/>
          </w:tcPr>
          <w:p w:rsidR="00C67203" w:rsidRPr="006B44CD" w:rsidRDefault="00C67203" w:rsidP="007C14B8">
            <w:pPr>
              <w:rPr>
                <w:sz w:val="28"/>
                <w:lang w:val="fr-CA"/>
              </w:rPr>
            </w:pPr>
          </w:p>
        </w:tc>
      </w:tr>
    </w:tbl>
    <w:p w:rsidR="007C14B8" w:rsidRDefault="007C14B8" w:rsidP="007C14B8">
      <w:pPr>
        <w:rPr>
          <w:sz w:val="28"/>
          <w:lang w:val="fr-CA"/>
        </w:rPr>
      </w:pPr>
    </w:p>
    <w:p w:rsidR="004151FB" w:rsidRDefault="004151FB" w:rsidP="004151FB">
      <w:pPr>
        <w:jc w:val="center"/>
        <w:rPr>
          <w:sz w:val="28"/>
          <w:lang w:val="fr-CA"/>
        </w:rPr>
      </w:pPr>
      <w:r>
        <w:rPr>
          <w:noProof/>
        </w:rPr>
        <w:drawing>
          <wp:inline distT="0" distB="0" distL="0" distR="0" wp14:anchorId="504229FE" wp14:editId="1551D2F0">
            <wp:extent cx="933450" cy="326592"/>
            <wp:effectExtent l="0" t="0" r="0" b="0"/>
            <wp:docPr id="1" name="Picture 1" descr="https://mirrors.creativecommons.org/presskit/buttons/88x31/png/by-n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irrors.creativecommons.org/presskit/buttons/88x31/png/by-nc.pn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000298" cy="349980"/>
                    </a:xfrm>
                    <a:prstGeom prst="rect">
                      <a:avLst/>
                    </a:prstGeom>
                    <a:noFill/>
                    <a:ln>
                      <a:noFill/>
                    </a:ln>
                  </pic:spPr>
                </pic:pic>
              </a:graphicData>
            </a:graphic>
          </wp:inline>
        </w:drawing>
      </w:r>
    </w:p>
    <w:p w:rsidR="004151FB" w:rsidRPr="004151FB" w:rsidRDefault="004151FB" w:rsidP="004151FB">
      <w:pPr>
        <w:jc w:val="center"/>
        <w:rPr>
          <w:lang w:val="fr-CA"/>
        </w:rPr>
      </w:pPr>
      <w:r w:rsidRPr="004151FB">
        <w:rPr>
          <w:lang w:val="fr-CA"/>
        </w:rPr>
        <w:t xml:space="preserve">Cette </w:t>
      </w:r>
      <w:r>
        <w:rPr>
          <w:lang w:val="fr-CA"/>
        </w:rPr>
        <w:t>œuvre</w:t>
      </w:r>
      <w:r w:rsidRPr="004151FB">
        <w:rPr>
          <w:lang w:val="fr-CA"/>
        </w:rPr>
        <w:t xml:space="preserve"> mise à disposition selon les termes de la Licence </w:t>
      </w:r>
      <w:proofErr w:type="spellStart"/>
      <w:r w:rsidRPr="004151FB">
        <w:rPr>
          <w:lang w:val="fr-CA"/>
        </w:rPr>
        <w:t>Creative</w:t>
      </w:r>
      <w:proofErr w:type="spellEnd"/>
      <w:r w:rsidRPr="004151FB">
        <w:rPr>
          <w:lang w:val="fr-CA"/>
        </w:rPr>
        <w:t xml:space="preserve"> Commons Attribution-</w:t>
      </w:r>
      <w:r>
        <w:rPr>
          <w:lang w:val="fr-CA"/>
        </w:rPr>
        <w:t>Pas d’Utilisation Commerciale 4.0 International</w:t>
      </w:r>
      <w:r w:rsidRPr="004151FB">
        <w:rPr>
          <w:lang w:val="fr-CA"/>
        </w:rPr>
        <w:t xml:space="preserve"> </w:t>
      </w:r>
    </w:p>
    <w:p w:rsidR="004151FB" w:rsidRDefault="004151FB" w:rsidP="004151FB">
      <w:pPr>
        <w:jc w:val="center"/>
        <w:rPr>
          <w:lang w:val="fr-CA"/>
        </w:rPr>
      </w:pPr>
      <w:r w:rsidRPr="004151FB">
        <w:rPr>
          <w:lang w:val="fr-CA"/>
        </w:rPr>
        <w:t>https://creativecommons.org/licenses/by-nc/4.0/deed.fr</w:t>
      </w:r>
      <w:r w:rsidR="00322A1B">
        <w:rPr>
          <w:lang w:val="fr-CA"/>
        </w:rPr>
        <w:t xml:space="preserve"> </w:t>
      </w:r>
    </w:p>
    <w:p w:rsidR="00322A1B" w:rsidRDefault="00322A1B">
      <w:pPr>
        <w:rPr>
          <w:sz w:val="28"/>
          <w:lang w:val="fr-CA"/>
        </w:rPr>
      </w:pPr>
      <w:r>
        <w:rPr>
          <w:sz w:val="28"/>
          <w:lang w:val="fr-CA"/>
        </w:rPr>
        <w:br w:type="page"/>
      </w:r>
    </w:p>
    <w:p w:rsidR="00322A1B" w:rsidRDefault="00322A1B" w:rsidP="00322A1B">
      <w:pPr>
        <w:jc w:val="center"/>
        <w:rPr>
          <w:b/>
          <w:sz w:val="28"/>
          <w:lang w:val="fr-CA"/>
        </w:rPr>
      </w:pPr>
      <w:r w:rsidRPr="00C21BE9">
        <w:rPr>
          <w:b/>
          <w:sz w:val="28"/>
          <w:lang w:val="fr-CA"/>
        </w:rPr>
        <w:lastRenderedPageBreak/>
        <w:t>Réponses</w:t>
      </w:r>
    </w:p>
    <w:p w:rsidR="00322A1B" w:rsidRDefault="00322A1B" w:rsidP="00322A1B">
      <w:pPr>
        <w:jc w:val="center"/>
        <w:rPr>
          <w:b/>
          <w:sz w:val="28"/>
          <w:lang w:val="fr-CA"/>
        </w:rPr>
      </w:pPr>
    </w:p>
    <w:tbl>
      <w:tblPr>
        <w:tblStyle w:val="TableGrid"/>
        <w:tblW w:w="0" w:type="auto"/>
        <w:tblLook w:val="04A0" w:firstRow="1" w:lastRow="0" w:firstColumn="1" w:lastColumn="0" w:noHBand="0" w:noVBand="1"/>
      </w:tblPr>
      <w:tblGrid>
        <w:gridCol w:w="9962"/>
      </w:tblGrid>
      <w:tr w:rsidR="00322A1B" w:rsidRPr="00F33B38" w:rsidTr="003D2E09">
        <w:tc>
          <w:tcPr>
            <w:tcW w:w="9962" w:type="dxa"/>
          </w:tcPr>
          <w:p w:rsidR="00322A1B" w:rsidRPr="00322A1B" w:rsidRDefault="00322A1B" w:rsidP="00322A1B">
            <w:pPr>
              <w:pStyle w:val="ListParagraph"/>
              <w:numPr>
                <w:ilvl w:val="0"/>
                <w:numId w:val="3"/>
              </w:numPr>
              <w:rPr>
                <w:sz w:val="28"/>
                <w:lang w:val="fr-CA"/>
              </w:rPr>
            </w:pPr>
            <w:r w:rsidRPr="00322A1B">
              <w:rPr>
                <w:b/>
                <w:sz w:val="28"/>
                <w:lang w:val="fr-CA"/>
              </w:rPr>
              <w:t>Faux :</w:t>
            </w:r>
            <w:r w:rsidRPr="00322A1B">
              <w:rPr>
                <w:sz w:val="28"/>
                <w:lang w:val="fr-CA"/>
              </w:rPr>
              <w:t xml:space="preserve"> Un hyperlien vers du contenu en ligne permet de rediriger sans faire de copie. Toutefois, il faut éviter de créer des liens vers du contenu publié illégalement.</w:t>
            </w:r>
          </w:p>
        </w:tc>
      </w:tr>
      <w:tr w:rsidR="00322A1B" w:rsidRPr="00F33B38" w:rsidTr="003D2E09">
        <w:tc>
          <w:tcPr>
            <w:tcW w:w="9962" w:type="dxa"/>
          </w:tcPr>
          <w:p w:rsidR="00322A1B" w:rsidRPr="00322A1B" w:rsidRDefault="00322A1B" w:rsidP="00322A1B">
            <w:pPr>
              <w:pStyle w:val="ListParagraph"/>
              <w:numPr>
                <w:ilvl w:val="0"/>
                <w:numId w:val="3"/>
              </w:numPr>
              <w:rPr>
                <w:sz w:val="28"/>
                <w:lang w:val="fr-CA"/>
              </w:rPr>
            </w:pPr>
            <w:r w:rsidRPr="00322A1B">
              <w:rPr>
                <w:b/>
                <w:sz w:val="28"/>
                <w:lang w:val="fr-CA"/>
              </w:rPr>
              <w:t>Faux :</w:t>
            </w:r>
            <w:r w:rsidRPr="00322A1B">
              <w:rPr>
                <w:sz w:val="28"/>
                <w:lang w:val="fr-CA"/>
              </w:rPr>
              <w:t xml:space="preserve"> </w:t>
            </w:r>
            <w:r>
              <w:rPr>
                <w:sz w:val="28"/>
                <w:lang w:val="fr-CA"/>
              </w:rPr>
              <w:t>Les profits ne sont pas une bonne indication d’une violation du droit d’auteur. Il peut y avoir une atteinte au droit d’auteur m</w:t>
            </w:r>
            <w:r w:rsidRPr="00322A1B">
              <w:rPr>
                <w:sz w:val="28"/>
                <w:lang w:val="fr-CA"/>
              </w:rPr>
              <w:t>ême en l’absence de profits.</w:t>
            </w:r>
          </w:p>
        </w:tc>
      </w:tr>
      <w:tr w:rsidR="00322A1B" w:rsidRPr="00F33B38" w:rsidTr="003D2E09">
        <w:tc>
          <w:tcPr>
            <w:tcW w:w="9962" w:type="dxa"/>
          </w:tcPr>
          <w:p w:rsidR="00322A1B" w:rsidRPr="00322A1B" w:rsidRDefault="00322A1B" w:rsidP="00322A1B">
            <w:pPr>
              <w:pStyle w:val="ListParagraph"/>
              <w:numPr>
                <w:ilvl w:val="0"/>
                <w:numId w:val="3"/>
              </w:numPr>
              <w:rPr>
                <w:sz w:val="28"/>
                <w:lang w:val="fr-CA"/>
              </w:rPr>
            </w:pPr>
            <w:r w:rsidRPr="00322A1B">
              <w:rPr>
                <w:b/>
                <w:sz w:val="28"/>
                <w:lang w:val="fr-CA"/>
              </w:rPr>
              <w:t>Vrai :</w:t>
            </w:r>
            <w:r w:rsidRPr="00322A1B">
              <w:rPr>
                <w:sz w:val="28"/>
                <w:lang w:val="fr-CA"/>
              </w:rPr>
              <w:t xml:space="preserve"> Même si vous avez accès à du contenu gratuitement, ce contenu n’est pas nécessairement sans droit d’auteur.</w:t>
            </w:r>
          </w:p>
        </w:tc>
      </w:tr>
      <w:tr w:rsidR="00322A1B" w:rsidRPr="00F33B38" w:rsidTr="003D2E09">
        <w:tc>
          <w:tcPr>
            <w:tcW w:w="9962" w:type="dxa"/>
          </w:tcPr>
          <w:p w:rsidR="00322A1B" w:rsidRPr="00322A1B" w:rsidRDefault="00322A1B" w:rsidP="00455576">
            <w:pPr>
              <w:pStyle w:val="ListParagraph"/>
              <w:numPr>
                <w:ilvl w:val="0"/>
                <w:numId w:val="3"/>
              </w:numPr>
              <w:rPr>
                <w:sz w:val="28"/>
                <w:lang w:val="fr-CA"/>
              </w:rPr>
            </w:pPr>
            <w:r w:rsidRPr="00322A1B">
              <w:rPr>
                <w:b/>
                <w:sz w:val="28"/>
                <w:lang w:val="fr-CA"/>
              </w:rPr>
              <w:t>Faux :</w:t>
            </w:r>
            <w:r w:rsidR="00455576">
              <w:rPr>
                <w:sz w:val="28"/>
                <w:lang w:val="fr-CA"/>
              </w:rPr>
              <w:t xml:space="preserve"> Selon la loi, </w:t>
            </w:r>
            <w:r w:rsidRPr="00322A1B">
              <w:rPr>
                <w:sz w:val="28"/>
                <w:lang w:val="fr-CA"/>
              </w:rPr>
              <w:t xml:space="preserve">la reproduction à des fins pédagogiques est « équitable », mais il y a d’autres </w:t>
            </w:r>
            <w:r w:rsidR="00455576">
              <w:rPr>
                <w:sz w:val="28"/>
                <w:lang w:val="fr-CA"/>
              </w:rPr>
              <w:t>facteurs</w:t>
            </w:r>
            <w:r w:rsidRPr="00322A1B">
              <w:rPr>
                <w:sz w:val="28"/>
                <w:lang w:val="fr-CA"/>
              </w:rPr>
              <w:t xml:space="preserve"> à considérer, y compris l’ampleur de la reproduction.</w:t>
            </w:r>
          </w:p>
        </w:tc>
      </w:tr>
      <w:tr w:rsidR="00322A1B" w:rsidRPr="00F33B38" w:rsidTr="003D2E09">
        <w:tc>
          <w:tcPr>
            <w:tcW w:w="9962" w:type="dxa"/>
          </w:tcPr>
          <w:p w:rsidR="00322A1B" w:rsidRPr="00322A1B" w:rsidRDefault="00455576" w:rsidP="00322A1B">
            <w:pPr>
              <w:pStyle w:val="ListParagraph"/>
              <w:numPr>
                <w:ilvl w:val="0"/>
                <w:numId w:val="3"/>
              </w:numPr>
              <w:rPr>
                <w:sz w:val="28"/>
                <w:lang w:val="fr-CA"/>
              </w:rPr>
            </w:pPr>
            <w:r w:rsidRPr="00322A1B">
              <w:rPr>
                <w:b/>
                <w:sz w:val="28"/>
                <w:lang w:val="fr-CA"/>
              </w:rPr>
              <w:t>Faux :</w:t>
            </w:r>
            <w:r w:rsidRPr="00322A1B">
              <w:rPr>
                <w:sz w:val="28"/>
                <w:lang w:val="fr-CA"/>
              </w:rPr>
              <w:t xml:space="preserve"> En indiquant la source, vous évitez le plagiat mais pas nécessairement une atteinte au droit d’auteur.</w:t>
            </w:r>
          </w:p>
        </w:tc>
      </w:tr>
      <w:tr w:rsidR="00322A1B" w:rsidRPr="00F33B38" w:rsidTr="003D2E09">
        <w:tc>
          <w:tcPr>
            <w:tcW w:w="9962" w:type="dxa"/>
          </w:tcPr>
          <w:p w:rsidR="00322A1B" w:rsidRPr="00322A1B" w:rsidRDefault="00322A1B" w:rsidP="00F33B38">
            <w:pPr>
              <w:pStyle w:val="ListParagraph"/>
              <w:numPr>
                <w:ilvl w:val="0"/>
                <w:numId w:val="3"/>
              </w:numPr>
              <w:rPr>
                <w:sz w:val="28"/>
                <w:lang w:val="fr-CA"/>
              </w:rPr>
            </w:pPr>
            <w:r w:rsidRPr="00322A1B">
              <w:rPr>
                <w:b/>
                <w:sz w:val="28"/>
                <w:lang w:val="fr-CA"/>
              </w:rPr>
              <w:t>Faux :</w:t>
            </w:r>
            <w:r w:rsidRPr="00322A1B">
              <w:rPr>
                <w:sz w:val="28"/>
                <w:lang w:val="fr-CA"/>
              </w:rPr>
              <w:t xml:space="preserve"> </w:t>
            </w:r>
            <w:r w:rsidR="00455576">
              <w:rPr>
                <w:sz w:val="28"/>
                <w:lang w:val="fr-CA"/>
              </w:rPr>
              <w:t xml:space="preserve">Les conditions d’utilisation des abonnements individuels à des sites </w:t>
            </w:r>
            <w:r w:rsidRPr="00322A1B">
              <w:rPr>
                <w:sz w:val="28"/>
                <w:lang w:val="fr-FR"/>
              </w:rPr>
              <w:t>payants</w:t>
            </w:r>
            <w:r w:rsidR="00455576">
              <w:rPr>
                <w:sz w:val="28"/>
                <w:lang w:val="fr-FR"/>
              </w:rPr>
              <w:t xml:space="preserve"> ou</w:t>
            </w:r>
            <w:r w:rsidRPr="00322A1B">
              <w:rPr>
                <w:sz w:val="28"/>
                <w:lang w:val="fr-FR"/>
              </w:rPr>
              <w:t xml:space="preserve"> de diffusion en continu comme </w:t>
            </w:r>
            <w:proofErr w:type="spellStart"/>
            <w:r w:rsidRPr="00322A1B">
              <w:rPr>
                <w:sz w:val="28"/>
                <w:lang w:val="fr-FR"/>
              </w:rPr>
              <w:t>Netflix</w:t>
            </w:r>
            <w:proofErr w:type="spellEnd"/>
            <w:r w:rsidRPr="00322A1B">
              <w:rPr>
                <w:sz w:val="28"/>
                <w:lang w:val="fr-FR"/>
              </w:rPr>
              <w:t xml:space="preserve"> accordent un accès limité pour un usage personnel</w:t>
            </w:r>
            <w:r w:rsidR="00455576">
              <w:rPr>
                <w:sz w:val="28"/>
                <w:lang w:val="fr-FR"/>
              </w:rPr>
              <w:t xml:space="preserve"> seulement</w:t>
            </w:r>
            <w:r w:rsidRPr="00322A1B">
              <w:rPr>
                <w:sz w:val="28"/>
                <w:lang w:val="fr-FR"/>
              </w:rPr>
              <w:t xml:space="preserve">. </w:t>
            </w:r>
            <w:r w:rsidR="00455576">
              <w:rPr>
                <w:sz w:val="28"/>
                <w:lang w:val="fr-FR"/>
              </w:rPr>
              <w:t xml:space="preserve">Il est possible que la reproduction soit d’une ampleur qui excède les limites de la loi. De plus, </w:t>
            </w:r>
            <w:r w:rsidR="00F33B38">
              <w:rPr>
                <w:sz w:val="28"/>
                <w:lang w:val="fr-FR"/>
              </w:rPr>
              <w:t xml:space="preserve">il est fort probable que </w:t>
            </w:r>
            <w:r w:rsidR="00455576">
              <w:rPr>
                <w:sz w:val="28"/>
                <w:lang w:val="fr-FR"/>
              </w:rPr>
              <w:t xml:space="preserve">le partage de contenu avec d’autres représente </w:t>
            </w:r>
            <w:bookmarkStart w:id="0" w:name="_GoBack"/>
            <w:bookmarkEnd w:id="0"/>
            <w:r w:rsidR="00455576">
              <w:rPr>
                <w:sz w:val="28"/>
                <w:lang w:val="fr-FR"/>
              </w:rPr>
              <w:t xml:space="preserve">une violation du contrat que vous avez avec le fournisseur. </w:t>
            </w:r>
          </w:p>
        </w:tc>
      </w:tr>
      <w:tr w:rsidR="00322A1B" w:rsidRPr="00F33B38" w:rsidTr="003D2E09">
        <w:tc>
          <w:tcPr>
            <w:tcW w:w="9962" w:type="dxa"/>
          </w:tcPr>
          <w:p w:rsidR="00322A1B" w:rsidRPr="00322A1B" w:rsidRDefault="00455576" w:rsidP="00322A1B">
            <w:pPr>
              <w:pStyle w:val="ListParagraph"/>
              <w:numPr>
                <w:ilvl w:val="0"/>
                <w:numId w:val="3"/>
              </w:numPr>
              <w:rPr>
                <w:sz w:val="28"/>
                <w:lang w:val="fr-CA"/>
              </w:rPr>
            </w:pPr>
            <w:r w:rsidRPr="00322A1B">
              <w:rPr>
                <w:b/>
                <w:sz w:val="28"/>
                <w:lang w:val="fr-CA"/>
              </w:rPr>
              <w:t>Vrai :</w:t>
            </w:r>
            <w:r w:rsidRPr="00322A1B">
              <w:rPr>
                <w:sz w:val="28"/>
                <w:lang w:val="fr-CA"/>
              </w:rPr>
              <w:t xml:space="preserve"> Au Canada, le droit d’auteur existe dès que l’expression d’une idée est fixée sur un support physique ou numérique.</w:t>
            </w:r>
          </w:p>
        </w:tc>
      </w:tr>
      <w:tr w:rsidR="00322A1B" w:rsidRPr="00322A1B" w:rsidTr="003D2E09">
        <w:tc>
          <w:tcPr>
            <w:tcW w:w="9962" w:type="dxa"/>
          </w:tcPr>
          <w:p w:rsidR="00322A1B" w:rsidRPr="00322A1B" w:rsidRDefault="00455576" w:rsidP="00322A1B">
            <w:pPr>
              <w:pStyle w:val="ListParagraph"/>
              <w:numPr>
                <w:ilvl w:val="0"/>
                <w:numId w:val="3"/>
              </w:numPr>
              <w:rPr>
                <w:sz w:val="28"/>
                <w:lang w:val="fr-CA"/>
              </w:rPr>
            </w:pPr>
            <w:r w:rsidRPr="00322A1B">
              <w:rPr>
                <w:b/>
                <w:sz w:val="28"/>
                <w:lang w:val="fr-CA"/>
              </w:rPr>
              <w:t>Faux :</w:t>
            </w:r>
            <w:r w:rsidRPr="00322A1B">
              <w:rPr>
                <w:sz w:val="28"/>
                <w:lang w:val="fr-CA"/>
              </w:rPr>
              <w:t xml:space="preserve"> En général, au Canada, le droit d’auteur expire </w:t>
            </w:r>
            <w:r w:rsidRPr="00322A1B">
              <w:rPr>
                <w:i/>
                <w:sz w:val="28"/>
                <w:lang w:val="fr-CA"/>
              </w:rPr>
              <w:t>50 ans après la mort de l’auteur</w:t>
            </w:r>
            <w:r w:rsidRPr="00322A1B">
              <w:rPr>
                <w:sz w:val="28"/>
                <w:lang w:val="fr-CA"/>
              </w:rPr>
              <w:t xml:space="preserve">. L’œuvre fait ensuite partie du domaine public.  </w:t>
            </w:r>
          </w:p>
        </w:tc>
      </w:tr>
      <w:tr w:rsidR="00322A1B" w:rsidRPr="00F33B38" w:rsidTr="003D2E09">
        <w:tc>
          <w:tcPr>
            <w:tcW w:w="9962" w:type="dxa"/>
          </w:tcPr>
          <w:p w:rsidR="00322A1B" w:rsidRPr="00322A1B" w:rsidRDefault="00455576" w:rsidP="00322A1B">
            <w:pPr>
              <w:pStyle w:val="ListParagraph"/>
              <w:numPr>
                <w:ilvl w:val="0"/>
                <w:numId w:val="3"/>
              </w:numPr>
              <w:rPr>
                <w:sz w:val="28"/>
                <w:lang w:val="fr-CA"/>
              </w:rPr>
            </w:pPr>
            <w:r w:rsidRPr="00322A1B">
              <w:rPr>
                <w:b/>
                <w:sz w:val="28"/>
                <w:lang w:val="fr-CA"/>
              </w:rPr>
              <w:t>Vrai :</w:t>
            </w:r>
            <w:r w:rsidRPr="00322A1B">
              <w:rPr>
                <w:sz w:val="28"/>
                <w:lang w:val="fr-CA"/>
              </w:rPr>
              <w:t xml:space="preserve"> Une licence </w:t>
            </w:r>
            <w:proofErr w:type="spellStart"/>
            <w:r w:rsidRPr="00322A1B">
              <w:rPr>
                <w:sz w:val="28"/>
                <w:lang w:val="fr-CA"/>
              </w:rPr>
              <w:t>Creative</w:t>
            </w:r>
            <w:proofErr w:type="spellEnd"/>
            <w:r w:rsidRPr="00322A1B">
              <w:rPr>
                <w:sz w:val="28"/>
                <w:lang w:val="fr-CA"/>
              </w:rPr>
              <w:t xml:space="preserve"> Commons permet aux créateurs de communiquer aux utilisateurs de leurs œuvres qu’aucune permission n’est requise pour certaines utilisations. Au minimum, l’attribution au créateur sera exigée. Voir : https://creativecommons.org/licenses/?lang=fr</w:t>
            </w:r>
          </w:p>
        </w:tc>
      </w:tr>
      <w:tr w:rsidR="00322A1B" w:rsidRPr="00F33B38" w:rsidTr="003D2E09">
        <w:tc>
          <w:tcPr>
            <w:tcW w:w="9962" w:type="dxa"/>
          </w:tcPr>
          <w:p w:rsidR="00322A1B" w:rsidRPr="00322A1B" w:rsidRDefault="00B5247F" w:rsidP="00B5247F">
            <w:pPr>
              <w:pStyle w:val="ListParagraph"/>
              <w:numPr>
                <w:ilvl w:val="0"/>
                <w:numId w:val="3"/>
              </w:numPr>
              <w:rPr>
                <w:sz w:val="28"/>
                <w:lang w:val="fr-CA"/>
              </w:rPr>
            </w:pPr>
            <w:r>
              <w:rPr>
                <w:b/>
                <w:sz w:val="28"/>
                <w:lang w:val="fr-CA"/>
              </w:rPr>
              <w:t>Vrai</w:t>
            </w:r>
            <w:r w:rsidR="00455576" w:rsidRPr="00322A1B">
              <w:rPr>
                <w:b/>
                <w:sz w:val="28"/>
                <w:lang w:val="fr-CA"/>
              </w:rPr>
              <w:t> :</w:t>
            </w:r>
            <w:r w:rsidR="00455576" w:rsidRPr="00322A1B">
              <w:rPr>
                <w:sz w:val="28"/>
                <w:lang w:val="fr-CA"/>
              </w:rPr>
              <w:t xml:space="preserve"> </w:t>
            </w:r>
            <w:r>
              <w:rPr>
                <w:sz w:val="28"/>
                <w:lang w:val="fr-CA"/>
              </w:rPr>
              <w:t xml:space="preserve">La </w:t>
            </w:r>
            <w:r w:rsidRPr="00B5247F">
              <w:rPr>
                <w:i/>
                <w:sz w:val="28"/>
                <w:lang w:val="fr-CA"/>
              </w:rPr>
              <w:t xml:space="preserve">Loi sur le droit d’auteur </w:t>
            </w:r>
            <w:r>
              <w:rPr>
                <w:sz w:val="28"/>
                <w:lang w:val="fr-CA"/>
              </w:rPr>
              <w:t xml:space="preserve">stipule que, à moins d’une autre entente entre les deux parties qui indique le contraire (ex. un contrat de travail ou une convention collective), le droit d’auteur de l’œuvre créée dans le contexte d’un emploi appartient à l’employeur. </w:t>
            </w:r>
          </w:p>
        </w:tc>
      </w:tr>
    </w:tbl>
    <w:p w:rsidR="00322A1B" w:rsidRPr="004151FB" w:rsidRDefault="00322A1B" w:rsidP="004151FB">
      <w:pPr>
        <w:jc w:val="center"/>
        <w:rPr>
          <w:sz w:val="28"/>
          <w:lang w:val="fr-CA"/>
        </w:rPr>
      </w:pPr>
    </w:p>
    <w:sectPr w:rsidR="00322A1B" w:rsidRPr="004151FB" w:rsidSect="00E97634">
      <w:pgSz w:w="12240" w:h="15840"/>
      <w:pgMar w:top="851" w:right="1134" w:bottom="851"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AC6355"/>
    <w:multiLevelType w:val="hybridMultilevel"/>
    <w:tmpl w:val="4A52B956"/>
    <w:lvl w:ilvl="0" w:tplc="1009000F">
      <w:start w:val="1"/>
      <w:numFmt w:val="decimal"/>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 w15:restartNumberingAfterBreak="0">
    <w:nsid w:val="12CC46A6"/>
    <w:multiLevelType w:val="hybridMultilevel"/>
    <w:tmpl w:val="CE8EB87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726B38CF"/>
    <w:multiLevelType w:val="hybridMultilevel"/>
    <w:tmpl w:val="B2EA32C2"/>
    <w:lvl w:ilvl="0" w:tplc="1009000F">
      <w:start w:val="1"/>
      <w:numFmt w:val="decimal"/>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MjEysjQ2MDayMDC1MLFU0lEKTi0uzszPAykwqgUAQZX+GiwAAAA="/>
  </w:docVars>
  <w:rsids>
    <w:rsidRoot w:val="007C14B8"/>
    <w:rsid w:val="00083BA2"/>
    <w:rsid w:val="00194235"/>
    <w:rsid w:val="00322A1B"/>
    <w:rsid w:val="003267AE"/>
    <w:rsid w:val="0038367C"/>
    <w:rsid w:val="003B38A3"/>
    <w:rsid w:val="004151FB"/>
    <w:rsid w:val="00455576"/>
    <w:rsid w:val="00473A53"/>
    <w:rsid w:val="0047539F"/>
    <w:rsid w:val="00486B43"/>
    <w:rsid w:val="006B44CD"/>
    <w:rsid w:val="006F10DE"/>
    <w:rsid w:val="00791E20"/>
    <w:rsid w:val="007B45FB"/>
    <w:rsid w:val="007C14B8"/>
    <w:rsid w:val="00816723"/>
    <w:rsid w:val="00871FA6"/>
    <w:rsid w:val="00956A7D"/>
    <w:rsid w:val="00A85C0F"/>
    <w:rsid w:val="00AF27AC"/>
    <w:rsid w:val="00B37298"/>
    <w:rsid w:val="00B5247F"/>
    <w:rsid w:val="00C35822"/>
    <w:rsid w:val="00C67203"/>
    <w:rsid w:val="00D75790"/>
    <w:rsid w:val="00DD5BF2"/>
    <w:rsid w:val="00E72202"/>
    <w:rsid w:val="00E97634"/>
    <w:rsid w:val="00F33B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B5E55D"/>
  <w15:chartTrackingRefBased/>
  <w15:docId w15:val="{E7095C4D-7F72-4AA4-9FFB-0BCE4E14D5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unhideWhenUsed/>
    <w:qFormat/>
    <w:pPr>
      <w:keepNext/>
      <w:keepLines/>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unhideWhenUsed/>
    <w:qFormat/>
    <w:pPr>
      <w:keepNext/>
      <w:keepLines/>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unhideWhenUsed/>
    <w:qFormat/>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unhideWhenUsed/>
    <w:qFormat/>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rPr>
      <w:rFonts w:asciiTheme="majorHAnsi" w:eastAsiaTheme="majorEastAsia" w:hAnsiTheme="majorHAnsi" w:cstheme="majorBidi"/>
      <w:i/>
      <w:iCs/>
      <w:color w:val="272727" w:themeColor="text1" w:themeTint="D8"/>
      <w:sz w:val="21"/>
      <w:szCs w:val="21"/>
    </w:rPr>
  </w:style>
  <w:style w:type="paragraph" w:styleId="Title">
    <w:name w:val="Title"/>
    <w:basedOn w:val="Normal"/>
    <w:next w:val="Normal"/>
    <w:link w:val="TitleChar"/>
    <w:uiPriority w:val="10"/>
    <w:qFormat/>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Pr>
      <w:rFonts w:eastAsiaTheme="minorEastAsia"/>
      <w:color w:val="5A5A5A" w:themeColor="text1" w:themeTint="A5"/>
      <w:spacing w:val="15"/>
    </w:rPr>
  </w:style>
  <w:style w:type="character" w:styleId="SubtleEmphasis">
    <w:name w:val="Subtle Emphasis"/>
    <w:basedOn w:val="DefaultParagraphFont"/>
    <w:uiPriority w:val="19"/>
    <w:qFormat/>
    <w:rPr>
      <w:i/>
      <w:iCs/>
      <w:color w:val="404040" w:themeColor="text1" w:themeTint="BF"/>
    </w:rPr>
  </w:style>
  <w:style w:type="character" w:styleId="Emphasis">
    <w:name w:val="Emphasis"/>
    <w:basedOn w:val="DefaultParagraphFont"/>
    <w:uiPriority w:val="20"/>
    <w:qFormat/>
    <w:rPr>
      <w:i/>
      <w:iCs/>
    </w:rPr>
  </w:style>
  <w:style w:type="character" w:styleId="IntenseEmphasis">
    <w:name w:val="Intense Emphasis"/>
    <w:basedOn w:val="DefaultParagraphFont"/>
    <w:uiPriority w:val="21"/>
    <w:qFormat/>
    <w:rPr>
      <w:i/>
      <w:iCs/>
      <w:color w:val="5B9BD5" w:themeColor="accent1"/>
    </w:rPr>
  </w:style>
  <w:style w:type="character" w:styleId="Strong">
    <w:name w:val="Strong"/>
    <w:basedOn w:val="DefaultParagraphFont"/>
    <w:uiPriority w:val="22"/>
    <w:qFormat/>
    <w:rPr>
      <w:b/>
      <w:bCs/>
    </w:rPr>
  </w:style>
  <w:style w:type="paragraph" w:styleId="Quote">
    <w:name w:val="Quote"/>
    <w:basedOn w:val="Normal"/>
    <w:next w:val="Normal"/>
    <w:link w:val="QuoteChar"/>
    <w:uiPriority w:val="29"/>
    <w:qFormat/>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IntenseQuote">
    <w:name w:val="Intense Quote"/>
    <w:basedOn w:val="Normal"/>
    <w:next w:val="Normal"/>
    <w:link w:val="IntenseQuoteChar"/>
    <w:uiPriority w:val="30"/>
    <w:qFormat/>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Pr>
      <w:i/>
      <w:iCs/>
      <w:color w:val="5B9BD5" w:themeColor="accent1"/>
    </w:rPr>
  </w:style>
  <w:style w:type="character" w:styleId="SubtleReference">
    <w:name w:val="Subtle Reference"/>
    <w:basedOn w:val="DefaultParagraphFont"/>
    <w:uiPriority w:val="31"/>
    <w:qFormat/>
    <w:rPr>
      <w:smallCaps/>
      <w:color w:val="5A5A5A" w:themeColor="text1" w:themeTint="A5"/>
    </w:rPr>
  </w:style>
  <w:style w:type="character" w:styleId="IntenseReference">
    <w:name w:val="Intense Reference"/>
    <w:basedOn w:val="DefaultParagraphFont"/>
    <w:uiPriority w:val="32"/>
    <w:qFormat/>
    <w:rPr>
      <w:b/>
      <w:bCs/>
      <w:smallCaps/>
      <w:color w:val="5B9BD5" w:themeColor="accent1"/>
      <w:spacing w:val="5"/>
    </w:rPr>
  </w:style>
  <w:style w:type="character" w:styleId="BookTitle">
    <w:name w:val="Book Title"/>
    <w:basedOn w:val="DefaultParagraphFont"/>
    <w:uiPriority w:val="33"/>
    <w:qFormat/>
    <w:rPr>
      <w:b/>
      <w:bCs/>
      <w:i/>
      <w:iCs/>
      <w:spacing w:val="5"/>
    </w:r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563C1" w:themeColor="hyperlink"/>
      <w:u w:val="single"/>
    </w:rPr>
  </w:style>
  <w:style w:type="character" w:styleId="FollowedHyperlink">
    <w:name w:val="FollowedHyperlink"/>
    <w:basedOn w:val="DefaultParagraphFont"/>
    <w:uiPriority w:val="99"/>
    <w:unhideWhenUsed/>
    <w:rPr>
      <w:color w:val="954F72" w:themeColor="followedHyperlink"/>
      <w:u w:val="single"/>
    </w:rPr>
  </w:style>
  <w:style w:type="paragraph" w:styleId="Caption">
    <w:name w:val="caption"/>
    <w:basedOn w:val="Normal"/>
    <w:next w:val="Normal"/>
    <w:uiPriority w:val="35"/>
    <w:unhideWhenUsed/>
    <w:qFormat/>
    <w:pPr>
      <w:spacing w:after="200"/>
    </w:pPr>
    <w:rPr>
      <w:i/>
      <w:iCs/>
      <w:color w:val="44546A" w:themeColor="text2"/>
      <w:sz w:val="18"/>
      <w:szCs w:val="18"/>
    </w:rPr>
  </w:style>
  <w:style w:type="table" w:styleId="TableGrid">
    <w:name w:val="Table Grid"/>
    <w:basedOn w:val="TableNormal"/>
    <w:uiPriority w:val="39"/>
    <w:rsid w:val="007C14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brunet3\AppData\Roaming\Microsoft\Templates\Single%20spaced%20(blank).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Props1.xml><?xml version="1.0" encoding="utf-8"?>
<ds:datastoreItem xmlns:ds="http://schemas.openxmlformats.org/officeDocument/2006/customXml" ds:itemID="{C01C3C56-10DB-49F7-B061-44D8728D07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Single spaced (blank)</Template>
  <TotalTime>41</TotalTime>
  <Pages>2</Pages>
  <Words>538</Words>
  <Characters>3069</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Mélanie Brunet</dc:creator>
  <cp:keywords/>
  <dc:description/>
  <cp:lastModifiedBy>Mélanie Brunet</cp:lastModifiedBy>
  <cp:revision>9</cp:revision>
  <dcterms:created xsi:type="dcterms:W3CDTF">2019-02-11T17:53:00Z</dcterms:created>
  <dcterms:modified xsi:type="dcterms:W3CDTF">2019-04-24T14:33:00Z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TC027869999991</vt:lpwstr>
  </property>
</Properties>
</file>